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3D2" w:rsidRPr="00407D9D" w:rsidRDefault="0090474D" w:rsidP="0090474D">
      <w:pPr>
        <w:pStyle w:val="Standard"/>
        <w:rPr>
          <w:rFonts w:ascii="Verdana" w:hAnsi="Verdana"/>
          <w:b/>
          <w:bCs/>
        </w:rPr>
      </w:pPr>
      <w:r w:rsidRPr="00407D9D">
        <w:rPr>
          <w:rFonts w:ascii="Verdana" w:hAnsi="Verdana"/>
          <w:b/>
          <w:bCs/>
        </w:rPr>
        <w:t xml:space="preserve">4. </w:t>
      </w:r>
      <w:r w:rsidRPr="00413CE5">
        <w:rPr>
          <w:rFonts w:ascii="Verdana" w:hAnsi="Verdana"/>
          <w:b/>
          <w:bCs/>
        </w:rPr>
        <w:t>Внешний</w:t>
      </w:r>
      <w:r w:rsidRPr="00407D9D">
        <w:rPr>
          <w:rFonts w:ascii="Verdana" w:hAnsi="Verdana"/>
          <w:b/>
          <w:bCs/>
        </w:rPr>
        <w:t xml:space="preserve"> </w:t>
      </w:r>
      <w:r w:rsidRPr="00413CE5">
        <w:rPr>
          <w:rFonts w:ascii="Verdana" w:hAnsi="Verdana"/>
          <w:b/>
          <w:bCs/>
        </w:rPr>
        <w:t>интерфейс</w:t>
      </w:r>
      <w:r w:rsidRPr="00407D9D">
        <w:rPr>
          <w:rFonts w:ascii="Verdana" w:hAnsi="Verdana"/>
          <w:b/>
          <w:bCs/>
        </w:rPr>
        <w:t xml:space="preserve"> </w:t>
      </w:r>
      <w:r w:rsidRPr="00413CE5">
        <w:rPr>
          <w:rFonts w:ascii="Verdana" w:hAnsi="Verdana"/>
          <w:b/>
          <w:bCs/>
          <w:lang w:val="en-US"/>
        </w:rPr>
        <w:t>CLI</w:t>
      </w:r>
    </w:p>
    <w:p w:rsidR="00C133D2" w:rsidRPr="00C133D2" w:rsidRDefault="00C133D2" w:rsidP="0090474D">
      <w:pPr>
        <w:pStyle w:val="Standard"/>
        <w:rPr>
          <w:rFonts w:ascii="Verdana" w:hAnsi="Verdana"/>
        </w:rPr>
      </w:pPr>
    </w:p>
    <w:p w:rsidR="0090474D" w:rsidRPr="00413CE5" w:rsidRDefault="0090474D" w:rsidP="0090474D">
      <w:pPr>
        <w:pStyle w:val="Standard"/>
        <w:rPr>
          <w:rFonts w:ascii="Verdana" w:hAnsi="Verdana"/>
          <w:lang w:val="en-US"/>
        </w:rPr>
      </w:pPr>
      <w:r w:rsidRPr="00413CE5">
        <w:rPr>
          <w:rFonts w:ascii="Verdana" w:hAnsi="Verdana"/>
          <w:lang w:val="en-US"/>
        </w:rPr>
        <w:t>Common Language Infrastructure</w:t>
      </w:r>
    </w:p>
    <w:p w:rsidR="0090474D" w:rsidRPr="00413CE5" w:rsidRDefault="0090474D" w:rsidP="0090474D">
      <w:pPr>
        <w:pStyle w:val="Standard"/>
        <w:rPr>
          <w:rFonts w:ascii="Verdana" w:hAnsi="Verdana"/>
        </w:rPr>
      </w:pPr>
      <w:r w:rsidRPr="00413CE5">
        <w:rPr>
          <w:rFonts w:ascii="Verdana" w:hAnsi="Verdana"/>
        </w:rPr>
        <w:t>Разработан</w:t>
      </w:r>
      <w:r w:rsidRPr="004E1ECE">
        <w:rPr>
          <w:rFonts w:ascii="Verdana" w:hAnsi="Verdana"/>
          <w:lang w:val="en-US"/>
        </w:rPr>
        <w:t xml:space="preserve"> Microsoft. </w:t>
      </w:r>
      <w:r w:rsidRPr="00413CE5">
        <w:rPr>
          <w:rFonts w:ascii="Verdana" w:hAnsi="Verdana"/>
        </w:rPr>
        <w:t xml:space="preserve">Менее безопасный чем JNI. В C# и C++ есть «небезопасное» множество размером примерно с </w:t>
      </w:r>
      <w:proofErr w:type="spellStart"/>
      <w:r w:rsidRPr="00413CE5">
        <w:rPr>
          <w:rFonts w:ascii="Verdana" w:hAnsi="Verdana"/>
        </w:rPr>
        <w:t>С</w:t>
      </w:r>
      <w:proofErr w:type="spellEnd"/>
      <w:r w:rsidR="00846441" w:rsidRPr="00413CE5">
        <w:rPr>
          <w:rFonts w:ascii="Verdana" w:hAnsi="Verdana"/>
        </w:rPr>
        <w:t xml:space="preserve"> (?)</w:t>
      </w:r>
    </w:p>
    <w:p w:rsidR="0090474D" w:rsidRPr="00413CE5" w:rsidRDefault="0090474D" w:rsidP="0090474D">
      <w:pPr>
        <w:pStyle w:val="Standard"/>
        <w:numPr>
          <w:ilvl w:val="0"/>
          <w:numId w:val="1"/>
        </w:numPr>
        <w:rPr>
          <w:rFonts w:ascii="Verdana" w:hAnsi="Verdana"/>
        </w:rPr>
      </w:pPr>
      <w:r w:rsidRPr="00413CE5">
        <w:rPr>
          <w:rFonts w:ascii="Verdana" w:hAnsi="Verdana"/>
        </w:rPr>
        <w:t>Прямое управление раскладкой полей объекта</w:t>
      </w:r>
    </w:p>
    <w:p w:rsidR="0090474D" w:rsidRPr="00413CE5" w:rsidRDefault="0090474D" w:rsidP="00413CE5">
      <w:pPr>
        <w:pStyle w:val="Standard"/>
        <w:numPr>
          <w:ilvl w:val="1"/>
          <w:numId w:val="1"/>
        </w:numPr>
        <w:rPr>
          <w:rFonts w:ascii="Verdana" w:hAnsi="Verdana"/>
        </w:rPr>
      </w:pPr>
      <w:r w:rsidRPr="00413CE5">
        <w:rPr>
          <w:rFonts w:ascii="Verdana" w:hAnsi="Verdana"/>
        </w:rPr>
        <w:t>Уменьшает гибкость системы</w:t>
      </w:r>
    </w:p>
    <w:p w:rsidR="0090474D" w:rsidRPr="00413CE5" w:rsidRDefault="0090474D" w:rsidP="0090474D">
      <w:pPr>
        <w:pStyle w:val="Standard"/>
        <w:numPr>
          <w:ilvl w:val="0"/>
          <w:numId w:val="1"/>
        </w:numPr>
        <w:rPr>
          <w:rFonts w:ascii="Verdana" w:hAnsi="Verdana"/>
        </w:rPr>
      </w:pPr>
      <w:r w:rsidRPr="00413CE5">
        <w:rPr>
          <w:rFonts w:ascii="Verdana" w:hAnsi="Verdana"/>
        </w:rPr>
        <w:t>Закрепление объекта в памяти и получение указателя</w:t>
      </w:r>
    </w:p>
    <w:p w:rsidR="0090474D" w:rsidRPr="00413CE5" w:rsidRDefault="0090474D" w:rsidP="00413CE5">
      <w:pPr>
        <w:pStyle w:val="Standard"/>
        <w:numPr>
          <w:ilvl w:val="0"/>
          <w:numId w:val="3"/>
        </w:numPr>
        <w:rPr>
          <w:rFonts w:ascii="Verdana" w:hAnsi="Verdana"/>
        </w:rPr>
      </w:pPr>
      <w:r w:rsidRPr="00413CE5">
        <w:rPr>
          <w:rFonts w:ascii="Verdana" w:hAnsi="Verdana"/>
        </w:rPr>
        <w:t>Уменьшает гибкость менеджер</w:t>
      </w:r>
      <w:bookmarkStart w:id="0" w:name="_GoBack"/>
      <w:bookmarkEnd w:id="0"/>
      <w:r w:rsidRPr="00413CE5">
        <w:rPr>
          <w:rFonts w:ascii="Verdana" w:hAnsi="Verdana"/>
        </w:rPr>
        <w:t>а памяти</w:t>
      </w:r>
    </w:p>
    <w:p w:rsidR="0090474D" w:rsidRPr="00413CE5" w:rsidRDefault="0090474D" w:rsidP="00413CE5">
      <w:pPr>
        <w:pStyle w:val="Standard"/>
        <w:numPr>
          <w:ilvl w:val="0"/>
          <w:numId w:val="3"/>
        </w:numPr>
        <w:rPr>
          <w:rFonts w:ascii="Verdana" w:hAnsi="Verdana"/>
        </w:rPr>
      </w:pPr>
      <w:r w:rsidRPr="00413CE5">
        <w:rPr>
          <w:rFonts w:ascii="Verdana" w:hAnsi="Verdana"/>
        </w:rPr>
        <w:t>Потенциальная угроза безопасности</w:t>
      </w:r>
    </w:p>
    <w:p w:rsidR="0090474D" w:rsidRPr="00413CE5" w:rsidRDefault="0090474D" w:rsidP="0090474D">
      <w:pPr>
        <w:pStyle w:val="Standard"/>
        <w:numPr>
          <w:ilvl w:val="0"/>
          <w:numId w:val="1"/>
        </w:numPr>
        <w:rPr>
          <w:rFonts w:ascii="Verdana" w:hAnsi="Verdana"/>
        </w:rPr>
      </w:pPr>
      <w:r w:rsidRPr="00413CE5">
        <w:rPr>
          <w:rFonts w:ascii="Verdana" w:hAnsi="Verdana"/>
        </w:rPr>
        <w:t>Прямая работа с указателями из управляемого кода</w:t>
      </w:r>
    </w:p>
    <w:p w:rsidR="0090474D" w:rsidRPr="00413CE5" w:rsidRDefault="0090474D" w:rsidP="00413CE5">
      <w:pPr>
        <w:pStyle w:val="Standard"/>
        <w:numPr>
          <w:ilvl w:val="0"/>
          <w:numId w:val="4"/>
        </w:numPr>
        <w:rPr>
          <w:rFonts w:ascii="Verdana" w:hAnsi="Verdana"/>
        </w:rPr>
      </w:pPr>
      <w:r w:rsidRPr="00413CE5">
        <w:rPr>
          <w:rFonts w:ascii="Verdana" w:hAnsi="Verdana"/>
        </w:rPr>
        <w:t>Потенциальная угроза безопасности</w:t>
      </w:r>
    </w:p>
    <w:p w:rsidR="0090474D" w:rsidRPr="00413CE5" w:rsidRDefault="0090474D" w:rsidP="0090474D">
      <w:pPr>
        <w:pStyle w:val="Standard"/>
        <w:numPr>
          <w:ilvl w:val="0"/>
          <w:numId w:val="1"/>
        </w:numPr>
        <w:rPr>
          <w:rFonts w:ascii="Verdana" w:hAnsi="Verdana"/>
        </w:rPr>
      </w:pPr>
      <w:proofErr w:type="spellStart"/>
      <w:r w:rsidRPr="00413CE5">
        <w:rPr>
          <w:rFonts w:ascii="Verdana" w:hAnsi="Verdana"/>
        </w:rPr>
        <w:t>pinvoke</w:t>
      </w:r>
      <w:proofErr w:type="spellEnd"/>
      <w:r w:rsidRPr="00413CE5">
        <w:rPr>
          <w:rFonts w:ascii="Verdana" w:hAnsi="Verdana"/>
        </w:rPr>
        <w:t xml:space="preserve"> (.NET)</w:t>
      </w:r>
    </w:p>
    <w:p w:rsidR="0090474D" w:rsidRPr="00413CE5" w:rsidRDefault="0090474D" w:rsidP="00413CE5">
      <w:pPr>
        <w:pStyle w:val="Standard"/>
        <w:numPr>
          <w:ilvl w:val="1"/>
          <w:numId w:val="1"/>
        </w:numPr>
        <w:rPr>
          <w:rFonts w:ascii="Verdana" w:hAnsi="Verdana"/>
        </w:rPr>
      </w:pPr>
      <w:r w:rsidRPr="00413CE5">
        <w:rPr>
          <w:rFonts w:ascii="Verdana" w:hAnsi="Verdana"/>
        </w:rPr>
        <w:t>Связывание произвольной внешней функции</w:t>
      </w:r>
    </w:p>
    <w:p w:rsidR="0090474D" w:rsidRPr="00413CE5" w:rsidRDefault="0090474D" w:rsidP="00413CE5">
      <w:pPr>
        <w:pStyle w:val="Standard"/>
        <w:numPr>
          <w:ilvl w:val="1"/>
          <w:numId w:val="1"/>
        </w:numPr>
        <w:rPr>
          <w:rFonts w:ascii="Verdana" w:hAnsi="Verdana"/>
        </w:rPr>
      </w:pPr>
      <w:r w:rsidRPr="00413CE5">
        <w:rPr>
          <w:rFonts w:ascii="Verdana" w:hAnsi="Verdana"/>
        </w:rPr>
        <w:t>копирование объектов с изменением раскладки полей</w:t>
      </w:r>
    </w:p>
    <w:p w:rsidR="0090474D" w:rsidRPr="00413CE5" w:rsidRDefault="0090474D" w:rsidP="0090474D">
      <w:pPr>
        <w:pStyle w:val="Standard"/>
        <w:rPr>
          <w:rFonts w:ascii="Verdana" w:hAnsi="Verdana"/>
        </w:rPr>
      </w:pPr>
    </w:p>
    <w:p w:rsidR="0090474D" w:rsidRPr="00413CE5" w:rsidRDefault="0090474D" w:rsidP="0090474D">
      <w:pPr>
        <w:pStyle w:val="Standard"/>
        <w:rPr>
          <w:rFonts w:ascii="Verdana" w:hAnsi="Verdana"/>
        </w:rPr>
      </w:pPr>
      <w:r w:rsidRPr="00413CE5">
        <w:rPr>
          <w:rFonts w:ascii="Verdana" w:hAnsi="Verdana"/>
        </w:rPr>
        <w:t>Функции, реализованные в неуправляемых библиотеках DLL, могут вызываться из управляемого кода с помощью вызова неуправляемого кода P/</w:t>
      </w:r>
      <w:proofErr w:type="spellStart"/>
      <w:r w:rsidRPr="00413CE5">
        <w:rPr>
          <w:rFonts w:ascii="Verdana" w:hAnsi="Verdana"/>
        </w:rPr>
        <w:t>Invoke</w:t>
      </w:r>
      <w:proofErr w:type="spellEnd"/>
      <w:r w:rsidRPr="00413CE5">
        <w:rPr>
          <w:rFonts w:ascii="Verdana" w:hAnsi="Verdana"/>
        </w:rPr>
        <w:t>. Если исходный код библиотеки DLL недоступен, вызов P/</w:t>
      </w:r>
      <w:proofErr w:type="spellStart"/>
      <w:r w:rsidRPr="00413CE5">
        <w:rPr>
          <w:rFonts w:ascii="Verdana" w:hAnsi="Verdana"/>
        </w:rPr>
        <w:t>Invoke</w:t>
      </w:r>
      <w:proofErr w:type="spellEnd"/>
      <w:r w:rsidRPr="00413CE5">
        <w:rPr>
          <w:rFonts w:ascii="Verdana" w:hAnsi="Verdana"/>
        </w:rPr>
        <w:t xml:space="preserve"> является единственным вариантом обеспечения взаимодействия. В отличие от других языков .NET в </w:t>
      </w:r>
      <w:proofErr w:type="spellStart"/>
      <w:r w:rsidRPr="00413CE5">
        <w:rPr>
          <w:rFonts w:ascii="Verdana" w:hAnsi="Verdana"/>
        </w:rPr>
        <w:t>Visual</w:t>
      </w:r>
      <w:proofErr w:type="spellEnd"/>
      <w:r w:rsidRPr="00413CE5">
        <w:rPr>
          <w:rFonts w:ascii="Verdana" w:hAnsi="Verdana"/>
        </w:rPr>
        <w:t xml:space="preserve"> C++ предусматривается альтернатива вызову P/</w:t>
      </w:r>
      <w:proofErr w:type="spellStart"/>
      <w:r w:rsidRPr="00413CE5">
        <w:rPr>
          <w:rFonts w:ascii="Verdana" w:hAnsi="Verdana"/>
        </w:rPr>
        <w:t>Invoke</w:t>
      </w:r>
      <w:proofErr w:type="spellEnd"/>
      <w:r w:rsidRPr="00413CE5">
        <w:rPr>
          <w:rFonts w:ascii="Verdana" w:hAnsi="Verdana"/>
        </w:rPr>
        <w:t>.</w:t>
      </w:r>
    </w:p>
    <w:p w:rsidR="0090474D" w:rsidRPr="00413CE5" w:rsidRDefault="0090474D" w:rsidP="0090474D">
      <w:pPr>
        <w:pStyle w:val="Standard"/>
        <w:rPr>
          <w:rFonts w:ascii="Verdana" w:hAnsi="Verdana"/>
        </w:rPr>
      </w:pPr>
    </w:p>
    <w:p w:rsidR="0090474D" w:rsidRPr="00413CE5" w:rsidRDefault="0090474D" w:rsidP="0090474D">
      <w:pPr>
        <w:pStyle w:val="Standard"/>
        <w:rPr>
          <w:rFonts w:ascii="Verdana" w:hAnsi="Verdana"/>
        </w:rPr>
      </w:pPr>
      <w:r w:rsidRPr="00413CE5">
        <w:rPr>
          <w:rFonts w:ascii="Verdana" w:hAnsi="Verdana"/>
        </w:rPr>
        <w:t xml:space="preserve">Все совместимые языки компилируются в </w:t>
      </w:r>
      <w:proofErr w:type="spellStart"/>
      <w:r w:rsidRPr="00413CE5">
        <w:rPr>
          <w:rFonts w:ascii="Verdana" w:hAnsi="Verdana"/>
        </w:rPr>
        <w:t>Common</w:t>
      </w:r>
      <w:proofErr w:type="spellEnd"/>
      <w:r w:rsidRPr="00413CE5">
        <w:rPr>
          <w:rFonts w:ascii="Verdana" w:hAnsi="Verdana"/>
        </w:rPr>
        <w:t xml:space="preserve"> </w:t>
      </w:r>
      <w:proofErr w:type="spellStart"/>
      <w:r w:rsidRPr="00413CE5">
        <w:rPr>
          <w:rFonts w:ascii="Verdana" w:hAnsi="Verdana"/>
        </w:rPr>
        <w:t>Intermediate</w:t>
      </w:r>
      <w:proofErr w:type="spellEnd"/>
      <w:r w:rsidRPr="00413CE5">
        <w:rPr>
          <w:rFonts w:ascii="Verdana" w:hAnsi="Verdana"/>
        </w:rPr>
        <w:t xml:space="preserve"> </w:t>
      </w:r>
      <w:proofErr w:type="spellStart"/>
      <w:r w:rsidRPr="00413CE5">
        <w:rPr>
          <w:rFonts w:ascii="Verdana" w:hAnsi="Verdana"/>
        </w:rPr>
        <w:t>Language</w:t>
      </w:r>
      <w:proofErr w:type="spellEnd"/>
      <w:r w:rsidRPr="00413CE5">
        <w:rPr>
          <w:rFonts w:ascii="Verdana" w:hAnsi="Verdana"/>
        </w:rPr>
        <w:t>(CIL), который является промежуточным языком, абстрагированным от платформенного «жел</w:t>
      </w:r>
      <w:r w:rsidR="009E588E">
        <w:rPr>
          <w:rFonts w:ascii="Verdana" w:hAnsi="Verdana"/>
        </w:rPr>
        <w:t xml:space="preserve">еза». Во время исполнения кода </w:t>
      </w:r>
      <w:r w:rsidRPr="00413CE5">
        <w:rPr>
          <w:rFonts w:ascii="Verdana" w:hAnsi="Verdana"/>
        </w:rPr>
        <w:t>CIL будет перекомпилирован в машинный язык, соответствующий конкретному «железу» и ОС.</w:t>
      </w:r>
    </w:p>
    <w:p w:rsidR="0090474D" w:rsidRPr="00413CE5" w:rsidRDefault="0090474D" w:rsidP="0090474D">
      <w:pPr>
        <w:pStyle w:val="Standard"/>
        <w:rPr>
          <w:rFonts w:ascii="Verdana" w:hAnsi="Verdana"/>
        </w:rPr>
      </w:pPr>
    </w:p>
    <w:p w:rsidR="0090474D" w:rsidRPr="00413CE5" w:rsidRDefault="00C133D2" w:rsidP="0090474D">
      <w:pPr>
        <w:pStyle w:val="Standard"/>
        <w:rPr>
          <w:rFonts w:ascii="Verdana" w:hAnsi="Verdana"/>
        </w:rPr>
      </w:pPr>
      <w:r>
        <w:rPr>
          <w:rFonts w:ascii="Verdana" w:hAnsi="Verdana"/>
        </w:rPr>
        <w:t>Промежуточное представление(IR)</w:t>
      </w:r>
      <w:r w:rsidR="0090474D" w:rsidRPr="00413CE5">
        <w:rPr>
          <w:rFonts w:ascii="Verdana" w:hAnsi="Verdana"/>
        </w:rPr>
        <w:t>:</w:t>
      </w:r>
    </w:p>
    <w:p w:rsidR="0090474D" w:rsidRPr="00413CE5" w:rsidRDefault="0090474D" w:rsidP="0090474D">
      <w:pPr>
        <w:pStyle w:val="Standard"/>
        <w:rPr>
          <w:rFonts w:ascii="Verdana" w:hAnsi="Verdana"/>
        </w:rPr>
      </w:pPr>
    </w:p>
    <w:p w:rsidR="0090474D" w:rsidRPr="00413CE5" w:rsidRDefault="0090474D" w:rsidP="0090474D">
      <w:pPr>
        <w:pStyle w:val="Standard"/>
        <w:numPr>
          <w:ilvl w:val="0"/>
          <w:numId w:val="2"/>
        </w:numPr>
        <w:rPr>
          <w:rFonts w:ascii="Verdana" w:hAnsi="Verdana"/>
        </w:rPr>
      </w:pPr>
      <w:r w:rsidRPr="00413CE5">
        <w:rPr>
          <w:rFonts w:ascii="Verdana" w:hAnsi="Verdana"/>
        </w:rPr>
        <w:t>Язык регистровой машины</w:t>
      </w:r>
    </w:p>
    <w:p w:rsidR="0090474D" w:rsidRPr="00413CE5" w:rsidRDefault="0090474D" w:rsidP="0090474D">
      <w:pPr>
        <w:pStyle w:val="Standard"/>
        <w:numPr>
          <w:ilvl w:val="1"/>
          <w:numId w:val="2"/>
        </w:numPr>
        <w:rPr>
          <w:rFonts w:ascii="Verdana" w:hAnsi="Verdana"/>
        </w:rPr>
      </w:pPr>
      <w:r w:rsidRPr="00413CE5">
        <w:rPr>
          <w:rFonts w:ascii="Verdana" w:hAnsi="Verdana"/>
        </w:rPr>
        <w:t>На 45% меньше операций доступа к памяти</w:t>
      </w:r>
    </w:p>
    <w:p w:rsidR="0090474D" w:rsidRPr="00413CE5" w:rsidRDefault="0090474D" w:rsidP="0090474D">
      <w:pPr>
        <w:pStyle w:val="Standard"/>
        <w:numPr>
          <w:ilvl w:val="1"/>
          <w:numId w:val="2"/>
        </w:numPr>
        <w:rPr>
          <w:rFonts w:ascii="Verdana" w:hAnsi="Verdana"/>
        </w:rPr>
      </w:pPr>
      <w:r w:rsidRPr="00413CE5">
        <w:rPr>
          <w:rFonts w:ascii="Verdana" w:hAnsi="Verdana"/>
        </w:rPr>
        <w:t>Возможность оптимизации на уровне IR</w:t>
      </w:r>
    </w:p>
    <w:p w:rsidR="0090474D" w:rsidRPr="00413CE5" w:rsidRDefault="00407D9D" w:rsidP="0090474D">
      <w:pPr>
        <w:pStyle w:val="Standard"/>
        <w:numPr>
          <w:ilvl w:val="1"/>
          <w:numId w:val="2"/>
        </w:numPr>
        <w:rPr>
          <w:rFonts w:ascii="Verdana" w:hAnsi="Verdana"/>
        </w:rPr>
      </w:pPr>
      <w:r>
        <w:rPr>
          <w:rFonts w:ascii="Verdana" w:hAnsi="Verdana"/>
        </w:rPr>
        <w:t xml:space="preserve">Используется в статических и </w:t>
      </w:r>
      <w:r w:rsidR="0090474D" w:rsidRPr="00413CE5">
        <w:rPr>
          <w:rFonts w:ascii="Verdana" w:hAnsi="Verdana"/>
        </w:rPr>
        <w:t>оптимизирующих JIT компиляторах</w:t>
      </w:r>
    </w:p>
    <w:p w:rsidR="0090474D" w:rsidRPr="00413CE5" w:rsidRDefault="0090474D" w:rsidP="0090474D">
      <w:pPr>
        <w:pStyle w:val="Standard"/>
        <w:numPr>
          <w:ilvl w:val="0"/>
          <w:numId w:val="2"/>
        </w:numPr>
        <w:rPr>
          <w:rFonts w:ascii="Verdana" w:hAnsi="Verdana"/>
        </w:rPr>
      </w:pPr>
      <w:r w:rsidRPr="00413CE5">
        <w:rPr>
          <w:rFonts w:ascii="Verdana" w:hAnsi="Verdana"/>
        </w:rPr>
        <w:t>Язык стековой машины</w:t>
      </w:r>
    </w:p>
    <w:p w:rsidR="0090474D" w:rsidRPr="00413CE5" w:rsidRDefault="0090474D" w:rsidP="0090474D">
      <w:pPr>
        <w:pStyle w:val="Standard"/>
        <w:numPr>
          <w:ilvl w:val="1"/>
          <w:numId w:val="2"/>
        </w:numPr>
        <w:rPr>
          <w:rFonts w:ascii="Verdana" w:hAnsi="Verdana"/>
        </w:rPr>
      </w:pPr>
      <w:r w:rsidRPr="00413CE5">
        <w:rPr>
          <w:rFonts w:ascii="Verdana" w:hAnsi="Verdana"/>
        </w:rPr>
        <w:t>На 25% более компактен</w:t>
      </w:r>
    </w:p>
    <w:p w:rsidR="0090474D" w:rsidRPr="00413CE5" w:rsidRDefault="0090474D" w:rsidP="0090474D">
      <w:pPr>
        <w:pStyle w:val="Standard"/>
        <w:numPr>
          <w:ilvl w:val="1"/>
          <w:numId w:val="2"/>
        </w:numPr>
        <w:rPr>
          <w:rFonts w:ascii="Verdana" w:hAnsi="Verdana"/>
        </w:rPr>
      </w:pPr>
      <w:r w:rsidRPr="00413CE5">
        <w:rPr>
          <w:rFonts w:ascii="Verdana" w:hAnsi="Verdana"/>
        </w:rPr>
        <w:t>Сохраняет семантику исходного кода</w:t>
      </w:r>
      <w:r w:rsidR="00407D9D">
        <w:rPr>
          <w:rFonts w:ascii="Verdana" w:hAnsi="Verdana"/>
        </w:rPr>
        <w:t xml:space="preserve"> </w:t>
      </w:r>
      <w:r w:rsidRPr="00413CE5">
        <w:rPr>
          <w:rFonts w:ascii="Verdana" w:hAnsi="Verdana"/>
        </w:rPr>
        <w:t>(проще восстановить исходный код)</w:t>
      </w:r>
    </w:p>
    <w:p w:rsidR="0090474D" w:rsidRPr="00413CE5" w:rsidRDefault="0090474D" w:rsidP="0090474D">
      <w:pPr>
        <w:pStyle w:val="Standard"/>
        <w:numPr>
          <w:ilvl w:val="1"/>
          <w:numId w:val="2"/>
        </w:numPr>
        <w:rPr>
          <w:rFonts w:ascii="Verdana" w:hAnsi="Verdana"/>
        </w:rPr>
      </w:pPr>
      <w:r w:rsidRPr="00413CE5">
        <w:rPr>
          <w:rFonts w:ascii="Verdana" w:hAnsi="Verdana"/>
        </w:rPr>
        <w:t>Проще для интерпретации и шаблонной компиляции</w:t>
      </w:r>
    </w:p>
    <w:p w:rsidR="0090474D" w:rsidRPr="00413CE5" w:rsidRDefault="0090474D" w:rsidP="0090474D">
      <w:pPr>
        <w:pStyle w:val="Standard"/>
        <w:numPr>
          <w:ilvl w:val="0"/>
          <w:numId w:val="2"/>
        </w:numPr>
        <w:rPr>
          <w:rFonts w:ascii="Verdana" w:hAnsi="Verdana"/>
        </w:rPr>
      </w:pPr>
      <w:r w:rsidRPr="00413CE5">
        <w:rPr>
          <w:rFonts w:ascii="Verdana" w:hAnsi="Verdana"/>
        </w:rPr>
        <w:t xml:space="preserve">Используется в </w:t>
      </w:r>
      <w:proofErr w:type="gramStart"/>
      <w:r w:rsidRPr="00413CE5">
        <w:rPr>
          <w:rFonts w:ascii="Verdana" w:hAnsi="Verdana"/>
        </w:rPr>
        <w:t>JBC(</w:t>
      </w:r>
      <w:proofErr w:type="spellStart"/>
      <w:proofErr w:type="gramEnd"/>
      <w:r w:rsidRPr="00413CE5">
        <w:rPr>
          <w:rFonts w:ascii="Verdana" w:hAnsi="Verdana"/>
        </w:rPr>
        <w:t>Java</w:t>
      </w:r>
      <w:proofErr w:type="spellEnd"/>
      <w:r w:rsidRPr="00413CE5">
        <w:rPr>
          <w:rFonts w:ascii="Verdana" w:hAnsi="Verdana"/>
        </w:rPr>
        <w:t xml:space="preserve"> </w:t>
      </w:r>
      <w:r w:rsidR="005D7FB2">
        <w:rPr>
          <w:rFonts w:ascii="Verdana" w:hAnsi="Verdana"/>
          <w:lang w:val="en-US"/>
        </w:rPr>
        <w:t>Byte</w:t>
      </w:r>
      <w:r w:rsidR="005D7FB2" w:rsidRPr="004E1ECE">
        <w:rPr>
          <w:rFonts w:ascii="Verdana" w:hAnsi="Verdana"/>
        </w:rPr>
        <w:t xml:space="preserve"> </w:t>
      </w:r>
      <w:r w:rsidR="005D7FB2">
        <w:rPr>
          <w:rFonts w:ascii="Verdana" w:hAnsi="Verdana"/>
          <w:lang w:val="en-US"/>
        </w:rPr>
        <w:t>Code</w:t>
      </w:r>
      <w:r w:rsidR="005D7FB2" w:rsidRPr="004E1ECE">
        <w:rPr>
          <w:rFonts w:ascii="Verdana" w:hAnsi="Verdana"/>
        </w:rPr>
        <w:t xml:space="preserve">) </w:t>
      </w:r>
      <w:r w:rsidRPr="00413CE5">
        <w:rPr>
          <w:rFonts w:ascii="Verdana" w:hAnsi="Verdana"/>
        </w:rPr>
        <w:t>и CIL</w:t>
      </w:r>
    </w:p>
    <w:p w:rsidR="0090474D" w:rsidRPr="00413CE5" w:rsidRDefault="0090474D" w:rsidP="0090474D">
      <w:pPr>
        <w:pStyle w:val="Standard"/>
        <w:rPr>
          <w:rFonts w:ascii="Verdana" w:hAnsi="Verdana"/>
        </w:rPr>
      </w:pPr>
    </w:p>
    <w:p w:rsidR="0090474D" w:rsidRPr="00413CE5" w:rsidRDefault="0090474D" w:rsidP="0090474D">
      <w:pPr>
        <w:pStyle w:val="Standard"/>
        <w:rPr>
          <w:rFonts w:ascii="Verdana" w:hAnsi="Verdana"/>
        </w:rPr>
      </w:pPr>
      <w:r w:rsidRPr="00413CE5">
        <w:rPr>
          <w:rFonts w:ascii="Verdana" w:hAnsi="Verdana"/>
        </w:rPr>
        <w:t>Оба языка полны по Тьюрингу</w:t>
      </w:r>
      <w:r w:rsidR="00407D9D">
        <w:rPr>
          <w:rFonts w:ascii="Verdana" w:hAnsi="Verdana"/>
        </w:rPr>
        <w:t xml:space="preserve"> </w:t>
      </w:r>
      <w:r w:rsidRPr="00413CE5">
        <w:rPr>
          <w:rFonts w:ascii="Verdana" w:hAnsi="Verdana"/>
        </w:rPr>
        <w:t>(эквивалентны машине Тьюринга)</w:t>
      </w:r>
    </w:p>
    <w:p w:rsidR="00553429" w:rsidRDefault="00553429">
      <w:pPr>
        <w:rPr>
          <w:rFonts w:ascii="Verdana" w:hAnsi="Verdana"/>
          <w:sz w:val="24"/>
          <w:szCs w:val="24"/>
        </w:rPr>
      </w:pPr>
    </w:p>
    <w:p w:rsidR="004E1ECE" w:rsidRDefault="004E1ECE">
      <w:pPr>
        <w:rPr>
          <w:rFonts w:ascii="Verdana" w:hAnsi="Verdana"/>
          <w:i/>
          <w:sz w:val="24"/>
          <w:szCs w:val="24"/>
        </w:rPr>
      </w:pPr>
    </w:p>
    <w:p w:rsidR="004E1ECE" w:rsidRDefault="004E1ECE">
      <w:pPr>
        <w:rPr>
          <w:rFonts w:ascii="Verdana" w:hAnsi="Verdana"/>
          <w:i/>
          <w:sz w:val="24"/>
          <w:szCs w:val="24"/>
        </w:rPr>
      </w:pPr>
    </w:p>
    <w:p w:rsidR="004E1ECE" w:rsidRDefault="004E1ECE">
      <w:pPr>
        <w:rPr>
          <w:rFonts w:ascii="Verdana" w:hAnsi="Verdana"/>
          <w:i/>
          <w:sz w:val="24"/>
          <w:szCs w:val="24"/>
        </w:rPr>
      </w:pPr>
    </w:p>
    <w:p w:rsidR="004E1ECE" w:rsidRPr="004E1ECE" w:rsidRDefault="004E1ECE">
      <w:pPr>
        <w:rPr>
          <w:rFonts w:ascii="Verdana" w:hAnsi="Verdana"/>
          <w:i/>
          <w:sz w:val="24"/>
          <w:szCs w:val="24"/>
        </w:rPr>
      </w:pPr>
      <w:r w:rsidRPr="004E1ECE">
        <w:rPr>
          <w:rFonts w:ascii="Verdana" w:hAnsi="Verdana"/>
          <w:i/>
          <w:sz w:val="24"/>
          <w:szCs w:val="24"/>
        </w:rPr>
        <w:lastRenderedPageBreak/>
        <w:t xml:space="preserve">Сравнение </w:t>
      </w:r>
      <w:r w:rsidRPr="004E1ECE">
        <w:rPr>
          <w:rFonts w:ascii="Verdana" w:hAnsi="Verdana"/>
          <w:i/>
          <w:sz w:val="24"/>
          <w:szCs w:val="24"/>
          <w:lang w:val="en-US"/>
        </w:rPr>
        <w:t xml:space="preserve">CIL </w:t>
      </w:r>
      <w:r w:rsidRPr="004E1ECE">
        <w:rPr>
          <w:rFonts w:ascii="Verdana" w:hAnsi="Verdana"/>
          <w:i/>
          <w:sz w:val="24"/>
          <w:szCs w:val="24"/>
        </w:rPr>
        <w:t xml:space="preserve">и </w:t>
      </w:r>
      <w:r w:rsidRPr="004E1ECE">
        <w:rPr>
          <w:rFonts w:ascii="Verdana" w:hAnsi="Verdana"/>
          <w:i/>
          <w:sz w:val="24"/>
          <w:szCs w:val="24"/>
          <w:lang w:val="en-US"/>
        </w:rPr>
        <w:t>JBC</w:t>
      </w:r>
    </w:p>
    <w:p w:rsidR="00000000" w:rsidRPr="004E1ECE" w:rsidRDefault="004E1ECE" w:rsidP="004E1ECE">
      <w:pPr>
        <w:numPr>
          <w:ilvl w:val="0"/>
          <w:numId w:val="5"/>
        </w:numPr>
        <w:rPr>
          <w:rFonts w:ascii="Verdana" w:hAnsi="Verdana"/>
          <w:sz w:val="24"/>
          <w:szCs w:val="24"/>
        </w:rPr>
      </w:pPr>
      <w:r w:rsidRPr="004E1ECE">
        <w:rPr>
          <w:rFonts w:ascii="Verdana" w:hAnsi="Verdana"/>
          <w:sz w:val="24"/>
          <w:szCs w:val="24"/>
          <w:lang w:val="en-US"/>
        </w:rPr>
        <w:t xml:space="preserve">CIL </w:t>
      </w:r>
      <w:r w:rsidRPr="004E1ECE">
        <w:rPr>
          <w:rFonts w:ascii="Verdana" w:hAnsi="Verdana"/>
          <w:sz w:val="24"/>
          <w:szCs w:val="24"/>
        </w:rPr>
        <w:t xml:space="preserve">по семантике расширение </w:t>
      </w:r>
      <w:r w:rsidRPr="004E1ECE">
        <w:rPr>
          <w:rFonts w:ascii="Verdana" w:hAnsi="Verdana"/>
          <w:sz w:val="24"/>
          <w:szCs w:val="24"/>
          <w:lang w:val="en-US"/>
        </w:rPr>
        <w:t>JBC</w:t>
      </w:r>
    </w:p>
    <w:p w:rsidR="00000000" w:rsidRPr="004E1ECE" w:rsidRDefault="004E1ECE" w:rsidP="004E1ECE">
      <w:pPr>
        <w:numPr>
          <w:ilvl w:val="1"/>
          <w:numId w:val="5"/>
        </w:numPr>
        <w:rPr>
          <w:rFonts w:ascii="Verdana" w:hAnsi="Verdana"/>
          <w:sz w:val="24"/>
          <w:szCs w:val="24"/>
        </w:rPr>
      </w:pPr>
      <w:r w:rsidRPr="004E1ECE">
        <w:rPr>
          <w:rFonts w:ascii="Verdana" w:hAnsi="Verdana"/>
          <w:sz w:val="24"/>
          <w:szCs w:val="24"/>
        </w:rPr>
        <w:t>Добавлены целые без знака</w:t>
      </w:r>
    </w:p>
    <w:p w:rsidR="00000000" w:rsidRPr="004E1ECE" w:rsidRDefault="004E1ECE" w:rsidP="004E1ECE">
      <w:pPr>
        <w:numPr>
          <w:ilvl w:val="1"/>
          <w:numId w:val="5"/>
        </w:numPr>
        <w:rPr>
          <w:rFonts w:ascii="Verdana" w:hAnsi="Verdana"/>
          <w:sz w:val="24"/>
          <w:szCs w:val="24"/>
        </w:rPr>
      </w:pPr>
      <w:r w:rsidRPr="004E1ECE">
        <w:rPr>
          <w:rFonts w:ascii="Verdana" w:hAnsi="Verdana"/>
          <w:sz w:val="24"/>
          <w:szCs w:val="24"/>
        </w:rPr>
        <w:t>Поддержка рефлексии (</w:t>
      </w:r>
      <w:proofErr w:type="spellStart"/>
      <w:r w:rsidRPr="004E1ECE">
        <w:rPr>
          <w:rFonts w:ascii="Verdana" w:hAnsi="Verdana"/>
          <w:sz w:val="24"/>
          <w:szCs w:val="24"/>
          <w:lang w:val="en-US"/>
        </w:rPr>
        <w:t>ldtoken</w:t>
      </w:r>
      <w:proofErr w:type="spellEnd"/>
      <w:r w:rsidRPr="004E1ECE">
        <w:rPr>
          <w:rFonts w:ascii="Verdana" w:hAnsi="Verdana"/>
          <w:sz w:val="24"/>
          <w:szCs w:val="24"/>
          <w:lang w:val="en-US"/>
        </w:rPr>
        <w:t>)</w:t>
      </w:r>
    </w:p>
    <w:p w:rsidR="00000000" w:rsidRPr="004E1ECE" w:rsidRDefault="004E1ECE" w:rsidP="004E1ECE">
      <w:pPr>
        <w:numPr>
          <w:ilvl w:val="1"/>
          <w:numId w:val="5"/>
        </w:numPr>
        <w:rPr>
          <w:rFonts w:ascii="Verdana" w:hAnsi="Verdana"/>
          <w:sz w:val="24"/>
          <w:szCs w:val="24"/>
        </w:rPr>
      </w:pPr>
      <w:r w:rsidRPr="004E1ECE">
        <w:rPr>
          <w:rFonts w:ascii="Verdana" w:hAnsi="Verdana"/>
          <w:sz w:val="24"/>
          <w:szCs w:val="24"/>
        </w:rPr>
        <w:t>Размещение памяти на стеке (</w:t>
      </w:r>
      <w:proofErr w:type="spellStart"/>
      <w:r w:rsidRPr="004E1ECE">
        <w:rPr>
          <w:rFonts w:ascii="Verdana" w:hAnsi="Verdana"/>
          <w:sz w:val="24"/>
          <w:szCs w:val="24"/>
          <w:lang w:val="en-US"/>
        </w:rPr>
        <w:t>localloc</w:t>
      </w:r>
      <w:proofErr w:type="spellEnd"/>
      <w:r w:rsidRPr="004E1ECE">
        <w:rPr>
          <w:rFonts w:ascii="Verdana" w:hAnsi="Verdana"/>
          <w:sz w:val="24"/>
          <w:szCs w:val="24"/>
        </w:rPr>
        <w:t>)</w:t>
      </w:r>
    </w:p>
    <w:p w:rsidR="00000000" w:rsidRPr="004E1ECE" w:rsidRDefault="004E1ECE" w:rsidP="004E1ECE">
      <w:pPr>
        <w:numPr>
          <w:ilvl w:val="1"/>
          <w:numId w:val="5"/>
        </w:numPr>
        <w:rPr>
          <w:rFonts w:ascii="Verdana" w:hAnsi="Verdana"/>
          <w:sz w:val="24"/>
          <w:szCs w:val="24"/>
        </w:rPr>
      </w:pPr>
      <w:r w:rsidRPr="004E1ECE">
        <w:rPr>
          <w:rFonts w:ascii="Verdana" w:hAnsi="Verdana"/>
          <w:sz w:val="24"/>
          <w:szCs w:val="24"/>
        </w:rPr>
        <w:t>Работа с внутренними ссылками</w:t>
      </w:r>
    </w:p>
    <w:p w:rsidR="00000000" w:rsidRPr="004E1ECE" w:rsidRDefault="004E1ECE" w:rsidP="004E1ECE">
      <w:pPr>
        <w:numPr>
          <w:ilvl w:val="1"/>
          <w:numId w:val="5"/>
        </w:numPr>
        <w:rPr>
          <w:rFonts w:ascii="Verdana" w:hAnsi="Verdana"/>
          <w:sz w:val="24"/>
          <w:szCs w:val="24"/>
        </w:rPr>
      </w:pPr>
      <w:r w:rsidRPr="004E1ECE">
        <w:rPr>
          <w:rFonts w:ascii="Verdana" w:hAnsi="Verdana"/>
          <w:sz w:val="24"/>
          <w:szCs w:val="24"/>
        </w:rPr>
        <w:t>Работа с указателями</w:t>
      </w:r>
    </w:p>
    <w:p w:rsidR="00000000" w:rsidRPr="004E1ECE" w:rsidRDefault="004E1ECE" w:rsidP="004E1ECE">
      <w:pPr>
        <w:numPr>
          <w:ilvl w:val="1"/>
          <w:numId w:val="5"/>
        </w:numPr>
        <w:rPr>
          <w:rFonts w:ascii="Verdana" w:hAnsi="Verdana"/>
          <w:sz w:val="24"/>
          <w:szCs w:val="24"/>
        </w:rPr>
      </w:pPr>
      <w:r w:rsidRPr="004E1ECE">
        <w:rPr>
          <w:rFonts w:ascii="Verdana" w:hAnsi="Verdana"/>
          <w:sz w:val="24"/>
          <w:szCs w:val="24"/>
        </w:rPr>
        <w:t>обертывание (</w:t>
      </w:r>
      <w:r w:rsidRPr="004E1ECE">
        <w:rPr>
          <w:rFonts w:ascii="Verdana" w:hAnsi="Verdana"/>
          <w:sz w:val="24"/>
          <w:szCs w:val="24"/>
          <w:lang w:val="en-US"/>
        </w:rPr>
        <w:t>box/unbox)</w:t>
      </w:r>
    </w:p>
    <w:p w:rsidR="004E1ECE" w:rsidRPr="004E1ECE" w:rsidRDefault="004E1ECE" w:rsidP="004E1ECE">
      <w:pPr>
        <w:ind w:left="1440"/>
        <w:rPr>
          <w:rFonts w:ascii="Verdana" w:hAnsi="Verdana"/>
          <w:sz w:val="24"/>
          <w:szCs w:val="24"/>
        </w:rPr>
      </w:pPr>
      <w:r>
        <w:rPr>
          <w:rFonts w:ascii="Verdana" w:hAnsi="Verdana"/>
          <w:sz w:val="24"/>
          <w:szCs w:val="24"/>
          <w:lang w:val="en-US"/>
        </w:rPr>
        <w:t>+</w:t>
      </w:r>
    </w:p>
    <w:p w:rsidR="004E1ECE" w:rsidRPr="004E1ECE" w:rsidRDefault="004E1ECE" w:rsidP="004E1ECE">
      <w:pPr>
        <w:ind w:left="720"/>
        <w:rPr>
          <w:rFonts w:ascii="Verdana" w:hAnsi="Verdana"/>
          <w:sz w:val="24"/>
          <w:szCs w:val="24"/>
          <w:lang w:val="en-US"/>
        </w:rPr>
      </w:pPr>
      <w:r w:rsidRPr="004E1ECE">
        <w:rPr>
          <w:rFonts w:ascii="Verdana" w:hAnsi="Verdana"/>
          <w:sz w:val="24"/>
          <w:szCs w:val="24"/>
          <w:lang w:val="en-US"/>
        </w:rPr>
        <w:t xml:space="preserve">Common Language Infrastructure (CLI) enables an application program written in any of several commonly-used programming languages to be run on any operating system using a common runtime program rather than a language-specific one. </w:t>
      </w:r>
    </w:p>
    <w:p w:rsidR="004E1ECE" w:rsidRPr="004E1ECE" w:rsidRDefault="004E1ECE" w:rsidP="004E1ECE">
      <w:pPr>
        <w:ind w:left="720"/>
        <w:rPr>
          <w:rFonts w:ascii="Verdana" w:hAnsi="Verdana"/>
          <w:sz w:val="24"/>
          <w:szCs w:val="24"/>
          <w:lang w:val="en-US"/>
        </w:rPr>
      </w:pPr>
      <w:r w:rsidRPr="004E1ECE">
        <w:rPr>
          <w:rFonts w:ascii="Verdana" w:hAnsi="Verdana"/>
          <w:sz w:val="24"/>
          <w:szCs w:val="24"/>
          <w:lang w:val="en-US"/>
        </w:rPr>
        <w:t>Common Language Infrastructure provides a virtual execution environment comparable to the one provided by Sun Microsystems for Java programs. In both environments, CLI and Java use a compiler to process language statements (also known as source code) into a preliminary form of executable code called bytecode. Later, when a program is run, its bytecode is compiled on the fly into the native code required by the machine architecture of a given computer. Common Language Infrastructure has been accepted as an open standard by ECMA, an international organization for the promotion of technology standards. CLI is designed to make it easier to develop programs that can be used as Web services.</w:t>
      </w:r>
    </w:p>
    <w:p w:rsidR="004E1ECE" w:rsidRPr="004E1ECE" w:rsidRDefault="004E1ECE">
      <w:pPr>
        <w:rPr>
          <w:rFonts w:ascii="Verdana" w:hAnsi="Verdana"/>
          <w:sz w:val="24"/>
          <w:szCs w:val="24"/>
          <w:lang w:val="en-US"/>
        </w:rPr>
      </w:pPr>
    </w:p>
    <w:sectPr w:rsidR="004E1ECE" w:rsidRPr="004E1E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Liberation Serif">
    <w:altName w:val="Arial"/>
    <w:charset w:val="00"/>
    <w:family w:val="swiss"/>
    <w:pitch w:val="variable"/>
  </w:font>
  <w:font w:name="Noto Sans CJK SC Regular">
    <w:charset w:val="00"/>
    <w:family w:val="auto"/>
    <w:pitch w:val="variable"/>
  </w:font>
  <w:font w:name="FreeSans">
    <w:altName w:val="Times New Roman"/>
    <w:charset w:val="00"/>
    <w:family w:val="auto"/>
    <w:pitch w:val="variable"/>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9pt;height:9pt" o:bullet="t">
        <v:imagedata r:id="rId1" o:title="art943F"/>
      </v:shape>
    </w:pict>
  </w:numPicBullet>
  <w:abstractNum w:abstractNumId="0" w15:restartNumberingAfterBreak="0">
    <w:nsid w:val="0D6165BC"/>
    <w:multiLevelType w:val="multilevel"/>
    <w:tmpl w:val="67245A4A"/>
    <w:lvl w:ilvl="0">
      <w:start w:val="1"/>
      <w:numFmt w:val="bullet"/>
      <w:lvlText w:val=""/>
      <w:lvlJc w:val="left"/>
      <w:pPr>
        <w:ind w:left="1068" w:hanging="360"/>
      </w:pPr>
      <w:rPr>
        <w:rFonts w:ascii="Wingdings" w:hAnsi="Wingdings" w:hint="default"/>
      </w:rPr>
    </w:lvl>
    <w:lvl w:ilvl="1">
      <w:start w:val="1"/>
      <w:numFmt w:val="bullet"/>
      <w:lvlText w:val=""/>
      <w:lvlJc w:val="left"/>
      <w:pPr>
        <w:ind w:left="1428" w:hanging="360"/>
      </w:pPr>
      <w:rPr>
        <w:rFonts w:ascii="Wingdings" w:hAnsi="Wingdings" w:hint="default"/>
      </w:rPr>
    </w:lvl>
    <w:lvl w:ilvl="2">
      <w:numFmt w:val="bullet"/>
      <w:lvlText w:val="▪"/>
      <w:lvlJc w:val="left"/>
      <w:pPr>
        <w:ind w:left="1788" w:hanging="360"/>
      </w:pPr>
      <w:rPr>
        <w:rFonts w:ascii="OpenSymbol" w:eastAsia="OpenSymbol" w:hAnsi="OpenSymbol" w:cs="OpenSymbol"/>
      </w:rPr>
    </w:lvl>
    <w:lvl w:ilvl="3">
      <w:numFmt w:val="bullet"/>
      <w:lvlText w:val="•"/>
      <w:lvlJc w:val="left"/>
      <w:pPr>
        <w:ind w:left="2148" w:hanging="360"/>
      </w:pPr>
      <w:rPr>
        <w:rFonts w:ascii="OpenSymbol" w:eastAsia="OpenSymbol" w:hAnsi="OpenSymbol" w:cs="OpenSymbol"/>
      </w:rPr>
    </w:lvl>
    <w:lvl w:ilvl="4">
      <w:numFmt w:val="bullet"/>
      <w:lvlText w:val="◦"/>
      <w:lvlJc w:val="left"/>
      <w:pPr>
        <w:ind w:left="2508" w:hanging="360"/>
      </w:pPr>
      <w:rPr>
        <w:rFonts w:ascii="OpenSymbol" w:eastAsia="OpenSymbol" w:hAnsi="OpenSymbol" w:cs="OpenSymbol"/>
      </w:rPr>
    </w:lvl>
    <w:lvl w:ilvl="5">
      <w:numFmt w:val="bullet"/>
      <w:lvlText w:val="▪"/>
      <w:lvlJc w:val="left"/>
      <w:pPr>
        <w:ind w:left="2868" w:hanging="360"/>
      </w:pPr>
      <w:rPr>
        <w:rFonts w:ascii="OpenSymbol" w:eastAsia="OpenSymbol" w:hAnsi="OpenSymbol" w:cs="OpenSymbol"/>
      </w:rPr>
    </w:lvl>
    <w:lvl w:ilvl="6">
      <w:numFmt w:val="bullet"/>
      <w:lvlText w:val="•"/>
      <w:lvlJc w:val="left"/>
      <w:pPr>
        <w:ind w:left="3228" w:hanging="360"/>
      </w:pPr>
      <w:rPr>
        <w:rFonts w:ascii="OpenSymbol" w:eastAsia="OpenSymbol" w:hAnsi="OpenSymbol" w:cs="OpenSymbol"/>
      </w:rPr>
    </w:lvl>
    <w:lvl w:ilvl="7">
      <w:numFmt w:val="bullet"/>
      <w:lvlText w:val="◦"/>
      <w:lvlJc w:val="left"/>
      <w:pPr>
        <w:ind w:left="3588" w:hanging="360"/>
      </w:pPr>
      <w:rPr>
        <w:rFonts w:ascii="OpenSymbol" w:eastAsia="OpenSymbol" w:hAnsi="OpenSymbol" w:cs="OpenSymbol"/>
      </w:rPr>
    </w:lvl>
    <w:lvl w:ilvl="8">
      <w:numFmt w:val="bullet"/>
      <w:lvlText w:val="▪"/>
      <w:lvlJc w:val="left"/>
      <w:pPr>
        <w:ind w:left="3948" w:hanging="360"/>
      </w:pPr>
      <w:rPr>
        <w:rFonts w:ascii="OpenSymbol" w:eastAsia="OpenSymbol" w:hAnsi="OpenSymbol" w:cs="OpenSymbol"/>
      </w:rPr>
    </w:lvl>
  </w:abstractNum>
  <w:abstractNum w:abstractNumId="1" w15:restartNumberingAfterBreak="0">
    <w:nsid w:val="1C227467"/>
    <w:multiLevelType w:val="multilevel"/>
    <w:tmpl w:val="AF6069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7C61B87"/>
    <w:multiLevelType w:val="multilevel"/>
    <w:tmpl w:val="6E4235B0"/>
    <w:lvl w:ilvl="0">
      <w:start w:val="1"/>
      <w:numFmt w:val="bullet"/>
      <w:lvlText w:val=""/>
      <w:lvlJc w:val="left"/>
      <w:pPr>
        <w:ind w:left="1068" w:hanging="360"/>
      </w:pPr>
      <w:rPr>
        <w:rFonts w:ascii="Wingdings" w:hAnsi="Wingdings" w:hint="default"/>
      </w:rPr>
    </w:lvl>
    <w:lvl w:ilvl="1">
      <w:start w:val="1"/>
      <w:numFmt w:val="bullet"/>
      <w:lvlText w:val=""/>
      <w:lvlJc w:val="left"/>
      <w:pPr>
        <w:ind w:left="1428" w:hanging="360"/>
      </w:pPr>
      <w:rPr>
        <w:rFonts w:ascii="Wingdings" w:hAnsi="Wingdings" w:hint="default"/>
      </w:rPr>
    </w:lvl>
    <w:lvl w:ilvl="2">
      <w:numFmt w:val="bullet"/>
      <w:lvlText w:val="▪"/>
      <w:lvlJc w:val="left"/>
      <w:pPr>
        <w:ind w:left="1788" w:hanging="360"/>
      </w:pPr>
      <w:rPr>
        <w:rFonts w:ascii="OpenSymbol" w:eastAsia="OpenSymbol" w:hAnsi="OpenSymbol" w:cs="OpenSymbol"/>
      </w:rPr>
    </w:lvl>
    <w:lvl w:ilvl="3">
      <w:numFmt w:val="bullet"/>
      <w:lvlText w:val="•"/>
      <w:lvlJc w:val="left"/>
      <w:pPr>
        <w:ind w:left="2148" w:hanging="360"/>
      </w:pPr>
      <w:rPr>
        <w:rFonts w:ascii="OpenSymbol" w:eastAsia="OpenSymbol" w:hAnsi="OpenSymbol" w:cs="OpenSymbol"/>
      </w:rPr>
    </w:lvl>
    <w:lvl w:ilvl="4">
      <w:numFmt w:val="bullet"/>
      <w:lvlText w:val="◦"/>
      <w:lvlJc w:val="left"/>
      <w:pPr>
        <w:ind w:left="2508" w:hanging="360"/>
      </w:pPr>
      <w:rPr>
        <w:rFonts w:ascii="OpenSymbol" w:eastAsia="OpenSymbol" w:hAnsi="OpenSymbol" w:cs="OpenSymbol"/>
      </w:rPr>
    </w:lvl>
    <w:lvl w:ilvl="5">
      <w:numFmt w:val="bullet"/>
      <w:lvlText w:val="▪"/>
      <w:lvlJc w:val="left"/>
      <w:pPr>
        <w:ind w:left="2868" w:hanging="360"/>
      </w:pPr>
      <w:rPr>
        <w:rFonts w:ascii="OpenSymbol" w:eastAsia="OpenSymbol" w:hAnsi="OpenSymbol" w:cs="OpenSymbol"/>
      </w:rPr>
    </w:lvl>
    <w:lvl w:ilvl="6">
      <w:numFmt w:val="bullet"/>
      <w:lvlText w:val="•"/>
      <w:lvlJc w:val="left"/>
      <w:pPr>
        <w:ind w:left="3228" w:hanging="360"/>
      </w:pPr>
      <w:rPr>
        <w:rFonts w:ascii="OpenSymbol" w:eastAsia="OpenSymbol" w:hAnsi="OpenSymbol" w:cs="OpenSymbol"/>
      </w:rPr>
    </w:lvl>
    <w:lvl w:ilvl="7">
      <w:numFmt w:val="bullet"/>
      <w:lvlText w:val="◦"/>
      <w:lvlJc w:val="left"/>
      <w:pPr>
        <w:ind w:left="3588" w:hanging="360"/>
      </w:pPr>
      <w:rPr>
        <w:rFonts w:ascii="OpenSymbol" w:eastAsia="OpenSymbol" w:hAnsi="OpenSymbol" w:cs="OpenSymbol"/>
      </w:rPr>
    </w:lvl>
    <w:lvl w:ilvl="8">
      <w:numFmt w:val="bullet"/>
      <w:lvlText w:val="▪"/>
      <w:lvlJc w:val="left"/>
      <w:pPr>
        <w:ind w:left="3948" w:hanging="360"/>
      </w:pPr>
      <w:rPr>
        <w:rFonts w:ascii="OpenSymbol" w:eastAsia="OpenSymbol" w:hAnsi="OpenSymbol" w:cs="OpenSymbol"/>
      </w:rPr>
    </w:lvl>
  </w:abstractNum>
  <w:abstractNum w:abstractNumId="3" w15:restartNumberingAfterBreak="0">
    <w:nsid w:val="44A815CE"/>
    <w:multiLevelType w:val="multilevel"/>
    <w:tmpl w:val="5514593E"/>
    <w:lvl w:ilvl="0">
      <w:numFmt w:val="bullet"/>
      <w:lvlText w:val="•"/>
      <w:lvlJc w:val="left"/>
      <w:pPr>
        <w:ind w:left="720" w:hanging="360"/>
      </w:pPr>
      <w:rPr>
        <w:rFonts w:ascii="OpenSymbol" w:eastAsia="OpenSymbol" w:hAnsi="OpenSymbol" w:cs="OpenSymbol"/>
      </w:rPr>
    </w:lvl>
    <w:lvl w:ilvl="1">
      <w:start w:val="1"/>
      <w:numFmt w:val="bullet"/>
      <w:lvlText w:val=""/>
      <w:lvlJc w:val="left"/>
      <w:pPr>
        <w:ind w:left="1080" w:hanging="360"/>
      </w:pPr>
      <w:rPr>
        <w:rFonts w:ascii="Wingdings" w:hAnsi="Wingdings"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618205B5"/>
    <w:multiLevelType w:val="hybridMultilevel"/>
    <w:tmpl w:val="3550C95C"/>
    <w:lvl w:ilvl="0" w:tplc="618234B0">
      <w:start w:val="1"/>
      <w:numFmt w:val="bullet"/>
      <w:lvlText w:val=""/>
      <w:lvlPicBulletId w:val="0"/>
      <w:lvlJc w:val="left"/>
      <w:pPr>
        <w:tabs>
          <w:tab w:val="num" w:pos="720"/>
        </w:tabs>
        <w:ind w:left="720" w:hanging="360"/>
      </w:pPr>
      <w:rPr>
        <w:rFonts w:ascii="Symbol" w:hAnsi="Symbol" w:hint="default"/>
      </w:rPr>
    </w:lvl>
    <w:lvl w:ilvl="1" w:tplc="B254CF6E">
      <w:numFmt w:val="bullet"/>
      <w:lvlText w:val=""/>
      <w:lvlJc w:val="left"/>
      <w:pPr>
        <w:tabs>
          <w:tab w:val="num" w:pos="1440"/>
        </w:tabs>
        <w:ind w:left="1440" w:hanging="360"/>
      </w:pPr>
      <w:rPr>
        <w:rFonts w:ascii="Wingdings" w:hAnsi="Wingdings" w:hint="default"/>
      </w:rPr>
    </w:lvl>
    <w:lvl w:ilvl="2" w:tplc="370C2606" w:tentative="1">
      <w:start w:val="1"/>
      <w:numFmt w:val="bullet"/>
      <w:lvlText w:val=""/>
      <w:lvlPicBulletId w:val="0"/>
      <w:lvlJc w:val="left"/>
      <w:pPr>
        <w:tabs>
          <w:tab w:val="num" w:pos="2160"/>
        </w:tabs>
        <w:ind w:left="2160" w:hanging="360"/>
      </w:pPr>
      <w:rPr>
        <w:rFonts w:ascii="Symbol" w:hAnsi="Symbol" w:hint="default"/>
      </w:rPr>
    </w:lvl>
    <w:lvl w:ilvl="3" w:tplc="3F16AEEC" w:tentative="1">
      <w:start w:val="1"/>
      <w:numFmt w:val="bullet"/>
      <w:lvlText w:val=""/>
      <w:lvlPicBulletId w:val="0"/>
      <w:lvlJc w:val="left"/>
      <w:pPr>
        <w:tabs>
          <w:tab w:val="num" w:pos="2880"/>
        </w:tabs>
        <w:ind w:left="2880" w:hanging="360"/>
      </w:pPr>
      <w:rPr>
        <w:rFonts w:ascii="Symbol" w:hAnsi="Symbol" w:hint="default"/>
      </w:rPr>
    </w:lvl>
    <w:lvl w:ilvl="4" w:tplc="184EC9EC" w:tentative="1">
      <w:start w:val="1"/>
      <w:numFmt w:val="bullet"/>
      <w:lvlText w:val=""/>
      <w:lvlPicBulletId w:val="0"/>
      <w:lvlJc w:val="left"/>
      <w:pPr>
        <w:tabs>
          <w:tab w:val="num" w:pos="3600"/>
        </w:tabs>
        <w:ind w:left="3600" w:hanging="360"/>
      </w:pPr>
      <w:rPr>
        <w:rFonts w:ascii="Symbol" w:hAnsi="Symbol" w:hint="default"/>
      </w:rPr>
    </w:lvl>
    <w:lvl w:ilvl="5" w:tplc="F7C62062" w:tentative="1">
      <w:start w:val="1"/>
      <w:numFmt w:val="bullet"/>
      <w:lvlText w:val=""/>
      <w:lvlPicBulletId w:val="0"/>
      <w:lvlJc w:val="left"/>
      <w:pPr>
        <w:tabs>
          <w:tab w:val="num" w:pos="4320"/>
        </w:tabs>
        <w:ind w:left="4320" w:hanging="360"/>
      </w:pPr>
      <w:rPr>
        <w:rFonts w:ascii="Symbol" w:hAnsi="Symbol" w:hint="default"/>
      </w:rPr>
    </w:lvl>
    <w:lvl w:ilvl="6" w:tplc="B4B88E70" w:tentative="1">
      <w:start w:val="1"/>
      <w:numFmt w:val="bullet"/>
      <w:lvlText w:val=""/>
      <w:lvlPicBulletId w:val="0"/>
      <w:lvlJc w:val="left"/>
      <w:pPr>
        <w:tabs>
          <w:tab w:val="num" w:pos="5040"/>
        </w:tabs>
        <w:ind w:left="5040" w:hanging="360"/>
      </w:pPr>
      <w:rPr>
        <w:rFonts w:ascii="Symbol" w:hAnsi="Symbol" w:hint="default"/>
      </w:rPr>
    </w:lvl>
    <w:lvl w:ilvl="7" w:tplc="FEA468C0" w:tentative="1">
      <w:start w:val="1"/>
      <w:numFmt w:val="bullet"/>
      <w:lvlText w:val=""/>
      <w:lvlPicBulletId w:val="0"/>
      <w:lvlJc w:val="left"/>
      <w:pPr>
        <w:tabs>
          <w:tab w:val="num" w:pos="5760"/>
        </w:tabs>
        <w:ind w:left="5760" w:hanging="360"/>
      </w:pPr>
      <w:rPr>
        <w:rFonts w:ascii="Symbol" w:hAnsi="Symbol" w:hint="default"/>
      </w:rPr>
    </w:lvl>
    <w:lvl w:ilvl="8" w:tplc="04F45D52" w:tentative="1">
      <w:start w:val="1"/>
      <w:numFmt w:val="bullet"/>
      <w:lvlText w:val=""/>
      <w:lvlPicBulletId w:val="0"/>
      <w:lvlJc w:val="left"/>
      <w:pPr>
        <w:tabs>
          <w:tab w:val="num" w:pos="6480"/>
        </w:tabs>
        <w:ind w:left="6480" w:hanging="360"/>
      </w:pPr>
      <w:rPr>
        <w:rFonts w:ascii="Symbol" w:hAnsi="Symbol"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95F"/>
    <w:rsid w:val="0021695F"/>
    <w:rsid w:val="00407D9D"/>
    <w:rsid w:val="00413CE5"/>
    <w:rsid w:val="004E1ECE"/>
    <w:rsid w:val="00553429"/>
    <w:rsid w:val="005D7FB2"/>
    <w:rsid w:val="00846441"/>
    <w:rsid w:val="0090474D"/>
    <w:rsid w:val="009E588E"/>
    <w:rsid w:val="00C133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EB510"/>
  <w15:chartTrackingRefBased/>
  <w15:docId w15:val="{C2A9D6C1-31D8-4D24-858E-ED8445D2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90474D"/>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052433">
      <w:bodyDiv w:val="1"/>
      <w:marLeft w:val="0"/>
      <w:marRight w:val="0"/>
      <w:marTop w:val="0"/>
      <w:marBottom w:val="0"/>
      <w:divBdr>
        <w:top w:val="none" w:sz="0" w:space="0" w:color="auto"/>
        <w:left w:val="none" w:sz="0" w:space="0" w:color="auto"/>
        <w:bottom w:val="none" w:sz="0" w:space="0" w:color="auto"/>
        <w:right w:val="none" w:sz="0" w:space="0" w:color="auto"/>
      </w:divBdr>
      <w:divsChild>
        <w:div w:id="1598447105">
          <w:marLeft w:val="547"/>
          <w:marRight w:val="0"/>
          <w:marTop w:val="154"/>
          <w:marBottom w:val="0"/>
          <w:divBdr>
            <w:top w:val="none" w:sz="0" w:space="0" w:color="auto"/>
            <w:left w:val="none" w:sz="0" w:space="0" w:color="auto"/>
            <w:bottom w:val="none" w:sz="0" w:space="0" w:color="auto"/>
            <w:right w:val="none" w:sz="0" w:space="0" w:color="auto"/>
          </w:divBdr>
        </w:div>
        <w:div w:id="2076393085">
          <w:marLeft w:val="1166"/>
          <w:marRight w:val="0"/>
          <w:marTop w:val="134"/>
          <w:marBottom w:val="0"/>
          <w:divBdr>
            <w:top w:val="none" w:sz="0" w:space="0" w:color="auto"/>
            <w:left w:val="none" w:sz="0" w:space="0" w:color="auto"/>
            <w:bottom w:val="none" w:sz="0" w:space="0" w:color="auto"/>
            <w:right w:val="none" w:sz="0" w:space="0" w:color="auto"/>
          </w:divBdr>
        </w:div>
        <w:div w:id="411708232">
          <w:marLeft w:val="1166"/>
          <w:marRight w:val="0"/>
          <w:marTop w:val="134"/>
          <w:marBottom w:val="0"/>
          <w:divBdr>
            <w:top w:val="none" w:sz="0" w:space="0" w:color="auto"/>
            <w:left w:val="none" w:sz="0" w:space="0" w:color="auto"/>
            <w:bottom w:val="none" w:sz="0" w:space="0" w:color="auto"/>
            <w:right w:val="none" w:sz="0" w:space="0" w:color="auto"/>
          </w:divBdr>
        </w:div>
        <w:div w:id="1526090741">
          <w:marLeft w:val="1166"/>
          <w:marRight w:val="0"/>
          <w:marTop w:val="134"/>
          <w:marBottom w:val="0"/>
          <w:divBdr>
            <w:top w:val="none" w:sz="0" w:space="0" w:color="auto"/>
            <w:left w:val="none" w:sz="0" w:space="0" w:color="auto"/>
            <w:bottom w:val="none" w:sz="0" w:space="0" w:color="auto"/>
            <w:right w:val="none" w:sz="0" w:space="0" w:color="auto"/>
          </w:divBdr>
        </w:div>
        <w:div w:id="1306349900">
          <w:marLeft w:val="1166"/>
          <w:marRight w:val="0"/>
          <w:marTop w:val="134"/>
          <w:marBottom w:val="0"/>
          <w:divBdr>
            <w:top w:val="none" w:sz="0" w:space="0" w:color="auto"/>
            <w:left w:val="none" w:sz="0" w:space="0" w:color="auto"/>
            <w:bottom w:val="none" w:sz="0" w:space="0" w:color="auto"/>
            <w:right w:val="none" w:sz="0" w:space="0" w:color="auto"/>
          </w:divBdr>
        </w:div>
        <w:div w:id="1338118957">
          <w:marLeft w:val="1166"/>
          <w:marRight w:val="0"/>
          <w:marTop w:val="134"/>
          <w:marBottom w:val="0"/>
          <w:divBdr>
            <w:top w:val="none" w:sz="0" w:space="0" w:color="auto"/>
            <w:left w:val="none" w:sz="0" w:space="0" w:color="auto"/>
            <w:bottom w:val="none" w:sz="0" w:space="0" w:color="auto"/>
            <w:right w:val="none" w:sz="0" w:space="0" w:color="auto"/>
          </w:divBdr>
        </w:div>
        <w:div w:id="1960914508">
          <w:marLeft w:val="1166"/>
          <w:marRight w:val="0"/>
          <w:marTop w:val="134"/>
          <w:marBottom w:val="0"/>
          <w:divBdr>
            <w:top w:val="none" w:sz="0" w:space="0" w:color="auto"/>
            <w:left w:val="none" w:sz="0" w:space="0" w:color="auto"/>
            <w:bottom w:val="none" w:sz="0" w:space="0" w:color="auto"/>
            <w:right w:val="none" w:sz="0" w:space="0" w:color="auto"/>
          </w:divBdr>
        </w:div>
      </w:divsChild>
    </w:div>
    <w:div w:id="1722825939">
      <w:bodyDiv w:val="1"/>
      <w:marLeft w:val="0"/>
      <w:marRight w:val="0"/>
      <w:marTop w:val="0"/>
      <w:marBottom w:val="0"/>
      <w:divBdr>
        <w:top w:val="none" w:sz="0" w:space="0" w:color="auto"/>
        <w:left w:val="none" w:sz="0" w:space="0" w:color="auto"/>
        <w:bottom w:val="none" w:sz="0" w:space="0" w:color="auto"/>
        <w:right w:val="none" w:sz="0" w:space="0" w:color="auto"/>
      </w:divBdr>
      <w:divsChild>
        <w:div w:id="1297565156">
          <w:marLeft w:val="547"/>
          <w:marRight w:val="0"/>
          <w:marTop w:val="154"/>
          <w:marBottom w:val="0"/>
          <w:divBdr>
            <w:top w:val="none" w:sz="0" w:space="0" w:color="auto"/>
            <w:left w:val="none" w:sz="0" w:space="0" w:color="auto"/>
            <w:bottom w:val="none" w:sz="0" w:space="0" w:color="auto"/>
            <w:right w:val="none" w:sz="0" w:space="0" w:color="auto"/>
          </w:divBdr>
        </w:div>
        <w:div w:id="555821686">
          <w:marLeft w:val="1166"/>
          <w:marRight w:val="0"/>
          <w:marTop w:val="134"/>
          <w:marBottom w:val="0"/>
          <w:divBdr>
            <w:top w:val="none" w:sz="0" w:space="0" w:color="auto"/>
            <w:left w:val="none" w:sz="0" w:space="0" w:color="auto"/>
            <w:bottom w:val="none" w:sz="0" w:space="0" w:color="auto"/>
            <w:right w:val="none" w:sz="0" w:space="0" w:color="auto"/>
          </w:divBdr>
        </w:div>
        <w:div w:id="1915504305">
          <w:marLeft w:val="1166"/>
          <w:marRight w:val="0"/>
          <w:marTop w:val="134"/>
          <w:marBottom w:val="0"/>
          <w:divBdr>
            <w:top w:val="none" w:sz="0" w:space="0" w:color="auto"/>
            <w:left w:val="none" w:sz="0" w:space="0" w:color="auto"/>
            <w:bottom w:val="none" w:sz="0" w:space="0" w:color="auto"/>
            <w:right w:val="none" w:sz="0" w:space="0" w:color="auto"/>
          </w:divBdr>
        </w:div>
        <w:div w:id="438181918">
          <w:marLeft w:val="1166"/>
          <w:marRight w:val="0"/>
          <w:marTop w:val="134"/>
          <w:marBottom w:val="0"/>
          <w:divBdr>
            <w:top w:val="none" w:sz="0" w:space="0" w:color="auto"/>
            <w:left w:val="none" w:sz="0" w:space="0" w:color="auto"/>
            <w:bottom w:val="none" w:sz="0" w:space="0" w:color="auto"/>
            <w:right w:val="none" w:sz="0" w:space="0" w:color="auto"/>
          </w:divBdr>
        </w:div>
        <w:div w:id="1921327332">
          <w:marLeft w:val="1166"/>
          <w:marRight w:val="0"/>
          <w:marTop w:val="134"/>
          <w:marBottom w:val="0"/>
          <w:divBdr>
            <w:top w:val="none" w:sz="0" w:space="0" w:color="auto"/>
            <w:left w:val="none" w:sz="0" w:space="0" w:color="auto"/>
            <w:bottom w:val="none" w:sz="0" w:space="0" w:color="auto"/>
            <w:right w:val="none" w:sz="0" w:space="0" w:color="auto"/>
          </w:divBdr>
        </w:div>
        <w:div w:id="1258099052">
          <w:marLeft w:val="1166"/>
          <w:marRight w:val="0"/>
          <w:marTop w:val="134"/>
          <w:marBottom w:val="0"/>
          <w:divBdr>
            <w:top w:val="none" w:sz="0" w:space="0" w:color="auto"/>
            <w:left w:val="none" w:sz="0" w:space="0" w:color="auto"/>
            <w:bottom w:val="none" w:sz="0" w:space="0" w:color="auto"/>
            <w:right w:val="none" w:sz="0" w:space="0" w:color="auto"/>
          </w:divBdr>
        </w:div>
        <w:div w:id="1838039170">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416</Words>
  <Characters>2374</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Anatoly Shelikhovsky</dc:creator>
  <cp:keywords/>
  <dc:description/>
  <cp:lastModifiedBy>Anatoly Shelikhovsky</cp:lastModifiedBy>
  <cp:revision>8</cp:revision>
  <dcterms:created xsi:type="dcterms:W3CDTF">2016-12-01T16:45:00Z</dcterms:created>
  <dcterms:modified xsi:type="dcterms:W3CDTF">2016-12-04T12:57:00Z</dcterms:modified>
</cp:coreProperties>
</file>