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B4B"/>
          <w:spacing w:val="80"/>
          <w:sz w:val="56"/>
          <w:szCs w:val="56"/>
        </w:rPr>
        <w:t xml:space="preserve">GOOD ASSUMPTIONS</w:t>
      </w:r>
    </w:p>
    <w:p>
      <w:pPr>
        <w:spacing w:after="600" w:before="0"/>
      </w:pPr>
      <w:r>
        <w:rPr>
          <w:rFonts w:ascii="Arial" w:cs="Arial" w:eastAsia="Arial" w:hAnsi="Arial"/>
          <w:color w:val="1D9E75"/>
          <w:sz w:val="24"/>
          <w:szCs w:val="24"/>
        </w:rPr>
        <w:t xml:space="preserve">goodassumptions.com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Brand &amp; Design Brief</w:t>
      </w:r>
    </w:p>
    <w:p>
      <w:pPr>
        <w:spacing w:after="60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the designer. Covers visual identity, design system, page architecture,
copy direction, and enough context to shape the brand from the ground up.</w:t>
      </w:r>
    </w:p>
    <w:p>
      <w:pPr>
        <w:pBdr>
          <w:bottom w:val="single" w:color="1D9E75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 · April 2026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Internal working document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Webflow (goodassumptions.com)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Connected product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SAEO.ai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01 · WHO WE ARE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Good Assumptions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Good Assumptions is a behavioral marketing intelligence practice. We connect the academic science of human decision-making to the practical problems practitioners face every day — and we built a platform, SAEO.ai, to do it at scale.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This is not a content marketing brand that happens to sell something. It is an intellectual operation. Every piece of content teaches a mechanism. Every mechanism creates a gap. The gap is what SAEO fills.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085041"/>
                <w:sz w:val="24"/>
                <w:szCs w:val="24"/>
              </w:rPr>
              <w:t xml:space="preserve">"Marketing is the art and science of understanding, guiding, and nudging human behavior through meaningful interactions that build lasting relationships between brands and consumers across every touchpoint of the journey."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— Good Assumptions working definition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The two audiences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Good Assumptions serves two audiences at different depths of the same need. Every design decision should hold for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The practitioner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In-house marketer, agency strategist, or founder-led brand. Smart, experienced, faintly dissatisfied with the ceiling of their current mental model. Not looking for tips. Looking for a better framework.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The senior buyer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CMO, VP Marketing, strategy director. Evaluating SAEO.ai as an organisational intelligence layer. Arrives via white papers and case studies. Needs to see rigour and depth before converting.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The editorial position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One sentence: We explain the behavioral science behind marketing decisions that practitioners make every day without knowing why they work.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This is the Freakonomics move — not tips, but mechanisms. Not what to do, but why it works. The design system should reflect this. Authority without arrogance. Depth without inaccessibility.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The relationship between GA and SAEO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Good Assumptions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publication, white paper library, and consulting front door. Free content, gated research, consulting inquiry. Earns credibility. Converts to SAEO leads.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SAEO.ai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behavioral intelligence platform. The product. Paid access. Every GA article creates a gap between what the reader just learned and what they could do with it if they had the full intelligence system. SAEO fills that gap.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02 · DESIGN SYSTEM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Visual language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Good Assumptions is a credibility brand — not a SaaS startup, not a creative agency. The design borrows from serious editorial publications: The Atlantic, Aeon, Farnam Street. Clean, weighted, typographically led.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principles below are non-negotiable starting constraints. The designer has full latitude within them.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Design principles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01  Typography-first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Hero sections use one headline, one subhead, one CTA. No hero images required — the words carry the weight. White space is structural, not decorative. Do not fill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02  Color is semantic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Teal = behavioral transitions and intelligence. Coral = human friction and cognitive moments. Navy = structure, authority, and data. Never decorative. If a color appears somewhere, it means something.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03  No gradients. No shadows.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Flat, clean, weighted. Borders are 0.5px. Cards use border-radius 12px. Buttons use border-radius 8px. No pill shapes for content actions. No decorative elements.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04  Two weights only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Regular (400) and medium (500). Hierarchy comes from size and color, not weight extremes. Heavy weights feel wrong for this voice.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05  Reading-optimised body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Article body at 16px / 1.75 line-height. Max content width: 680px. Readers should never fight the layout to read the content.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Colour palette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Three primary brand colours. Each carries semantic meaning. Supporting neutrals for surfaces and UI chrome.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Name · Hex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Role / usage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Structural Navy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#1B2B4B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Navigation, headings, primary buttons, footer, data structure. The primary brand anchor.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Liminal Teal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#1D9E75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Liminal transitions, pull quotes, CTAs, highlights, accents. Behavioral intelligence colour.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Human Coral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#D85A30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Friction points, cognitive moments, case study verdicts, warnings. The human signal.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Warm White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#F8F7F4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Page background. Slightly warm to avoid clinical harshness.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1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Light Navy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#EEF1F7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Card surfaces, table header fills, info boxes on navy territory.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Teal 50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#E1F5EE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Pull quote backgrounds, teal territory card fills.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Coral 50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#FAECE7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Coral territory fills, warning/friction context boxes.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4A55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Slate</w:t>
            </w:r>
          </w:p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#4A5568</w:t>
            </w:r>
          </w:p>
        </w:tc>
        <w:tc>
          <w:tcPr>
            <w:tcW w:type="dxa" w:w="5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Secondary body text, captions, labels.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Territory colours (full set for badge system):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T1 · Liminal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#E1F5EE / #085041</w:t>
            </w:r>
          </w:p>
        </w:tc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Teal — liminal transitions, behavioral intelligence</w:t>
            </w:r>
          </w:p>
        </w:tc>
      </w:tr>
      <w:tr>
        <w:tc>
          <w:tcPr>
            <w:tcW w:type="dxa" w:w="1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T2 · Biases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#EEEDFE / #3C3489</w:t>
            </w:r>
          </w:p>
        </w:tc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Purple — cognitive biases database</w:t>
            </w:r>
          </w:p>
        </w:tc>
      </w:tr>
      <w:tr>
        <w:tc>
          <w:tcPr>
            <w:tcW w:type="dxa" w:w="1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1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T3 · BIM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#EEF1F7 / #1B2B4B</w:t>
            </w:r>
          </w:p>
        </w:tc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Navy — structural framework content</w:t>
            </w:r>
          </w:p>
        </w:tc>
      </w:tr>
      <w:tr>
        <w:tc>
          <w:tcPr>
            <w:tcW w:type="dxa" w:w="1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T4 · SAEO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#FAECE7 / #712B13</w:t>
            </w:r>
          </w:p>
        </w:tc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Coral — diagnostic, problem-localisation content</w:t>
            </w:r>
          </w:p>
        </w:tc>
      </w:tr>
      <w:tr>
        <w:tc>
          <w:tcPr>
            <w:tcW w:type="dxa" w:w="1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T5 · 7Q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#FAEEDA / #633806</w:t>
            </w:r>
          </w:p>
        </w:tc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Amber — strategic framework, 7 Questions</w:t>
            </w:r>
          </w:p>
        </w:tc>
      </w:tr>
      <w:tr>
        <w:tc>
          <w:tcPr>
            <w:tcW w:type="dxa" w:w="1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BE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T6 · Brand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#FBEAF0 / #72243E</w:t>
            </w:r>
          </w:p>
        </w:tc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Pink — brand identity, Kapferer, observer effect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Typography scale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System sans-serif (Arial or equivalent web-safe) for all UI and body text. Serif reserved for hero pull-quote moments only. The scale communicates authority through proportion, not decoration.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Usage / notes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38–48px / 500 / lh 1.2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 hero headline only. Maximum weight the brand carries.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H1 / Page hero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28–32px / 500 / lh 1.25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Page-level titles. Article titles on detail pages.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H2 / Section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22px / 500 / lh 1.3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Section headings within pages. Used sparingly.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H3 / Component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17px / 500 / lh 1.4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titles, sidebar headings, component labels.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17px / 400 / lh 1.8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paragraphs, intro copy on hero sections.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16px / 400 / lh 1.75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body. Max-width 680px. Primary reading type.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14px / 400 / lh 1.65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excerpts, secondary descriptive copy.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11–12px / 500 / tracking 0.06em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Uppercase labels, category tags, metadata. Never below 11px.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Pull quote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17–20px / 500 / italic / serif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Editorial pull quotes only. Teal left-border treatment.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Spacing system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Base unit: 4px. All spacing is a multiple. White space is structural — especially in long-form reading contexts.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4px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gap, inline element separation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8px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 padding, tight component gaps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12px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grid gaps, label-to-content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16px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padding, section internal spacing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24px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Component-to-component, nav link gaps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32px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Section top/bottom padding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48px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Major section breaks, hero padding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80px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8"/>
                    <w:left w:type="dxa" w:w="0"/>
                    <w:bottom w:type="dxa" w:w="8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4"/>
                      <w:szCs w:val="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Page-level section separation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Brand mark — direction for designer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current mark concept: an orbit — a circle in motion. Represents the behavioral loop: observe → understand → intervene → measure. The designer should take this as directional, not final.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mark should feel precise and purposeful, not playful or tech-startup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Teal on navy is the primary colour combination for the mark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Minimum rendered size: 24px square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Must work in navy/teal, white on navy, and navy on white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Avoid: gradients, complexity, anything that reads as a generic brain/lightbulb/chart icon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Designer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 are not a SaaS product. The mark should read like a serious intellectual brand — think closer to a think tank or academic publisher than a marketing tech company. The restraint is intentional and load-bearing.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03 · NAVIGATION &amp; SITE STRUCTURE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Site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Navigation — final structure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Four items plus a persistent CTA button. Flat. No mega-menu at launch.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Nav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Destination / purpose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Main editorial feed. All published articles, filterable by territory and content type. Default: newest first. Case studies surface here via badge filter — not a separate nav item.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Concepts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reference library. Cognitive biases, liminal transitions, BIM pillars. Searchable and filterable glossary of every named entity in the GA framework.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White Papers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Deep research documents. Replaces the separate "Research" and "Case Studies" nav items. Gated or open access per paper. Signals authority. Target: CMO/VP-level reader.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About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Good Assumptions is, who builds it, the framework stack, and the link to SAEO.ai with context. The intellectual foundation page.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 Try SAEO.ai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Primary conversion action. Styled as a filled navy button. Persistent across all pages. Links to saeo.ai. This button should be visually distinct — it is the only "product" moment in the nav.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Why Case Studies is not a nav item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Case Studies are a content type within Blog — not a separate editorial destination. Separating them creates a nav item that will often be sparse and creates unnecessary navigation complexity for the reader.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right treatment: Case Study is a badge on the article card. Readers who want case studies filter the Blog by content type. The content is discoverable and prominent without requiring its own nav slot.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White Papers replaces both "Research" and any separate case study listing. White Papers signals the highest-credibility content format. It earns the nav item.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Blog index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goodassumptions.com/blog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 detail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goodassumptions.com/blog/[slug]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Concepts index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goodassumptions.com/concepts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Concept detail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goodassumptions.com/concepts/[slug]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Papers index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goodassumptions.com/research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Paper detail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goodassumptions.com/research/[slug]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goodassumptions.com/about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Consulting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goodassumptions.com/consulting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SAEO landing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B4B"/>
                <w:sz w:val="20"/>
                <w:szCs w:val="20"/>
              </w:rPr>
              <w:t xml:space="preserve">goodassumptions.com/saeo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04 · HOMEPAGE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Homepage — module by module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homepage has one job: make the right person feel seen and want to go deeper. It does not need to explain everything. It is a sequence of moments that earns the next click. Modules are listed top to bottom.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01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HERO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Typography-first. The positioning statement. Make the reader feel seen within the first three seconds.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Eyebrow label: "Behavioral marketing intelligence" — teal, uppercase, tracked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Headline: "Most marketing problems are diagnosis problems." — display size, navy, max-width 640px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Subhead: 1–2 sentences for the target reader. 18px, muted, max-width 520px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Two CTAs: primary navy button ("Start with the framework →") and outline button ("Try SAEO.ai")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 row: 4 numbers — 201 biases · 133 transitions · 3,269 tactics · 55 verticals — below the CTAs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notes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No hero image. No background pattern. The words carry the weight. Stat row should be understated — small number, small label, wide spacing. Proof, not features.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02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POSITION STRIP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One sentence. Full width. The GA editorial position stated plainly. Sits between hero and content like a pull quote at page scale.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85041"/>
                <w:sz w:val="24"/>
                <w:szCs w:val="24"/>
              </w:rPr>
              <w:t xml:space="preserve">"We explain the behavioral science behind marketing decisions that practitioners make every day without knowing why they work."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notes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Navy background. White text. Teal accent on the key phrase. Full-bleed or near-full-bleed. No card treatment — this is a band, not a component. Padding: 40–48px top and bottom.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03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FEATURED ARTICLE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editorial handshake. The first piece of content the reader encounters. Editor-controlled via CMS "Featured" toggle.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Cover image: 1200×630px, left side of a two-column layout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Right column: territory badge, content type badge, difficulty badge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Article title, 2–3 line excerpt, reading time and date, read CTA in teal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notes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Two-column card. The image column can use a solid colour fill with the article title as a text overlay for articles without strong photography. Do not use stock photography that looks generic.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04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CONTENT TERRITORIES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Orient the new reader to the breadth of GA content without overwhelming them. Each territory links to its hub page.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Six cards in a 3×2 grid. Each card uses the territory's colour family (fill + border + text). Short territory name, 2–3 sentence description.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Territory colours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T1 Liminal — Teal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T2 Cognitive Biases — Purple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T3 BIM Framework — Navy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T4 SAEO Diagnostic — Coral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T5 Seven Questions — Amber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T6 Brand &amp; Identity — Pink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05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LATEST ARTICLES GRID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Surface the most recent content. Primary discovery mechanism for returning readers.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Six cards in a 3×2 grid. Sorted newest first. No excerpt on cards — keep it clean. Card elements: cover image/colour fill, content type badge, territory badge, title, reading time, difficulty badge.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notes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"All articles →" link sits in the section header, right-aligned. Card image area should use the territory colour as a solid fill when a strong cover image is not available — never leave it white or use a generic placeholder.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06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FRAMEWORK TEASER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intellectual hook for the reader who wants the full model. Creates the gap between what they just read and what the framework offers.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Two-column: editorial copy on the left, SAEO diagnostic visual on the right.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Left column copy direction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Heading: "Marketing problems don't live where you find them."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Body: 2–3 sentences on the SAEO diagnostic concept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CTA: "Explore the framework →"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Right column — SAEO diagram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Four boxes in a 2×2 grid. Each box is a letter + word + 1-sentence question: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 — Strategy — "Are we solving the right problem?"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— Application — "Are we implementing the strategy correctly?"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 — Execution — "Do we have the right tools to deliver?"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 — Operations — "Are internal processes supporting the strategy?"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Colours: S=navy, A=teal, E=amber, O=coral — matching semantic colour logic throughout the design system.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07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WHITE PAPERS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Signal that this is a serious intellectual operation. The white paper section is where the CMO/VP reader gets anchored.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Two-column card grid. Each card: territory badge, access model badge (Open Access / Email Gate), title, 2–3 sentence abstract, CTA.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Access model badges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Open Access — green/sage treatment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Email Gate — amber treatment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SAEO Members Only — navy treatment (future state)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notes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White Papers section header links to the full research index. This is a teaser — show 2 papers maximum on the homepage. Let the index page carry the full library.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08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SAEO.AI CONVERSION BLOCK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one honest sales moment on the homepage. Should not feel like a sales pitch — it should feel like an honest description of what exists.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Full-width navy band. Teal eyebrow label. White headline and body text. The gap quote in italic teal — "This article covers 5 liminal transitions. SAEO.ai contains 133." — is the conversion mechanic.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Stat row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201 cognitive biases · 133 liminal transitions · 3,269 executable tactics · 55 industry verticals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CTAs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Primary: "Try SAEO.ai →" — teal filled button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Secondary: "Join the waitlist" — white outline button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09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EMAIL CAPTURE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Newsletter signup. Lowest friction possible. Lives above the footer.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Two-column: copy on the left, form on the right.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Copy direction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Heading: "Sharp thinking, not noise."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Body: What the newsletter is — behavioral science applied to marketing practice, new content when it's ready not on a schedule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Form: Email input + subscribe button. Optional first name field.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Helper text: "No cadence commitments. Unsubscribe anytime."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dashed" w:color="9FE1CB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40"/>
                <w:sz w:val="18"/>
                <w:szCs w:val="18"/>
              </w:rPr>
              <w:t xml:space="preserve">MODULE 10  ·  </w:t>
            </w:r>
            <w:r>
              <w:rPr>
                <w:rFonts w:ascii="Arial" w:cs="Arial" w:eastAsia="Arial" w:hAnsi="Arial"/>
                <w:b/>
                <w:bCs/>
                <w:color w:val="1B2B4B"/>
                <w:spacing w:val="40"/>
                <w:sz w:val="18"/>
                <w:szCs w:val="18"/>
              </w:rPr>
              <w:t xml:space="preserve">FOOTER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Layout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Three-column nav on the right (Content, Platform, Company). Brand mark and tagline on the left. Copyright and legal links in the bottom strip.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Footer nav columns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Content: Blog, Concepts, White Papers, Case Studies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Platform: SAEO.ai, Join waitlist, Consulting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Company: About, Newsletter, LinkedIn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notes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No clutter. No social icon grid. LinkedIn text link only at launch. Case Studies appears in the footer content column even though it is not a top-level nav item — good for SEO and returning readers.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05 · ABOUT PAGE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About page — structure &amp; copy direction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About page is the intellectual foundation of Good Assumptions. It is not a team bio page. It is the page that explains what this operation believes about marketing, how the framework was built, and why SAEO exists as a natural conclusion — not a product pitch.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SAEO gets one contained section near the bottom. It is introduced as the inevitable consequence of the framework growing large enough to need a platform.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Page sections — top to bottom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1 — Opening statement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Headline: "Marketing is the science of understanding why people do what they do — and designing for it."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Two short paragraphs: what GA is, what problem it was built to solve. No jargon. No hype.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2 — Our definition of marketing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 core philosophical difference between the old model (right product, right person, right time) and the GA model (right understanding, right threshold, right intervention). Use the two-column comparison table from the design system.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8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085041"/>
                <w:sz w:val="24"/>
                <w:szCs w:val="24"/>
              </w:rPr>
              <w:t xml:space="preserve">"Marketing is the art and science of understanding, guiding, and nudging human behavior through meaningful interactions that build lasting relationships between brands and consumers across every touchpoint of the journey."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— Good Assumptions working definition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3 — Our five goals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Numbered list. Each goal is a heading with 1–2 sentences of expansion. In order — the sequence matters: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Understand the customer through empathy and data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Anticipate needs at critical moments of the journey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Influence decisions using choice architecture and behavioral intelligence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frictionless experiences across every touchpoint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relationships beyond loyalty — toward advocacy and cultural relevance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4 — The eight-layer framework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Heading: "Eight layers. One connected system."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Each layer: number chip (colour-coded), layer name, one-line question, 2–3 sentence description. Layers 4 and 5 (BIM and Liminal) use teal chips — they are the behavioral engine. Layers 1–3 and 7 use navy. Layer 8 (SAEO diagnostic) uses coral.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5 — The BIM framework detail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Four-card 2×2 grid — one card per BIM pillar: Cognitive, Emotional, Social, Environment &amp; Design. Each card has a colour dot, pillar name, and 3–4 sentence description with example biases.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6 — The 7 Questions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Simple numbered list. Seven questions. Minimal embellishment. 1–2 sentence contextual note above the list.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7 — SAEO.ai (contained)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Navy band — same treatment as homepage SAEO module. Headline, 2–3 sentence description, stat row, CTA. This is the one product moment on the page and should feel proportional — not dominant.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 8 — Closing statement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2 short paragraphs. Returns to the human thing — not the platform. Closes with: "Good Assumptions exists to make that diagnosis possible before the campaign runs, not after."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Tags row: 6 territory tags using the badge system. No CTA — the page earns the read, not a click.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Voice notes for this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person is appropriate in pull quotes and closing — but the main copy is institutional, not personal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Smart, not arrogant. Precise, not clinical. Concrete over abstract.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Avoid: "we believe", "we think", "in our view" — state things directly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Avoid: academic jargon without immediate plain-English translation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Reference Kahneman, Thaler, Norman by name — the research credibility is intentional and load-bearing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06 · COMPONENT LIBRARY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Reusable components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Every component below is a Webflow Symbol. Build in this order: global styles → nav → footer → article card → concept card → badge set → buttons → pull quote → forms. Everything inherits from the style guide. No inline styles in Webflow.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Badge system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Badges are the primary visual orientation system. Every piece of content carries three: content type, territory, and difficulty. Badges are always 11–12px, medium weight, 3–4px vertical padding, 8px horizontal, 4px border-radius.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Badge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Options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Colour treatment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Pillar Article, Concept Explainer, Case Study, Campaign Critique, Framework Lesson</w:t>
            </w:r>
          </w:p>
        </w:tc>
        <w:tc>
          <w:tcPr>
            <w:tcW w:type="dxa" w:w="4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Navy fill + navy text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Territory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T1–T6 (see colour system)</w:t>
            </w:r>
          </w:p>
        </w:tc>
        <w:tc>
          <w:tcPr>
            <w:tcW w:type="dxa" w:w="4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territory's 50 fill + 800 text + 200 border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Beginner, Intermediate, Expert</w:t>
            </w:r>
          </w:p>
        </w:tc>
        <w:tc>
          <w:tcPr>
            <w:tcW w:type="dxa" w:w="4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Beginner=green, Intermediate=amber, Expert=coral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Access model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Access, Email Gate, SAEO Members Only</w:t>
            </w:r>
          </w:p>
        </w:tc>
        <w:tc>
          <w:tcPr>
            <w:tcW w:type="dxa" w:w="4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Open=green, Gate=amber, Members=navy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Button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Navy fill, white text, 8px radius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CTAs — "Start with the framework", "Subscribe"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Teal fill, white text, 8px radius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SAEO.ai CTAs — "Try SAEO.ai", "Explore the platform"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Outline navy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Transparent fill, navy border (1px), navy text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Secondary CTAs alongside a primary 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Outline white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Transparent fill, white border (1px), white text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Secondary CTAs on dark navy backgrounds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Ghost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Transparent fill, muted border (0.5px), muted text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Tertiary actions — download PDF, filter toggle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Article card anatomy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Used in: homepage latest articles grid, blog index, territory hub pages, related articles. One template handles all five content types via conditional visibility.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Cover image / colour fill area — 100–120px height. Use territory colour as fill when no strong image exists.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Badge row — content type + territory (always present). Difficulty badge (optional on list views).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Title — 14–15px, medium weight, 2–3 lines max on cards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Excerpt — 13px, muted, 2–3 lines. Optional on card views.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Meta row — reading time · publish date. 11–12px, tertiary colour.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Pull quote treatment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Used in: article body, about page, homepage position strip context boxes.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Left border: 3px solid teal (#1D9E75)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Background: teal 50 (#E1F5EE)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Border-radius: 0 8px 8px 0 (right side only — no radius on the left border side)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Text: 17–20px, italic, serif font, teal 900 (#04342C)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Attribution: 13px, teal 600 (#0F6E56), margin-top 8px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D9E75"/>
          <w:spacing w:val="40"/>
          <w:sz w:val="18"/>
          <w:szCs w:val="18"/>
        </w:rPr>
        <w:t xml:space="preserve">07 · WEBFLOW BUILD NOTES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Implementation notes for Webflow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These notes are for the designer/developer handoff. Build in this sequence — each phase unblocks the next.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Build sequence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Style Guide — typography scale, colour classes, spacing system, button styles. All as Webflow class-level styles. Nothing inline.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Global symbols — Navbar component, Footer component, Article Card. Build as Webflow Symbols so updates propagate everywhere.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CMS Collections — Articles, Concepts, White Papers. Finalise all field definitions before the designer builds any CMS-driven templates. Schema changes after content entry are destructive.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Static pages — Homepage, About, Consulting, 404.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CMS-driven templates — Article detail, Concept detail, White Paper detail, Territory hub pages.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Forms — connect all forms to automation webhook (n8n or Zapier).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SEO defaults — site title, default OG image, canonical URL structure, sitemap.xml.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Critical Webflow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Finalise field types before content entry — changing Plain Text to Rich Text after content exists wipes the content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Lock slugs immediately after first publish — never change a slug post-publish, it breaks external links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 not nest Collection Lists inside Collection Lists (Webflow does not allow it)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Use Collection List's built-in filtering for territory hub pages — Webflow native filtering first, custom JS only when limits are hit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Bind SEO Title and SEO Description to CMS fields on every collection template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Use OG image field binding — every article needs a 1200×630px cover image as the OG fallback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B4B"/>
          <w:sz w:val="30"/>
          <w:szCs w:val="30"/>
        </w:rPr>
        <w:t xml:space="preserve">CMS field quick reference</w:t>
      </w:r>
    </w:p>
    <w:p>
      <w:pPr>
        <w:spacing w:after="140" w:before="0"/>
        <w:jc w:val="left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Articles collection — minimum required fields: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Title (Plain Text, 60 chars max)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Slug (auto-generated, lock after first publish)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Excerpt (Plain Text, 120–180 chars)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Body (Rich Text)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Content Type (Option: Pillar Article / Concept Explainer / Case Study / Campaign Critique / Framework Lesson)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Cover Image (Image, min 1200×630px)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Content Territory (Option: T1 Liminal / T2 Cognitive Biases / T3 BIM / T4 SAEO / T5 Seven Questions / T6 Brand)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Difficulty (Option: Beginner / Intermediate / Expert)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Reading Time (Number, set manually)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Publish Date (Date)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Featured (Switch — controls homepage featured slot)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B0B0B0"/>
        <w:sz w:val="16"/>
        <w:szCs w:val="16"/>
      </w:rPr>
      <w:t xml:space="preserve">Internal working document  · 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0B0B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B0B0B0"/>
        <w:sz w:val="18"/>
        <w:szCs w:val="18"/>
      </w:rPr>
      <w:t xml:space="preserve">Good Assumptions  ·  Brand &amp; Design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D9E75"/>
        <w:sz w:val="18"/>
        <w:szCs w:val="18"/>
      </w:rPr>
      <w:t xml:space="preserve">goodassumptions.com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B2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2B4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2026-04-16T18:05:06.790Z</dcterms:created>
  <dcterms:modified xsi:type="dcterms:W3CDTF">2026-04-16T18:05:06.817Z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