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40" w:before="0" w:line="290"/>
      </w:pPr>
      <w:r>
        <w:rPr>
          <w:rFonts w:ascii="Arial" w:cs="Arial" w:eastAsia="Arial" w:hAnsi="Arial"/>
          <w:b/>
          <w:bCs/>
          <w:color w:val="343434"/>
          <w:sz w:val="56"/>
          <w:szCs w:val="56"/>
        </w:rPr>
        <w:t xml:space="preserve">BETA </w:t>
      </w:r>
      <w:r>
        <w:rPr>
          <w:rFonts w:ascii="Arial" w:cs="Arial" w:eastAsia="Arial" w:hAnsi="Arial"/>
          <w:i/>
          <w:iCs/>
          <w:color w:val="343434"/>
          <w:sz w:val="56"/>
          <w:szCs w:val="56"/>
        </w:rPr>
        <w:t xml:space="preserve">Labs</w:t>
      </w:r>
    </w:p>
    <w:p>
      <w:pPr>
        <w:spacing w:after="120" w:before="0" w:line="290"/>
      </w:pPr>
      <w:r>
        <w:rPr>
          <w:rFonts w:ascii="Arial" w:cs="Arial" w:eastAsia="Arial" w:hAnsi="Arial"/>
          <w:b/>
          <w:bCs/>
          <w:color w:val="343434"/>
          <w:sz w:val="40"/>
          <w:szCs w:val="40"/>
        </w:rPr>
        <w:t xml:space="preserve">Positionnement, ICP &amp; Messaging</w:t>
      </w:r>
    </w:p>
    <w:p>
      <w:pPr>
        <w:spacing w:after="600" w:before="0" w:line="290"/>
      </w:pPr>
      <w:r>
        <w:rPr>
          <w:rFonts w:ascii="Arial" w:cs="Arial" w:eastAsia="Arial" w:hAnsi="Arial"/>
          <w:color w:val="6B6B6B"/>
          <w:sz w:val="26"/>
          <w:szCs w:val="26"/>
        </w:rPr>
        <w:t xml:space="preserve">Document de référence pour la vente et le marketing</w:t>
      </w:r>
    </w:p>
    <w:p>
      <w:pPr>
        <w:pBdr>
          <w:bottom w:val="single" w:color="343434" w:sz="12" w:space="1"/>
        </w:pBdr>
        <w:spacing w:after="240"/>
      </w:pPr>
    </w:p>
    <w:p>
      <w:pPr>
        <w:spacing w:after="60" w:before="0" w:line="290"/>
      </w:pPr>
      <w:r>
        <w:rPr>
          <w:rFonts w:ascii="Arial" w:cs="Arial" w:eastAsia="Arial" w:hAnsi="Arial"/>
          <w:color w:val="6B6B6B"/>
          <w:sz w:val="20"/>
          <w:szCs w:val="20"/>
        </w:rPr>
        <w:t xml:space="preserve">15 septembre 2026  ·  Statut : Provisoire  ·  Préparé par GoodBytes Studio</w:t>
      </w:r>
    </w:p>
    <w:p>
      <w:pPr>
        <w:spacing w:after="120" w:before="0" w:line="290"/>
      </w:pPr>
      <w:r>
        <w:rPr>
          <w:rFonts w:ascii="Arial" w:cs="Arial" w:eastAsia="Arial" w:hAnsi="Arial"/>
          <w:b/>
          <w:bCs/>
          <w:color w:val="6B6B6B"/>
          <w:sz w:val="20"/>
          <w:szCs w:val="20"/>
        </w:rPr>
        <w:t xml:space="preserve">Usage interne — ne pas diffuser tel quel.</w:t>
      </w:r>
    </w:p>
    <w:p>
      <w:pPr>
        <w:pStyle w:val="Heading1"/>
        <w:pageBreakBefore/>
        <w:spacing w:after="200"/>
      </w:pPr>
      <w:r>
        <w:rPr>
          <w:rFonts w:ascii="Arial" w:cs="Arial" w:eastAsia="Arial" w:hAnsi="Arial"/>
          <w:b/>
          <w:bCs/>
          <w:color w:val="343434"/>
          <w:sz w:val="36"/>
          <w:szCs w:val="36"/>
        </w:rPr>
        <w:t xml:space="preserve">Avant de lire</w:t>
      </w:r>
    </w:p>
    <w:p>
      <w:pPr>
        <w:spacing w:after="120" w:before="0" w:line="290"/>
      </w:pPr>
      <w:r>
        <w:rPr>
          <w:rFonts w:ascii="Arial" w:cs="Arial" w:eastAsia="Arial" w:hAnsi="Arial"/>
          <w:color w:val="343434"/>
          <w:sz w:val="21"/>
          <w:szCs w:val="21"/>
        </w:rPr>
        <w:t xml:space="preserve">Ce document rassemble en un seul endroit ce que BETA Labs est, à qui on vend, ce qu'on dit, et comment on répond aux objections. Tout ce qui s'écrit ou se dit au nom de BETA Labs — courriels, posts, présentations, appels — part d'ici.</w:t>
      </w:r>
    </w:p>
    <w:p>
      <w:pPr>
        <w:spacing w:after="120" w:before="0" w:line="290"/>
      </w:pPr>
      <w:r>
        <w:rPr>
          <w:rFonts w:ascii="Arial" w:cs="Arial" w:eastAsia="Arial" w:hAnsi="Arial"/>
          <w:color w:val="343434"/>
          <w:sz w:val="21"/>
          <w:szCs w:val="21"/>
        </w:rPr>
        <w:t xml:space="preserve">Sources de vérité : outputs/positioning.md, outputs/messaging-library.md et outputs/icp-analysis.md. Ce document en est la version d'équipe, en français.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C8BF" w:sz="4"/>
              <w:left w:val="single" w:color="C9C8BF" w:sz="4"/>
              <w:bottom w:val="single" w:color="C9C8BF" w:sz="4"/>
              <w:right w:val="single" w:color="C9C8BF" w:sz="4"/>
            </w:tcBorders>
            <w:shd w:fill="EDF993" w:val="clear"/>
            <w:tcMar>
              <w:top w:type="dxa" w:w="160"/>
              <w:left w:type="dxa" w:w="220"/>
              <w:bottom w:type="dxa" w:w="160"/>
              <w:right w:type="dxa" w:w="220"/>
            </w:tcMar>
          </w:tcPr>
          <w:p>
            <w:pPr>
              <w:spacing w:after="80"/>
            </w:pPr>
            <w:r>
              <w:rPr>
                <w:rFonts w:ascii="Arial" w:cs="Arial" w:eastAsia="Arial" w:hAnsi="Arial"/>
                <w:b/>
                <w:bCs/>
                <w:color w:val="343434"/>
                <w:sz w:val="22"/>
                <w:szCs w:val="22"/>
              </w:rPr>
              <w:t xml:space="preserve">Trois règles qui ne se négocient pas</w:t>
            </w:r>
          </w:p>
          <w:p>
            <w:pPr>
              <w:spacing w:after="60" w:line="280"/>
            </w:pPr>
            <w:r>
              <w:rPr>
                <w:rFonts w:ascii="Arial" w:cs="Arial" w:eastAsia="Arial" w:hAnsi="Arial"/>
                <w:color w:val="343434"/>
                <w:sz w:val="20"/>
                <w:szCs w:val="20"/>
              </w:rPr>
              <w:t xml:space="preserve">1.  BETA Labs ne réserve aucune rencontre. On livre une liste courte et un brouillon d'ouverture ; le commanditaire écrit, et la relation reste la sienne.</w:t>
            </w:r>
          </w:p>
          <w:p>
            <w:pPr>
              <w:spacing w:after="60" w:line="280"/>
            </w:pPr>
            <w:r>
              <w:rPr>
                <w:rFonts w:ascii="Arial" w:cs="Arial" w:eastAsia="Arial" w:hAnsi="Arial"/>
                <w:color w:val="343434"/>
                <w:sz w:val="20"/>
                <w:szCs w:val="20"/>
              </w:rPr>
              <w:t xml:space="preserve">2.  L'unité, c'est 100 $ par match livré. On ne promet jamais « pas de résultat, pas de frais » et on ne vend jamais un quota qu'un événement ne peut pas remplir.</w:t>
            </w:r>
          </w:p>
          <w:p>
            <w:pPr>
              <w:spacing w:after="60" w:line="280"/>
            </w:pPr>
            <w:r>
              <w:rPr>
                <w:rFonts w:ascii="Arial" w:cs="Arial" w:eastAsia="Arial" w:hAnsi="Arial"/>
                <w:color w:val="343434"/>
                <w:sz w:val="20"/>
                <w:szCs w:val="20"/>
              </w:rPr>
              <w:t xml:space="preserve">3.  Aucun chiffre public qui n'est pas dans la section « Ce qu'on peut dire ». Pas de « IA » dans la copie tant que la question n'est pas tranchée.</w:t>
            </w:r>
          </w:p>
        </w:tc>
      </w:tr>
    </w:tbl>
    <w:p>
      <w:pPr>
        <w:pStyle w:val="Heading1"/>
        <w:pageBreakBefore/>
        <w:spacing w:after="200"/>
      </w:pPr>
      <w:r>
        <w:rPr>
          <w:rFonts w:ascii="Arial" w:cs="Arial" w:eastAsia="Arial" w:hAnsi="Arial"/>
          <w:b/>
          <w:bCs/>
          <w:color w:val="343434"/>
          <w:sz w:val="36"/>
          <w:szCs w:val="36"/>
        </w:rPr>
        <w:t xml:space="preserve">1. Positionnement</w:t>
      </w:r>
    </w:p>
    <w:p>
      <w:pPr>
        <w:pStyle w:val="Heading2"/>
        <w:keepNext/>
        <w:spacing w:after="140" w:before="280"/>
      </w:pPr>
      <w:r>
        <w:rPr>
          <w:rFonts w:ascii="Arial" w:cs="Arial" w:eastAsia="Arial" w:hAnsi="Arial"/>
          <w:b/>
          <w:bCs/>
          <w:color w:val="343434"/>
          <w:sz w:val="27"/>
          <w:szCs w:val="27"/>
        </w:rPr>
        <w:t xml:space="preserve">L'ancrage</w:t>
      </w:r>
    </w:p>
    <w:p>
      <w:pPr>
        <w:spacing w:after="60" w:before="0" w:line="290"/>
      </w:pPr>
      <w:r>
        <w:rPr>
          <w:rFonts w:ascii="Arial" w:cs="Arial" w:eastAsia="Arial" w:hAnsi="Arial"/>
          <w:b/>
          <w:bCs/>
          <w:color w:val="343434"/>
          <w:sz w:val="26"/>
          <w:szCs w:val="26"/>
        </w:rPr>
        <w:t xml:space="preserve">La couche de ciblage pré-événement pour les événements B2B.</w:t>
      </w:r>
    </w:p>
    <w:p>
      <w:pPr>
        <w:spacing w:after="160" w:before="0" w:line="290"/>
      </w:pPr>
      <w:r>
        <w:rPr>
          <w:rFonts w:ascii="Arial" w:cs="Arial" w:eastAsia="Arial" w:hAnsi="Arial"/>
          <w:color w:val="6B6B6B"/>
          <w:sz w:val="21"/>
          <w:szCs w:val="21"/>
        </w:rPr>
        <w:t xml:space="preserve">EN : The pre-event targeting layer for B2B events.</w:t>
      </w:r>
    </w:p>
    <w:p>
      <w:pPr>
        <w:spacing w:after="120" w:before="0" w:line="290"/>
      </w:pPr>
      <w:r>
        <w:rPr>
          <w:rFonts w:ascii="Arial" w:cs="Arial" w:eastAsia="Arial" w:hAnsi="Arial"/>
          <w:color w:val="343434"/>
          <w:sz w:val="21"/>
          <w:szCs w:val="21"/>
        </w:rPr>
        <w:t xml:space="preserve">C'est la catégorie dans laquelle l'acheteur nous range, donc ce à quoi il nous compare et ce qu'il s'attend à payer. Elle a été choisie parce que le commanditaire — celui qui paie — la comprend sans explication, et parce que le site est déjà écrit dans cette langue : « We Are a Precision Layer, Not a Volume Machine ».</w:t>
      </w:r>
    </w:p>
    <w:p>
      <w:pPr>
        <w:pStyle w:val="Heading2"/>
        <w:keepNext/>
        <w:spacing w:after="140" w:before="280"/>
      </w:pPr>
      <w:r>
        <w:rPr>
          <w:rFonts w:ascii="Arial" w:cs="Arial" w:eastAsia="Arial" w:hAnsi="Arial"/>
          <w:b/>
          <w:bCs/>
          <w:color w:val="343434"/>
          <w:sz w:val="27"/>
          <w:szCs w:val="27"/>
        </w:rPr>
        <w:t xml:space="preserve">Les énoncés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tblHeader/>
        </w:trPr>
        <w:tc>
          <w:tcPr>
            <w:tcW w:type="dxa" w:w="150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
            </w:r>
          </w:p>
        </w:tc>
        <w:tc>
          <w:tcPr>
            <w:tcW w:type="dxa" w:w="393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Français</w:t>
            </w:r>
          </w:p>
        </w:tc>
        <w:tc>
          <w:tcPr>
            <w:tcW w:type="dxa" w:w="393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English</w:t>
            </w:r>
          </w:p>
        </w:tc>
      </w:tr>
      <w:tr>
        <w:trPr>
          <w:cantSplit/>
        </w:trPr>
        <w:tc>
          <w:tcPr>
            <w:tcW w:type="dxa" w:w="15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Phrase-clé</w:t>
            </w:r>
          </w:p>
        </w:tc>
        <w:tc>
          <w:tcPr>
            <w:tcW w:type="dxa" w:w="393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BETA Labs transforme la liste des participants d'un événement en la liste courte des acheteurs qui valent votre temps.</w:t>
            </w:r>
          </w:p>
        </w:tc>
        <w:tc>
          <w:tcPr>
            <w:tcW w:type="dxa" w:w="393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BETA Labs turns an event's attendee list into the short list of buyers worth your time.</w:t>
            </w:r>
          </w:p>
        </w:tc>
      </w:tr>
      <w:tr>
        <w:trPr>
          <w:cantSplit/>
        </w:trPr>
        <w:tc>
          <w:tcPr>
            <w:tcW w:type="dxa" w:w="15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Version courte</w:t>
            </w:r>
          </w:p>
        </w:tc>
        <w:tc>
          <w:tcPr>
            <w:tcW w:type="dxa" w:w="393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La liste des participants de votre événement contient quelques dizaines de vrais acheteurs. BETA Labs obtient cette liste sous entente avec l'organisateur, évalue chaque profil selon votre ICP sur quatre dimensions, et vous remet la liste courte avec un brouillon d'ouverture pour chacun.</w:t>
            </w:r>
          </w:p>
        </w:tc>
        <w:tc>
          <w:tcPr>
            <w:tcW w:type="dxa" w:w="393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Your event's attendee list holds a few dozen real buyers. BETA Labs gets that list under agreement with the organizer, scores every record against your ICP on four dimensions, and hands you the shortlist with an opening draft for each.</w:t>
            </w:r>
          </w:p>
        </w:tc>
      </w:tr>
    </w:tbl>
    <w:p>
      <w:pPr>
        <w:pStyle w:val="Heading2"/>
        <w:keepNext/>
        <w:spacing w:after="140" w:before="280"/>
      </w:pPr>
      <w:r>
        <w:rPr>
          <w:rFonts w:ascii="Arial" w:cs="Arial" w:eastAsia="Arial" w:hAnsi="Arial"/>
          <w:b/>
          <w:bCs/>
          <w:color w:val="343434"/>
          <w:sz w:val="27"/>
          <w:szCs w:val="27"/>
        </w:rPr>
        <w:t xml:space="preserve">Contre quoi on se bat vraiment</w:t>
      </w:r>
    </w:p>
    <w:p>
      <w:pPr>
        <w:spacing w:after="120" w:before="0" w:line="290"/>
      </w:pPr>
      <w:r>
        <w:rPr>
          <w:rFonts w:ascii="Arial" w:cs="Arial" w:eastAsia="Arial" w:hAnsi="Arial"/>
          <w:b/>
          <w:bCs/>
          <w:color w:val="343434"/>
          <w:sz w:val="21"/>
          <w:szCs w:val="21"/>
        </w:rPr>
        <w:t xml:space="preserve">L'équipe du commanditaire, qui le fait elle-même — ou ne le fait pas.</w:t>
      </w:r>
    </w:p>
    <w:p>
      <w:pPr>
        <w:spacing w:after="120" w:before="0" w:line="290"/>
      </w:pPr>
      <w:r>
        <w:rPr>
          <w:rFonts w:ascii="Arial" w:cs="Arial" w:eastAsia="Arial" w:hAnsi="Arial"/>
          <w:color w:val="343434"/>
          <w:sz w:val="21"/>
          <w:szCs w:val="21"/>
        </w:rPr>
        <w:t xml:space="preserve">Pas Vendelux. Vendelux n'apparaît dans aucune vente perdue. C'est une menace pour demain ; l'équipe interne, c'est la perte d'aujourd'hui.</w:t>
      </w:r>
    </w:p>
    <w:p>
      <w:pPr>
        <w:spacing w:after="120" w:before="0" w:line="290"/>
      </w:pPr>
      <w:r>
        <w:rPr>
          <w:rFonts w:ascii="Arial" w:cs="Arial" w:eastAsia="Arial" w:hAnsi="Arial"/>
          <w:b/>
          <w:bCs/>
          <w:color w:val="343434"/>
          <w:sz w:val="21"/>
          <w:szCs w:val="21"/>
        </w:rPr>
        <w:t xml:space="preserve">Ce qu'elle fait bien : </w:t>
      </w:r>
      <w:r>
        <w:rPr>
          <w:rFonts w:ascii="Arial" w:cs="Arial" w:eastAsia="Arial" w:hAnsi="Arial"/>
          <w:color w:val="343434"/>
          <w:sz w:val="21"/>
          <w:szCs w:val="21"/>
        </w:rPr>
        <w:t xml:space="preserve">c'est gratuit, contrôlé, et le représentant garde la relation de bout en bout. Parfois, le commanditaire obtient même la liste brute tout seul.</w:t>
      </w:r>
    </w:p>
    <w:p>
      <w:pPr>
        <w:spacing w:after="120" w:before="0" w:line="290"/>
      </w:pPr>
      <w:r>
        <w:rPr>
          <w:rFonts w:ascii="Arial" w:cs="Arial" w:eastAsia="Arial" w:hAnsi="Arial"/>
          <w:b/>
          <w:bCs/>
          <w:color w:val="343434"/>
          <w:sz w:val="21"/>
          <w:szCs w:val="21"/>
        </w:rPr>
        <w:t xml:space="preserve">Où ça casse : </w:t>
      </w:r>
      <w:r>
        <w:rPr>
          <w:rFonts w:ascii="Arial" w:cs="Arial" w:eastAsia="Arial" w:hAnsi="Arial"/>
          <w:color w:val="343434"/>
          <w:sz w:val="21"/>
          <w:szCs w:val="21"/>
        </w:rPr>
        <w:t xml:space="preserve">la liste brute, c'est un nom, une entreprise, un titre. Enrichir des milliers de profils selon un ICP précis dans les deux semaines avant un événement, aucune entreprise de 20 à 200 personnes n'a le temps de le faire. Alors ça ne se fait pas, ou ça se fait sur les quarante noms déjà connus.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C8BF" w:sz="4"/>
              <w:left w:val="single" w:color="C9C8BF" w:sz="4"/>
              <w:bottom w:val="single" w:color="C9C8BF" w:sz="4"/>
              <w:right w:val="single" w:color="C9C8BF" w:sz="4"/>
            </w:tcBorders>
            <w:shd w:fill="F8F6F2" w:val="clear"/>
            <w:tcMar>
              <w:top w:type="dxa" w:w="160"/>
              <w:left w:type="dxa" w:w="220"/>
              <w:bottom w:type="dxa" w:w="160"/>
              <w:right w:type="dxa" w:w="220"/>
            </w:tcMar>
          </w:tcPr>
          <w:p>
            <w:pPr>
              <w:spacing w:after="80"/>
            </w:pPr>
            <w:r>
              <w:rPr>
                <w:rFonts w:ascii="Arial" w:cs="Arial" w:eastAsia="Arial" w:hAnsi="Arial"/>
                <w:b/>
                <w:bCs/>
                <w:color w:val="343434"/>
                <w:sz w:val="22"/>
                <w:szCs w:val="22"/>
              </w:rPr>
              <w:t xml:space="preserve">Ce que l'acheteur dit</w:t>
            </w:r>
          </w:p>
          <w:p>
            <w:pPr>
              <w:spacing w:after="60" w:line="280"/>
            </w:pPr>
            <w:r>
              <w:rPr>
                <w:rFonts w:ascii="Arial" w:cs="Arial" w:eastAsia="Arial" w:hAnsi="Arial"/>
                <w:color w:val="343434"/>
                <w:sz w:val="20"/>
                <w:szCs w:val="20"/>
              </w:rPr>
              <w:t xml:space="preserve">« It's good, but I'm not sure what this does that my team couldn't have done. »  — Cyberimpact, bilan post-événement, mai 2026</w:t>
            </w:r>
          </w:p>
          <w:p>
            <w:pPr>
              <w:spacing w:after="60" w:line="280"/>
            </w:pPr>
            <w:r>
              <w:rPr>
                <w:rFonts w:ascii="Arial" w:cs="Arial" w:eastAsia="Arial" w:hAnsi="Arial"/>
                <w:color w:val="343434"/>
                <w:sz w:val="20"/>
                <w:szCs w:val="20"/>
              </w:rPr>
              <w:t xml:space="preserve">Tout le message est construit pour répondre à cette phrase.</w:t>
            </w:r>
          </w:p>
        </w:tc>
      </w:tr>
    </w:tbl>
    <w:p>
      <w:pPr>
        <w:pStyle w:val="Heading2"/>
        <w:keepNext/>
        <w:spacing w:after="140" w:before="280"/>
      </w:pPr>
      <w:r>
        <w:rPr>
          <w:rFonts w:ascii="Arial" w:cs="Arial" w:eastAsia="Arial" w:hAnsi="Arial"/>
          <w:b/>
          <w:bCs/>
          <w:color w:val="343434"/>
          <w:sz w:val="27"/>
          <w:szCs w:val="27"/>
        </w:rPr>
        <w:t xml:space="preserve">Les quatre différenciateurs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3160"/>
        <w:gridCol w:w="2800"/>
      </w:tblGrid>
      <w:tr>
        <w:trPr>
          <w:tblHeader/>
        </w:trPr>
        <w:tc>
          <w:tcPr>
            <w:tcW w:type="dxa" w:w="50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w:t>
            </w:r>
          </w:p>
        </w:tc>
        <w:tc>
          <w:tcPr>
            <w:tcW w:type="dxa" w:w="290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Différenciateur</w:t>
            </w:r>
          </w:p>
        </w:tc>
        <w:tc>
          <w:tcPr>
            <w:tcW w:type="dxa" w:w="316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Ce que ça change pour l'acheteur</w:t>
            </w:r>
          </w:p>
        </w:tc>
        <w:tc>
          <w:tcPr>
            <w:tcW w:type="dxa" w:w="280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Qui s'en soucie</w:t>
            </w:r>
          </w:p>
        </w:tc>
      </w:tr>
      <w:tr>
        <w:trPr>
          <w:cantSplit/>
        </w:trPr>
        <w:tc>
          <w:tcPr>
            <w:tcW w:type="dxa" w:w="5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1</w:t>
            </w:r>
          </w:p>
        </w:tc>
        <w:tc>
          <w:tcPr>
            <w:tcW w:type="dxa" w:w="29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La vraie liste, obtenue sous entente avec l'organisateur — ni prédictive, ni extraite du web</w:t>
            </w:r>
          </w:p>
        </w:tc>
        <w:tc>
          <w:tcPr>
            <w:tcW w:type="dxa" w:w="31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La liste courte décrit des gens réellement inscrits. Rien n'est gaspillé sur une supposition.</w:t>
            </w:r>
          </w:p>
        </w:tc>
        <w:tc>
          <w:tcPr>
            <w:tcW w:type="dxa" w:w="28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Commanditaires d'événements multisectoriels où l'acheteur est difficile à trouver</w:t>
            </w:r>
          </w:p>
        </w:tc>
      </w:tr>
      <w:tr>
        <w:trPr>
          <w:cantSplit/>
        </w:trPr>
        <w:tc>
          <w:tcPr>
            <w:tcW w:type="dxa" w:w="5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2</w:t>
            </w:r>
          </w:p>
        </w:tc>
        <w:tc>
          <w:tcPr>
            <w:tcW w:type="dxa" w:w="29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Un enrichissement sur quatre dimensions : entreprise, rôle, pile technologique, signal d'achat</w:t>
            </w:r>
          </w:p>
        </w:tc>
        <w:tc>
          <w:tcPr>
            <w:tcW w:type="dxa" w:w="31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Des milliers de noms deviennent quelques dizaines, avec une raison pour chacun</w:t>
            </w:r>
          </w:p>
        </w:tc>
        <w:tc>
          <w:tcPr>
            <w:tcW w:type="dxa" w:w="28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Services et SaaS à ACV élevé, 20 à 200 employés, où une vente rembourse l'événement</w:t>
            </w:r>
          </w:p>
        </w:tc>
      </w:tr>
      <w:tr>
        <w:trPr>
          <w:cantSplit/>
        </w:trPr>
        <w:tc>
          <w:tcPr>
            <w:tcW w:type="dxa" w:w="5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3</w:t>
            </w:r>
          </w:p>
        </w:tc>
        <w:tc>
          <w:tcPr>
            <w:tcW w:type="dxa" w:w="29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Facturé au match livré — jamais un quota à remplir</w:t>
            </w:r>
          </w:p>
        </w:tc>
        <w:tc>
          <w:tcPr>
            <w:tcW w:type="dxa" w:w="31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On ne vous vend jamais 15 matchs dans un événement qui n'en contient que 10</w:t>
            </w:r>
          </w:p>
        </w:tc>
        <w:tc>
          <w:tcPr>
            <w:tcW w:type="dxa" w:w="28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Commanditaires déjà déçus par un forfait ; premiers commanditaires</w:t>
            </w:r>
          </w:p>
        </w:tc>
      </w:tr>
      <w:tr>
        <w:trPr>
          <w:cantSplit/>
        </w:trPr>
        <w:tc>
          <w:tcPr>
            <w:tcW w:type="dxa" w:w="5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4</w:t>
            </w:r>
          </w:p>
        </w:tc>
        <w:tc>
          <w:tcPr>
            <w:tcW w:type="dxa" w:w="29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La relation reste au commanditaire — un brouillon d'ouverture, envoyé par lui</w:t>
            </w:r>
          </w:p>
        </w:tc>
        <w:tc>
          <w:tcPr>
            <w:tcW w:type="dxa" w:w="31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Aucun tiers dans la conversation avec votre prospect</w:t>
            </w:r>
          </w:p>
        </w:tc>
        <w:tc>
          <w:tcPr>
            <w:tcW w:type="dxa" w:w="28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Vendeurs qui misent sur la relation, entreprises de services ; tous ceux qui se méfient de l'outreach automatisé</w:t>
            </w:r>
          </w:p>
        </w:tc>
      </w:tr>
    </w:tbl>
    <w:p>
      <w:pPr>
        <w:spacing w:after="60"/>
      </w:pPr>
    </w:p>
    <w:p>
      <w:pPr>
        <w:spacing w:after="120" w:before="0" w:line="290"/>
      </w:pPr>
      <w:r>
        <w:rPr>
          <w:rFonts w:ascii="Arial" w:cs="Arial" w:eastAsia="Arial" w:hAnsi="Arial"/>
          <w:i/>
          <w:iCs/>
          <w:color w:val="6B6B6B"/>
          <w:sz w:val="21"/>
          <w:szCs w:val="21"/>
        </w:rPr>
        <w:t xml:space="preserve">Le quatrième est ce qui nous distingue le plus clairement de Vendelux, qui automatise l'outreach et la réservation d'agenda.</w:t>
      </w:r>
    </w:p>
    <w:p>
      <w:pPr>
        <w:pStyle w:val="Heading2"/>
        <w:keepNext/>
        <w:spacing w:after="140" w:before="280"/>
      </w:pPr>
      <w:r>
        <w:rPr>
          <w:rFonts w:ascii="Arial" w:cs="Arial" w:eastAsia="Arial" w:hAnsi="Arial"/>
          <w:b/>
          <w:bCs/>
          <w:color w:val="343434"/>
          <w:sz w:val="27"/>
          <w:szCs w:val="27"/>
        </w:rPr>
        <w:t xml:space="preserve">Le vocabulaire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Utiliser</w:t>
            </w:r>
          </w:p>
        </w:tc>
        <w:tc>
          <w:tcPr>
            <w:tcW w:type="dxa" w:w="290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Ne jamais utiliser</w:t>
            </w:r>
          </w:p>
        </w:tc>
        <w:tc>
          <w:tcPr>
            <w:tcW w:type="dxa" w:w="386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Pourquoi</w:t>
            </w:r>
          </w:p>
        </w:tc>
      </w:tr>
      <w:tr>
        <w:trPr>
          <w:cantSplit/>
        </w:trPr>
        <w:tc>
          <w:tcPr>
            <w:tcW w:type="dxa" w:w="26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match</w:t>
            </w:r>
          </w:p>
        </w:tc>
        <w:tc>
          <w:tcPr>
            <w:tcW w:type="dxa" w:w="29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rencontre, lead</w:t>
            </w:r>
          </w:p>
        </w:tc>
        <w:tc>
          <w:tcPr>
            <w:tcW w:type="dxa" w:w="38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L'unité est un match livré. « Rencontre » promet une réservation qu'on ne fait pas.</w:t>
            </w:r>
          </w:p>
        </w:tc>
      </w:tr>
      <w:tr>
        <w:trPr>
          <w:cantSplit/>
        </w:trPr>
        <w:tc>
          <w:tcPr>
            <w:tcW w:type="dxa" w:w="26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liste courte (shortlist)</w:t>
            </w:r>
          </w:p>
        </w:tc>
        <w:tc>
          <w:tcPr>
            <w:tcW w:type="dxa" w:w="29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liste (seul)</w:t>
            </w:r>
          </w:p>
        </w:tc>
        <w:tc>
          <w:tcPr>
            <w:tcW w:type="dxa" w:w="38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Une liste est une commodité ; la liste courte est le résultat du tri.</w:t>
            </w:r>
          </w:p>
        </w:tc>
      </w:tr>
      <w:tr>
        <w:trPr>
          <w:cantSplit/>
        </w:trPr>
        <w:tc>
          <w:tcPr>
            <w:tcW w:type="dxa" w:w="26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ciblage, précision</w:t>
            </w:r>
          </w:p>
        </w:tc>
        <w:tc>
          <w:tcPr>
            <w:tcW w:type="dxa" w:w="29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matchmaking, jumelage (pour BETA Labs)</w:t>
            </w:r>
          </w:p>
        </w:tc>
        <w:tc>
          <w:tcPr>
            <w:tcW w:type="dxa" w:w="38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Implique qu'on organise la rencontre.</w:t>
            </w:r>
          </w:p>
        </w:tc>
      </w:tr>
      <w:tr>
        <w:trPr>
          <w:cantSplit/>
        </w:trPr>
        <w:tc>
          <w:tcPr>
            <w:tcW w:type="dxa" w:w="26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brouillon d'ouverture</w:t>
            </w:r>
          </w:p>
        </w:tc>
        <w:tc>
          <w:tcPr>
            <w:tcW w:type="dxa" w:w="29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campagne d'outreach, « on les contacte »</w:t>
            </w:r>
          </w:p>
        </w:tc>
        <w:tc>
          <w:tcPr>
            <w:tcW w:type="dxa" w:w="38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On rédige ; le commanditaire envoie.</w:t>
            </w:r>
          </w:p>
        </w:tc>
      </w:tr>
      <w:tr>
        <w:trPr>
          <w:cantSplit/>
        </w:trPr>
        <w:tc>
          <w:tcPr>
            <w:tcW w:type="dxa" w:w="26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la liste de l'organisateur, sous entente</w:t>
            </w:r>
          </w:p>
        </w:tc>
        <w:tc>
          <w:tcPr>
            <w:tcW w:type="dxa" w:w="29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notre base de données</w:t>
            </w:r>
          </w:p>
        </w:tc>
        <w:tc>
          <w:tcPr>
            <w:tcW w:type="dxa" w:w="38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Il n'y a pas de base de données. C'est le modèle de Vendelux.</w:t>
            </w:r>
          </w:p>
        </w:tc>
      </w:tr>
      <w:tr>
        <w:trPr>
          <w:cantSplit/>
        </w:trPr>
        <w:tc>
          <w:tcPr>
            <w:tcW w:type="dxa" w:w="26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enrichi et évalué</w:t>
            </w:r>
          </w:p>
        </w:tc>
        <w:tc>
          <w:tcPr>
            <w:tcW w:type="dxa" w:w="29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propulsé par l'IA</w:t>
            </w:r>
          </w:p>
        </w:tc>
        <w:tc>
          <w:tcPr>
            <w:tcW w:type="dxa" w:w="38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Question non tranchée (IA ou IA assistée manuellement).</w:t>
            </w:r>
          </w:p>
        </w:tc>
      </w:tr>
      <w:tr>
        <w:trPr>
          <w:cantSplit/>
        </w:trPr>
        <w:tc>
          <w:tcPr>
            <w:tcW w:type="dxa" w:w="26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15 à 25 matchs</w:t>
            </w:r>
          </w:p>
        </w:tc>
        <w:tc>
          <w:tcPr>
            <w:tcW w:type="dxa" w:w="29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15 matchs fixes, 20 à 50 leads</w:t>
            </w:r>
          </w:p>
        </w:tc>
        <w:tc>
          <w:tcPr>
            <w:tcW w:type="dxa" w:w="38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Le nombre varie selon l'événement.</w:t>
            </w:r>
          </w:p>
        </w:tc>
      </w:tr>
      <w:tr>
        <w:trPr>
          <w:cantSplit/>
        </w:trPr>
        <w:tc>
          <w:tcPr>
            <w:tcW w:type="dxa" w:w="26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prospects</w:t>
            </w:r>
          </w:p>
        </w:tc>
        <w:tc>
          <w:tcPr>
            <w:tcW w:type="dxa" w:w="29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leads</w:t>
            </w:r>
          </w:p>
        </w:tc>
        <w:tc>
          <w:tcPr>
            <w:tcW w:type="dxa" w:w="38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Cohérent avec « pas une machine à volume ».</w:t>
            </w:r>
          </w:p>
        </w:tc>
      </w:tr>
      <w:tr>
        <w:trPr>
          <w:cantSplit/>
        </w:trPr>
        <w:tc>
          <w:tcPr>
            <w:tcW w:type="dxa" w:w="26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commanditaire, exposant, partenaire</w:t>
            </w:r>
          </w:p>
        </w:tc>
        <w:tc>
          <w:tcPr>
            <w:tcW w:type="dxa" w:w="29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client (pour parler du commanditaire)</w:t>
            </w:r>
          </w:p>
        </w:tc>
        <w:tc>
          <w:tcPr>
            <w:tcW w:type="dxa" w:w="38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 Client » est ambigu entre organisateur et commanditaire.</w:t>
            </w:r>
          </w:p>
        </w:tc>
      </w:tr>
    </w:tbl>
    <w:p>
      <w:pPr>
        <w:pStyle w:val="Heading1"/>
        <w:pageBreakBefore/>
        <w:spacing w:after="200"/>
      </w:pPr>
      <w:r>
        <w:rPr>
          <w:rFonts w:ascii="Arial" w:cs="Arial" w:eastAsia="Arial" w:hAnsi="Arial"/>
          <w:b/>
          <w:bCs/>
          <w:color w:val="343434"/>
          <w:sz w:val="36"/>
          <w:szCs w:val="36"/>
        </w:rPr>
        <w:t xml:space="preserve">2. ICP — à qui on vend</w:t>
      </w:r>
    </w:p>
    <w:p>
      <w:pPr>
        <w:spacing w:after="120" w:before="0" w:line="290"/>
      </w:pPr>
      <w:r>
        <w:rPr>
          <w:rFonts w:ascii="Arial" w:cs="Arial" w:eastAsia="Arial" w:hAnsi="Arial"/>
          <w:color w:val="343434"/>
          <w:sz w:val="21"/>
          <w:szCs w:val="21"/>
        </w:rPr>
        <w:t xml:space="preserve">BETA Labs a deux clients, avec deux rôles différents. Les confondre est la source de la plupart des mauvais pitchs.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
            </w:r>
          </w:p>
        </w:tc>
        <w:tc>
          <w:tcPr>
            <w:tcW w:type="dxa" w:w="383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Le commanditaire / exposant</w:t>
            </w:r>
          </w:p>
        </w:tc>
        <w:tc>
          <w:tcPr>
            <w:tcW w:type="dxa" w:w="383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L'organisateur</w:t>
            </w:r>
          </w:p>
        </w:tc>
      </w:tr>
      <w:tr>
        <w:trPr>
          <w:cantSplit/>
        </w:trPr>
        <w:tc>
          <w:tcPr>
            <w:tcW w:type="dxa" w:w="17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Rôle</w:t>
            </w:r>
          </w:p>
        </w:tc>
        <w:tc>
          <w:tcPr>
            <w:tcW w:type="dxa" w:w="383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Celui qui paie (100 $ par match)</w:t>
            </w:r>
          </w:p>
        </w:tc>
        <w:tc>
          <w:tcPr>
            <w:tcW w:type="dxa" w:w="383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Le canal de distribution et le détenteur de la liste</w:t>
            </w:r>
          </w:p>
        </w:tc>
      </w:tr>
      <w:tr>
        <w:trPr>
          <w:cantSplit/>
        </w:trPr>
        <w:tc>
          <w:tcPr>
            <w:tcW w:type="dxa" w:w="17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Ce qu'il achète</w:t>
            </w:r>
          </w:p>
        </w:tc>
        <w:tc>
          <w:tcPr>
            <w:tcW w:type="dxa" w:w="383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Une liste courte pour un événement précis</w:t>
            </w:r>
          </w:p>
        </w:tc>
        <w:tc>
          <w:tcPr>
            <w:tcW w:type="dxa" w:w="383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Une offre de plus pour ses commanditaires, sans coût, avec partage de revenus (~15 %)</w:t>
            </w:r>
          </w:p>
        </w:tc>
      </w:tr>
      <w:tr>
        <w:trPr>
          <w:cantSplit/>
        </w:trPr>
        <w:tc>
          <w:tcPr>
            <w:tcW w:type="dxa" w:w="17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Son moteur</w:t>
            </w:r>
          </w:p>
        </w:tc>
        <w:tc>
          <w:tcPr>
            <w:tcW w:type="dxa" w:w="383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Rentabiliser un kiosque déjà payé</w:t>
            </w:r>
          </w:p>
        </w:tc>
        <w:tc>
          <w:tcPr>
            <w:tcW w:type="dxa" w:w="383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Faire renouveler ses commanditaires</w:t>
            </w:r>
          </w:p>
        </w:tc>
      </w:tr>
      <w:tr>
        <w:trPr>
          <w:cantSplit/>
        </w:trPr>
        <w:tc>
          <w:tcPr>
            <w:tcW w:type="dxa" w:w="17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Meilleur moment</w:t>
            </w:r>
          </w:p>
        </w:tc>
        <w:tc>
          <w:tcPr>
            <w:tcW w:type="dxa" w:w="383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2 à 8 semaines avant l'événement</w:t>
            </w:r>
          </w:p>
        </w:tc>
        <w:tc>
          <w:tcPr>
            <w:tcW w:type="dxa" w:w="383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2 semaines après son événement, pendant que la douleur est fraîche</w:t>
            </w:r>
          </w:p>
        </w:tc>
      </w:tr>
    </w:tbl>
    <w:p>
      <w:pPr>
        <w:pStyle w:val="Heading2"/>
        <w:keepNext/>
        <w:spacing w:after="140" w:before="280"/>
      </w:pPr>
      <w:r>
        <w:rPr>
          <w:rFonts w:ascii="Arial" w:cs="Arial" w:eastAsia="Arial" w:hAnsi="Arial"/>
          <w:b/>
          <w:bCs/>
          <w:color w:val="343434"/>
          <w:sz w:val="27"/>
          <w:szCs w:val="27"/>
        </w:rPr>
        <w:t xml:space="preserve">Le commanditaire — le client qui paie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C8BF" w:sz="4"/>
              <w:left w:val="single" w:color="C9C8BF" w:sz="4"/>
              <w:bottom w:val="single" w:color="C9C8BF" w:sz="4"/>
              <w:right w:val="single" w:color="C9C8BF" w:sz="4"/>
            </w:tcBorders>
            <w:shd w:fill="F8F6F2" w:val="clear"/>
            <w:tcMar>
              <w:top w:type="dxa" w:w="160"/>
              <w:left w:type="dxa" w:w="220"/>
              <w:bottom w:type="dxa" w:w="160"/>
              <w:right w:type="dxa" w:w="220"/>
            </w:tcMar>
          </w:tcPr>
          <w:p>
            <w:pPr>
              <w:spacing w:after="80"/>
            </w:pPr>
            <w:r>
              <w:rPr>
                <w:rFonts w:ascii="Arial" w:cs="Arial" w:eastAsia="Arial" w:hAnsi="Arial"/>
                <w:b/>
                <w:bCs/>
                <w:color w:val="343434"/>
                <w:sz w:val="22"/>
                <w:szCs w:val="22"/>
              </w:rPr>
              <w:t xml:space="preserve">Le profil idéal</w:t>
            </w:r>
          </w:p>
          <w:p>
            <w:pPr>
              <w:spacing w:after="60" w:line="280"/>
            </w:pPr>
            <w:r>
              <w:rPr>
                <w:rFonts w:ascii="Arial" w:cs="Arial" w:eastAsia="Arial" w:hAnsi="Arial"/>
                <w:color w:val="343434"/>
                <w:sz w:val="20"/>
                <w:szCs w:val="20"/>
              </w:rPr>
              <w:t xml:space="preserve">Entreprise B2B de services ou SaaS à ACV élevé, 20 à 200 employés, commanditaire ou exposant confirmé à un événement B2B dans 2 à 8 semaines, avec un DG, VP Marketing, directeur du développement des affaires ou PDG qui décide seul du budget.</w:t>
            </w:r>
          </w:p>
          <w:p>
            <w:pPr>
              <w:spacing w:after="60" w:line="280"/>
            </w:pPr>
            <w:r>
              <w:rPr>
                <w:rFonts w:ascii="Arial" w:cs="Arial" w:eastAsia="Arial" w:hAnsi="Arial"/>
                <w:color w:val="343434"/>
                <w:sz w:val="20"/>
                <w:szCs w:val="20"/>
              </w:rPr>
              <w:t xml:space="preserve">Le qualificatif le plus important : un événement précis à venir. Sans événement, le cycle de vente est trois à cinq fois plus long.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160"/>
        <w:gridCol w:w="2500"/>
      </w:tblGrid>
      <w:tr>
        <w:trPr>
          <w:tblHeader/>
        </w:trPr>
        <w:tc>
          <w:tcPr>
            <w:tcW w:type="dxa" w:w="170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Palier</w:t>
            </w:r>
          </w:p>
        </w:tc>
        <w:tc>
          <w:tcPr>
            <w:tcW w:type="dxa" w:w="516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Critères</w:t>
            </w:r>
          </w:p>
        </w:tc>
        <w:tc>
          <w:tcPr>
            <w:tcW w:type="dxa" w:w="250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Exemples</w:t>
            </w:r>
          </w:p>
        </w:tc>
      </w:tr>
      <w:tr>
        <w:trPr>
          <w:cantSplit/>
        </w:trPr>
        <w:tc>
          <w:tcPr>
            <w:tcW w:type="dxa" w:w="17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Tier 1 — Idéal</w:t>
            </w:r>
          </w:p>
        </w:tc>
        <w:tc>
          <w:tcPr>
            <w:tcW w:type="dxa" w:w="51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B2B services ou SaaS, 20–200 employés</w:t>
            </w:r>
          </w:p>
          <w:p>
            <w:pPr>
              <w:spacing w:after="40" w:line="260"/>
            </w:pPr>
            <w:r>
              <w:rPr>
                <w:rFonts w:ascii="Arial" w:cs="Arial" w:eastAsia="Arial" w:hAnsi="Arial"/>
                <w:b w:val="false"/>
                <w:bCs w:val="false"/>
                <w:color w:val="343434"/>
                <w:sz w:val="19"/>
                <w:szCs w:val="19"/>
              </w:rPr>
              <w:t xml:space="preserve">ACV élevé : une vente rembourse l'événement</w:t>
            </w:r>
          </w:p>
          <w:p>
            <w:pPr>
              <w:spacing w:after="40" w:line="260"/>
            </w:pPr>
            <w:r>
              <w:rPr>
                <w:rFonts w:ascii="Arial" w:cs="Arial" w:eastAsia="Arial" w:hAnsi="Arial"/>
                <w:b w:val="false"/>
                <w:bCs w:val="false"/>
                <w:color w:val="343434"/>
                <w:sz w:val="19"/>
                <w:szCs w:val="19"/>
              </w:rPr>
              <w:t xml:space="preserve">Acheteur : DG, VP Marketing, BDM ou PDG avec budget</w:t>
            </w:r>
          </w:p>
          <w:p>
            <w:pPr>
              <w:spacing w:after="40" w:line="260"/>
            </w:pPr>
            <w:r>
              <w:rPr>
                <w:rFonts w:ascii="Arial" w:cs="Arial" w:eastAsia="Arial" w:hAnsi="Arial"/>
                <w:b w:val="false"/>
                <w:bCs w:val="false"/>
                <w:color w:val="343434"/>
                <w:sz w:val="19"/>
                <w:szCs w:val="19"/>
              </w:rPr>
              <w:t xml:space="preserve">Commanditaire ou exposant confirmé, événement dans 2–8 semaines</w:t>
            </w:r>
          </w:p>
          <w:p>
            <w:pPr>
              <w:spacing w:after="40" w:line="260"/>
            </w:pPr>
            <w:r>
              <w:rPr>
                <w:rFonts w:ascii="Arial" w:cs="Arial" w:eastAsia="Arial" w:hAnsi="Arial"/>
                <w:b w:val="false"/>
                <w:bCs w:val="false"/>
                <w:color w:val="343434"/>
                <w:sz w:val="19"/>
                <w:szCs w:val="19"/>
              </w:rPr>
              <w:t xml:space="preserve">A déjà fait des événements sans préparation</w:t>
            </w:r>
          </w:p>
        </w:tc>
        <w:tc>
          <w:tcPr>
            <w:tcW w:type="dxa" w:w="25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Mirego, Gestion Vigie, Digital Revamp</w:t>
            </w:r>
          </w:p>
        </w:tc>
      </w:tr>
      <w:tr>
        <w:trPr>
          <w:cantSplit/>
        </w:trPr>
        <w:tc>
          <w:tcPr>
            <w:tcW w:type="dxa" w:w="17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Tier 2 — Fort</w:t>
            </w:r>
          </w:p>
        </w:tc>
        <w:tc>
          <w:tcPr>
            <w:tcW w:type="dxa" w:w="51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B2B, 150–400 employés</w:t>
            </w:r>
          </w:p>
          <w:p>
            <w:pPr>
              <w:spacing w:after="40" w:line="260"/>
            </w:pPr>
            <w:r>
              <w:rPr>
                <w:rFonts w:ascii="Arial" w:cs="Arial" w:eastAsia="Arial" w:hAnsi="Arial"/>
                <w:b w:val="false"/>
                <w:bCs w:val="false"/>
                <w:color w:val="343434"/>
                <w:sz w:val="19"/>
                <w:szCs w:val="19"/>
              </w:rPr>
              <w:t xml:space="preserve">Directeur marketing, BDM, directeur des ventes</w:t>
            </w:r>
          </w:p>
          <w:p>
            <w:pPr>
              <w:spacing w:after="40" w:line="260"/>
            </w:pPr>
            <w:r>
              <w:rPr>
                <w:rFonts w:ascii="Arial" w:cs="Arial" w:eastAsia="Arial" w:hAnsi="Arial"/>
                <w:b w:val="false"/>
                <w:bCs w:val="false"/>
                <w:color w:val="343434"/>
                <w:sz w:val="19"/>
                <w:szCs w:val="19"/>
              </w:rPr>
              <w:t xml:space="preserve">Événement jusqu'à 12 semaines, ou Walk the Floor avec objectif clair</w:t>
            </w:r>
          </w:p>
          <w:p>
            <w:pPr>
              <w:spacing w:after="40" w:line="260"/>
            </w:pPr>
            <w:r>
              <w:rPr>
                <w:rFonts w:ascii="Arial" w:cs="Arial" w:eastAsia="Arial" w:hAnsi="Arial"/>
                <w:b w:val="false"/>
                <w:bCs w:val="false"/>
                <w:color w:val="343434"/>
                <w:sz w:val="19"/>
                <w:szCs w:val="19"/>
              </w:rPr>
              <w:t xml:space="preserve">Ne peut pas attribuer de pipeline à ses événements</w:t>
            </w:r>
          </w:p>
        </w:tc>
        <w:tc>
          <w:tcPr>
            <w:tcW w:type="dxa" w:w="25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Expedibox, Nexus, CDWare (Walk the Floor)</w:t>
            </w:r>
          </w:p>
        </w:tc>
      </w:tr>
      <w:tr>
        <w:trPr>
          <w:cantSplit/>
        </w:trPr>
        <w:tc>
          <w:tcPr>
            <w:tcW w:type="dxa" w:w="17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Tier 3 — À qualifier</w:t>
            </w:r>
          </w:p>
        </w:tc>
        <w:tc>
          <w:tcPr>
            <w:tcW w:type="dxa" w:w="51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Plus de 400 employés : cycle de 3 à 6 mois</w:t>
            </w:r>
          </w:p>
          <w:p>
            <w:pPr>
              <w:spacing w:after="40" w:line="260"/>
            </w:pPr>
            <w:r>
              <w:rPr>
                <w:rFonts w:ascii="Arial" w:cs="Arial" w:eastAsia="Arial" w:hAnsi="Arial"/>
                <w:b w:val="false"/>
                <w:bCs w:val="false"/>
                <w:color w:val="343434"/>
                <w:sz w:val="19"/>
                <w:szCs w:val="19"/>
              </w:rPr>
              <w:t xml:space="preserve">Gouvernement : seulement via l'organisateur</w:t>
            </w:r>
          </w:p>
          <w:p>
            <w:pPr>
              <w:spacing w:after="40" w:line="260"/>
            </w:pPr>
            <w:r>
              <w:rPr>
                <w:rFonts w:ascii="Arial" w:cs="Arial" w:eastAsia="Arial" w:hAnsi="Arial"/>
                <w:b w:val="false"/>
                <w:bCs w:val="false"/>
                <w:color w:val="343434"/>
                <w:sz w:val="19"/>
                <w:szCs w:val="19"/>
              </w:rPr>
              <w:t xml:space="preserve">Aucun événement confirmé : reporter à la saison suivante</w:t>
            </w:r>
          </w:p>
          <w:p>
            <w:pPr>
              <w:spacing w:after="40" w:line="260"/>
            </w:pPr>
            <w:r>
              <w:rPr>
                <w:rFonts w:ascii="Arial" w:cs="Arial" w:eastAsia="Arial" w:hAnsi="Arial"/>
                <w:b w:val="false"/>
                <w:bCs w:val="false"/>
                <w:color w:val="343434"/>
                <w:sz w:val="19"/>
                <w:szCs w:val="19"/>
              </w:rPr>
              <w:t xml:space="preserve">Seul contact avec un titre « Événements » sans budget</w:t>
            </w:r>
          </w:p>
        </w:tc>
        <w:tc>
          <w:tcPr>
            <w:tcW w:type="dxa" w:w="25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EY, Gouvernement du Québec</w:t>
            </w:r>
          </w:p>
        </w:tc>
      </w:tr>
    </w:tbl>
    <w:p>
      <w:pPr>
        <w:pStyle w:val="Heading3"/>
        <w:keepNext/>
        <w:spacing w:after="100" w:before="220"/>
      </w:pPr>
      <w:r>
        <w:rPr>
          <w:rFonts w:ascii="Arial" w:cs="Arial" w:eastAsia="Arial" w:hAnsi="Arial"/>
          <w:b/>
          <w:bCs/>
          <w:color w:val="343434"/>
          <w:sz w:val="23"/>
          <w:szCs w:val="23"/>
        </w:rPr>
        <w:t xml:space="preserve">Le comité d'achat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Rôle</w:t>
            </w:r>
          </w:p>
        </w:tc>
        <w:tc>
          <w:tcPr>
            <w:tcW w:type="dxa" w:w="308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Titres</w:t>
            </w:r>
          </w:p>
        </w:tc>
        <w:tc>
          <w:tcPr>
            <w:tcW w:type="dxa" w:w="408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Ce qui compte pour lui</w:t>
            </w:r>
          </w:p>
        </w:tc>
      </w:tr>
      <w:tr>
        <w:trPr>
          <w:cantSplit/>
        </w:trPr>
        <w:tc>
          <w:tcPr>
            <w:tcW w:type="dxa" w:w="22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Acheteur économique</w:t>
            </w:r>
          </w:p>
        </w:tc>
        <w:tc>
          <w:tcPr>
            <w:tcW w:type="dxa" w:w="30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DG, VP Marketing, PDG, BDM</w:t>
            </w:r>
          </w:p>
        </w:tc>
        <w:tc>
          <w:tcPr>
            <w:tcW w:type="dxa" w:w="40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Justifier la dépense de l'événement. Veut un chiffre, pas une impression.</w:t>
            </w:r>
          </w:p>
        </w:tc>
      </w:tr>
      <w:tr>
        <w:trPr>
          <w:cantSplit/>
        </w:trPr>
        <w:tc>
          <w:tcPr>
            <w:tcW w:type="dxa" w:w="22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Champion</w:t>
            </w:r>
          </w:p>
        </w:tc>
        <w:tc>
          <w:tcPr>
            <w:tcW w:type="dxa" w:w="30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Directeur croissance, gestionnaire SDR, VP succès client, BDM</w:t>
            </w:r>
          </w:p>
        </w:tc>
        <w:tc>
          <w:tcPr>
            <w:tcW w:type="dxa" w:w="40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Revient des événements avec des cartes scannées et aucun pipeline.</w:t>
            </w:r>
          </w:p>
        </w:tc>
      </w:tr>
      <w:tr>
        <w:trPr>
          <w:cantSplit/>
        </w:trPr>
        <w:tc>
          <w:tcPr>
            <w:tcW w:type="dxa" w:w="22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Frein</w:t>
            </w:r>
          </w:p>
        </w:tc>
        <w:tc>
          <w:tcPr>
            <w:tcW w:type="dxa" w:w="30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Gestionnaire d'événements, juridique, approvisionnement</w:t>
            </w:r>
          </w:p>
        </w:tc>
        <w:tc>
          <w:tcPr>
            <w:tcW w:type="dxa" w:w="40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N'a pas le budget ; peut porter le projet mais pas le signer.</w:t>
            </w:r>
          </w:p>
        </w:tc>
      </w:tr>
      <w:tr>
        <w:trPr>
          <w:cantSplit/>
        </w:trPr>
        <w:tc>
          <w:tcPr>
            <w:tcW w:type="dxa" w:w="22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Données / Loi 25</w:t>
            </w:r>
          </w:p>
        </w:tc>
        <w:tc>
          <w:tcPr>
            <w:tcW w:type="dxa" w:w="30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RevOps, juridique</w:t>
            </w:r>
          </w:p>
        </w:tc>
        <w:tc>
          <w:tcPr>
            <w:tcW w:type="dxa" w:w="40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Comment la liste est traitée. Surtout au-delà de 100 employés.</w:t>
            </w:r>
          </w:p>
        </w:tc>
      </w:tr>
    </w:tbl>
    <w:p>
      <w:pPr>
        <w:spacing w:after="120" w:before="80" w:line="290"/>
      </w:pPr>
      <w:r>
        <w:rPr>
          <w:rFonts w:ascii="Arial" w:cs="Arial" w:eastAsia="Arial" w:hAnsi="Arial"/>
          <w:i/>
          <w:iCs/>
          <w:color w:val="6B6B6B"/>
          <w:sz w:val="21"/>
          <w:szCs w:val="21"/>
        </w:rPr>
        <w:t xml:space="preserve">Sous 50 employés, le DG est à la fois champion et acheteur : une seule personne, une décision le jour même.</w:t>
      </w:r>
    </w:p>
    <w:p>
      <w:pPr>
        <w:pStyle w:val="Heading3"/>
        <w:keepNext/>
        <w:spacing w:after="100" w:before="220"/>
      </w:pPr>
      <w:r>
        <w:rPr>
          <w:rFonts w:ascii="Arial" w:cs="Arial" w:eastAsia="Arial" w:hAnsi="Arial"/>
          <w:b/>
          <w:bCs/>
          <w:color w:val="343434"/>
          <w:sz w:val="23"/>
          <w:szCs w:val="23"/>
        </w:rPr>
        <w:t xml:space="preserve">Signaux de mauvais fit — ne pas poursuivre</w:t>
      </w:r>
    </w:p>
    <w:p>
      <w:pPr>
        <w:pStyle w:val="ListParagraph"/>
        <w:numPr>
          <w:ilvl w:val="0"/>
          <w:numId w:val="2"/>
        </w:numPr>
        <w:spacing w:after="70" w:line="280"/>
      </w:pPr>
      <w:r>
        <w:rPr>
          <w:rFonts w:ascii="Arial" w:cs="Arial" w:eastAsia="Arial" w:hAnsi="Arial"/>
          <w:b/>
          <w:bCs/>
          <w:color w:val="343434"/>
          <w:sz w:val="21"/>
          <w:szCs w:val="21"/>
        </w:rPr>
        <w:t xml:space="preserve">ACV faible + équipe SDR solide. </w:t>
      </w:r>
      <w:r>
        <w:rPr>
          <w:rFonts w:ascii="Arial" w:cs="Arial" w:eastAsia="Arial" w:hAnsi="Arial"/>
          <w:color w:val="343434"/>
          <w:sz w:val="21"/>
          <w:szCs w:val="21"/>
        </w:rPr>
        <w:t xml:space="preserve">Il leur faut trop de ventes pour rentabiliser l'événement, et ils peuvent trier la liste eux-mêmes. C'est exactement le cas de Cyberimpact et Axeptio.</w:t>
      </w:r>
    </w:p>
    <w:p>
      <w:pPr>
        <w:pStyle w:val="ListParagraph"/>
        <w:numPr>
          <w:ilvl w:val="0"/>
          <w:numId w:val="2"/>
        </w:numPr>
        <w:spacing w:after="70" w:line="280"/>
      </w:pPr>
      <w:r>
        <w:rPr>
          <w:rFonts w:ascii="Arial" w:cs="Arial" w:eastAsia="Arial" w:hAnsi="Arial"/>
          <w:b/>
          <w:bCs/>
          <w:color w:val="343434"/>
          <w:sz w:val="21"/>
          <w:szCs w:val="21"/>
        </w:rPr>
        <w:t xml:space="preserve">Ciblage trop large. </w:t>
      </w:r>
      <w:r>
        <w:rPr>
          <w:rFonts w:ascii="Arial" w:cs="Arial" w:eastAsia="Arial" w:hAnsi="Arial"/>
          <w:color w:val="343434"/>
          <w:sz w:val="21"/>
          <w:szCs w:val="21"/>
        </w:rPr>
        <w:t xml:space="preserve">« Tout le monde qui a un site web est notre client » : la précision n'apporte rien.</w:t>
      </w:r>
    </w:p>
    <w:p>
      <w:pPr>
        <w:pStyle w:val="ListParagraph"/>
        <w:numPr>
          <w:ilvl w:val="0"/>
          <w:numId w:val="2"/>
        </w:numPr>
        <w:spacing w:after="70" w:line="280"/>
      </w:pPr>
      <w:r>
        <w:rPr>
          <w:rFonts w:ascii="Arial" w:cs="Arial" w:eastAsia="Arial" w:hAnsi="Arial"/>
          <w:b/>
          <w:bCs/>
          <w:color w:val="343434"/>
          <w:sz w:val="21"/>
          <w:szCs w:val="21"/>
        </w:rPr>
        <w:t xml:space="preserve">Grande entreprise en approvisionnement. </w:t>
      </w:r>
      <w:r>
        <w:rPr>
          <w:rFonts w:ascii="Arial" w:cs="Arial" w:eastAsia="Arial" w:hAnsi="Arial"/>
          <w:color w:val="343434"/>
          <w:sz w:val="21"/>
          <w:szCs w:val="21"/>
        </w:rPr>
        <w:t xml:space="preserve">EY : 162 jours, aucun dépôt. L'urgence de l'événement disparaît.</w:t>
      </w:r>
    </w:p>
    <w:p>
      <w:pPr>
        <w:pStyle w:val="ListParagraph"/>
        <w:numPr>
          <w:ilvl w:val="0"/>
          <w:numId w:val="2"/>
        </w:numPr>
        <w:spacing w:after="70" w:line="280"/>
      </w:pPr>
      <w:r>
        <w:rPr>
          <w:rFonts w:ascii="Arial" w:cs="Arial" w:eastAsia="Arial" w:hAnsi="Arial"/>
          <w:b/>
          <w:bCs/>
          <w:color w:val="343434"/>
          <w:sz w:val="21"/>
          <w:szCs w:val="21"/>
        </w:rPr>
        <w:t xml:space="preserve">Aucun événement dans les 8 prochaines semaines. </w:t>
      </w:r>
      <w:r>
        <w:rPr>
          <w:rFonts w:ascii="Arial" w:cs="Arial" w:eastAsia="Arial" w:hAnsi="Arial"/>
          <w:color w:val="343434"/>
          <w:sz w:val="21"/>
          <w:szCs w:val="21"/>
        </w:rPr>
        <w:t xml:space="preserve">Pas d'urgence réelle ; ne pas en inventer.</w:t>
      </w:r>
    </w:p>
    <w:p>
      <w:pPr>
        <w:pStyle w:val="ListParagraph"/>
        <w:numPr>
          <w:ilvl w:val="0"/>
          <w:numId w:val="2"/>
        </w:numPr>
        <w:spacing w:after="70" w:line="280"/>
      </w:pPr>
      <w:r>
        <w:rPr>
          <w:rFonts w:ascii="Arial" w:cs="Arial" w:eastAsia="Arial" w:hAnsi="Arial"/>
          <w:b/>
          <w:bCs/>
          <w:color w:val="343434"/>
          <w:sz w:val="21"/>
          <w:szCs w:val="21"/>
        </w:rPr>
        <w:t xml:space="preserve">Seul contact sans budget. </w:t>
      </w:r>
      <w:r>
        <w:rPr>
          <w:rFonts w:ascii="Arial" w:cs="Arial" w:eastAsia="Arial" w:hAnsi="Arial"/>
          <w:color w:val="343434"/>
          <w:sz w:val="21"/>
          <w:szCs w:val="21"/>
        </w:rPr>
        <w:t xml:space="preserve">Exiger un DG ou un VP avant d'avancer.</w:t>
      </w:r>
    </w:p>
    <w:p>
      <w:pPr>
        <w:pStyle w:val="Heading3"/>
        <w:keepNext/>
        <w:spacing w:after="100" w:before="220"/>
      </w:pPr>
      <w:r>
        <w:rPr>
          <w:rFonts w:ascii="Arial" w:cs="Arial" w:eastAsia="Arial" w:hAnsi="Arial"/>
          <w:b/>
          <w:bCs/>
          <w:color w:val="343434"/>
          <w:sz w:val="23"/>
          <w:szCs w:val="23"/>
        </w:rPr>
        <w:t xml:space="preserve">Grille de prix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Forfait</w:t>
            </w:r>
          </w:p>
        </w:tc>
        <w:tc>
          <w:tcPr>
            <w:tcW w:type="dxa" w:w="260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Prix</w:t>
            </w:r>
          </w:p>
        </w:tc>
        <w:tc>
          <w:tcPr>
            <w:tcW w:type="dxa" w:w="456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Usage</w:t>
            </w:r>
          </w:p>
        </w:tc>
      </w:tr>
      <w:tr>
        <w:trPr>
          <w:cantSplit/>
        </w:trPr>
        <w:tc>
          <w:tcPr>
            <w:tcW w:type="dxa" w:w="22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Plancher</w:t>
            </w:r>
          </w:p>
        </w:tc>
        <w:tc>
          <w:tcPr>
            <w:tcW w:type="dxa" w:w="26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750 $ — 10 matchs</w:t>
            </w:r>
          </w:p>
        </w:tc>
        <w:tc>
          <w:tcPr>
            <w:tcW w:type="dxa" w:w="45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Événement où l'ICP est étroit. Jamais en dessous.</w:t>
            </w:r>
          </w:p>
        </w:tc>
      </w:tr>
      <w:tr>
        <w:trPr>
          <w:cantSplit/>
        </w:trPr>
        <w:tc>
          <w:tcPr>
            <w:tcW w:type="dxa" w:w="22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Standard</w:t>
            </w:r>
          </w:p>
        </w:tc>
        <w:tc>
          <w:tcPr>
            <w:tcW w:type="dxa" w:w="26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1 500 $ — 15 matchs</w:t>
            </w:r>
          </w:p>
        </w:tc>
        <w:tc>
          <w:tcPr>
            <w:tcW w:type="dxa" w:w="45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Le cas courant (8 clients sur 11).</w:t>
            </w:r>
          </w:p>
        </w:tc>
      </w:tr>
      <w:tr>
        <w:trPr>
          <w:cantSplit/>
        </w:trPr>
        <w:tc>
          <w:tcPr>
            <w:tcW w:type="dxa" w:w="22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Walk the Floor</w:t>
            </w:r>
          </w:p>
        </w:tc>
        <w:tc>
          <w:tcPr>
            <w:tcW w:type="dxa" w:w="26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4 000 $</w:t>
            </w:r>
          </w:p>
        </w:tc>
        <w:tc>
          <w:tcPr>
            <w:tcW w:type="dxa" w:w="45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Ciblage sans événement précis. Cycle plus long.</w:t>
            </w:r>
          </w:p>
        </w:tc>
      </w:tr>
    </w:tbl>
    <w:p>
      <w:pPr>
        <w:spacing w:after="120" w:before="80" w:line="290"/>
      </w:pPr>
      <w:r>
        <w:rPr>
          <w:rFonts w:ascii="Arial" w:cs="Arial" w:eastAsia="Arial" w:hAnsi="Arial"/>
          <w:i/>
          <w:iCs/>
          <w:color w:val="6B6B6B"/>
          <w:sz w:val="21"/>
          <w:szCs w:val="21"/>
        </w:rPr>
        <w:t xml:space="preserve">Toujours annoncer 15 à 25 matchs selon ce que l'événement contient réellement — jamais un nombre garanti.</w:t>
      </w:r>
    </w:p>
    <w:p>
      <w:pPr>
        <w:pStyle w:val="Heading2"/>
        <w:keepNext/>
        <w:spacing w:after="140" w:before="280"/>
      </w:pPr>
      <w:r>
        <w:rPr>
          <w:rFonts w:ascii="Arial" w:cs="Arial" w:eastAsia="Arial" w:hAnsi="Arial"/>
          <w:b/>
          <w:bCs/>
          <w:color w:val="343434"/>
          <w:sz w:val="27"/>
          <w:szCs w:val="27"/>
        </w:rPr>
        <w:t xml:space="preserve">L'organisateur — le canal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80"/>
        <w:gridCol w:w="3380"/>
      </w:tblGrid>
      <w:tr>
        <w:trPr>
          <w:tblHeader/>
        </w:trPr>
        <w:tc>
          <w:tcPr>
            <w:tcW w:type="dxa" w:w="180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Critère</w:t>
            </w:r>
          </w:p>
        </w:tc>
        <w:tc>
          <w:tcPr>
            <w:tcW w:type="dxa" w:w="418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Ce qu'on cherche</w:t>
            </w:r>
          </w:p>
        </w:tc>
        <w:tc>
          <w:tcPr>
            <w:tcW w:type="dxa" w:w="338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Disqualifiant</w:t>
            </w:r>
          </w:p>
        </w:tc>
      </w:tr>
      <w:tr>
        <w:trPr>
          <w:cantSplit/>
        </w:trPr>
        <w:tc>
          <w:tcPr>
            <w:tcW w:type="dxa" w:w="18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Lieu</w:t>
            </w:r>
          </w:p>
        </w:tc>
        <w:tc>
          <w:tcPr>
            <w:tcW w:type="dxa" w:w="41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Centre des congrès, salon professionnel</w:t>
            </w:r>
          </w:p>
        </w:tc>
        <w:tc>
          <w:tcPr>
            <w:tcW w:type="dxa" w:w="33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Hôtel (salle de bal, salles de réunion)</w:t>
            </w:r>
          </w:p>
        </w:tc>
      </w:tr>
      <w:tr>
        <w:trPr>
          <w:cantSplit/>
        </w:trPr>
        <w:tc>
          <w:tcPr>
            <w:tcW w:type="dxa" w:w="18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Volume</w:t>
            </w:r>
          </w:p>
        </w:tc>
        <w:tc>
          <w:tcPr>
            <w:tcW w:type="dxa" w:w="41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1 000 participants et plus</w:t>
            </w:r>
          </w:p>
        </w:tc>
        <w:tc>
          <w:tcPr>
            <w:tcW w:type="dxa" w:w="33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Moins de 1 000 — pas assez de matchs</w:t>
            </w:r>
          </w:p>
        </w:tc>
      </w:tr>
      <w:tr>
        <w:trPr>
          <w:cantSplit/>
        </w:trPr>
        <w:tc>
          <w:tcPr>
            <w:tcW w:type="dxa" w:w="18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Mix</w:t>
            </w:r>
          </w:p>
        </w:tc>
        <w:tc>
          <w:tcPr>
            <w:tcW w:type="dxa" w:w="41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Hétérogène : fournisseurs tech qui vendent à des acheteurs non tech (détail, manufacturier, construction)</w:t>
            </w:r>
          </w:p>
        </w:tc>
        <w:tc>
          <w:tcPr>
            <w:tcW w:type="dxa" w:w="33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Événement 100 % tech ou 100 % d'une industrie</w:t>
            </w:r>
          </w:p>
        </w:tc>
      </w:tr>
      <w:tr>
        <w:trPr>
          <w:cantSplit/>
        </w:trPr>
        <w:tc>
          <w:tcPr>
            <w:tcW w:type="dxa" w:w="18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Format</w:t>
            </w:r>
          </w:p>
        </w:tc>
        <w:tc>
          <w:tcPr>
            <w:tcW w:type="dxa" w:w="41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Annuel, récurrent</w:t>
            </w:r>
          </w:p>
        </w:tc>
        <w:tc>
          <w:tcPr>
            <w:tcW w:type="dxa" w:w="33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Événement unique ou inaugural</w:t>
            </w:r>
          </w:p>
        </w:tc>
      </w:tr>
      <w:tr>
        <w:trPr>
          <w:cantSplit/>
        </w:trPr>
        <w:tc>
          <w:tcPr>
            <w:tcW w:type="dxa" w:w="18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Composition</w:t>
            </w:r>
          </w:p>
        </w:tc>
        <w:tc>
          <w:tcPr>
            <w:tcW w:type="dxa" w:w="41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Acheteurs de plusieurs secteurs</w:t>
            </w:r>
          </w:p>
        </w:tc>
        <w:tc>
          <w:tcPr>
            <w:tcW w:type="dxa" w:w="33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Événement dominé par les fournisseurs (patron AWS Summit)</w:t>
            </w:r>
          </w:p>
        </w:tc>
      </w:tr>
      <w:tr>
        <w:trPr>
          <w:cantSplit/>
        </w:trPr>
        <w:tc>
          <w:tcPr>
            <w:tcW w:type="dxa" w:w="18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Douleur</w:t>
            </w:r>
          </w:p>
        </w:tc>
        <w:tc>
          <w:tcPr>
            <w:tcW w:type="dxa" w:w="41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L'organisateur sait que ses commanditaires ne renouvellent pas</w:t>
            </w:r>
          </w:p>
        </w:tc>
        <w:tc>
          <w:tcPr>
            <w:tcW w:type="dxa" w:w="33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Organisateur satisfait, aucune douleur exprimée</w:t>
            </w:r>
          </w:p>
        </w:tc>
      </w:tr>
    </w:tbl>
    <w:p>
      <w:pPr>
        <w:pStyle w:val="Heading3"/>
        <w:keepNext/>
        <w:spacing w:after="100" w:before="220"/>
      </w:pPr>
      <w:r>
        <w:rPr>
          <w:rFonts w:ascii="Arial" w:cs="Arial" w:eastAsia="Arial" w:hAnsi="Arial"/>
          <w:b/>
          <w:bCs/>
          <w:color w:val="343434"/>
          <w:sz w:val="23"/>
          <w:szCs w:val="23"/>
        </w:rPr>
        <w:t xml:space="preserve">Ce que les derniers événements nous ont appris</w:t>
      </w:r>
    </w:p>
    <w:p>
      <w:pPr>
        <w:spacing w:after="120" w:before="0" w:line="290"/>
      </w:pPr>
      <w:r>
        <w:rPr>
          <w:rFonts w:ascii="Arial" w:cs="Arial" w:eastAsia="Arial" w:hAnsi="Arial"/>
          <w:b/>
          <w:bCs/>
          <w:color w:val="343434"/>
          <w:sz w:val="21"/>
          <w:szCs w:val="21"/>
        </w:rPr>
        <w:t xml:space="preserve">Le profil des exposants compte plus que la taille de l'événement. </w:t>
      </w:r>
      <w:r>
        <w:rPr>
          <w:rFonts w:ascii="Arial" w:cs="Arial" w:eastAsia="Arial" w:hAnsi="Arial"/>
          <w:color w:val="343434"/>
          <w:sz w:val="21"/>
          <w:szCs w:val="21"/>
        </w:rPr>
        <w:t xml:space="preserve">Les exposants de HOP! vendent des choses opérationnelles à gros ticket aux détaillants — aménagement de magasins, automatisation d'entrepôt, logistique. Une seule vente rembourse le forfait des dizaines de fois, et le problème d'ACV rencontré avec Cyberimpact et Axeptio disparaît. Les événements de détail et industriels sont structurellement de meilleurs terrains que les salons tech, où la proportion de vendeurs est plus élevée.</w:t>
      </w:r>
    </w:p>
    <w:p>
      <w:pPr>
        <w:spacing w:after="120" w:before="0" w:line="290"/>
      </w:pPr>
      <w:r>
        <w:rPr>
          <w:rFonts w:ascii="Arial" w:cs="Arial" w:eastAsia="Arial" w:hAnsi="Arial"/>
          <w:b/>
          <w:bCs/>
          <w:color w:val="343434"/>
          <w:sz w:val="21"/>
          <w:szCs w:val="21"/>
        </w:rPr>
        <w:t xml:space="preserve">Le palier de commandite est un indicateur d'anxiété face au ROI. </w:t>
      </w:r>
      <w:r>
        <w:rPr>
          <w:rFonts w:ascii="Arial" w:cs="Arial" w:eastAsia="Arial" w:hAnsi="Arial"/>
          <w:color w:val="343434"/>
          <w:sz w:val="21"/>
          <w:szCs w:val="21"/>
        </w:rPr>
        <w:t xml:space="preserve">Un partenaire Silver ou Gold a plus d'argent en jeu qu'un simple exposant. Trier les prospects par palier, pas par taille d'entreprise.</w:t>
      </w:r>
    </w:p>
    <w:p>
      <w:pPr>
        <w:spacing w:after="120" w:before="0" w:line="290"/>
      </w:pPr>
      <w:r>
        <w:rPr>
          <w:rFonts w:ascii="Arial" w:cs="Arial" w:eastAsia="Arial" w:hAnsi="Arial"/>
          <w:b/>
          <w:bCs/>
          <w:color w:val="343434"/>
          <w:sz w:val="21"/>
          <w:szCs w:val="21"/>
        </w:rPr>
        <w:t xml:space="preserve">Un commanditaire de premier palier qui ne revient pas, </w:t>
      </w:r>
      <w:r>
        <w:rPr>
          <w:rFonts w:ascii="Arial" w:cs="Arial" w:eastAsia="Arial" w:hAnsi="Arial"/>
          <w:color w:val="343434"/>
          <w:sz w:val="21"/>
          <w:szCs w:val="21"/>
        </w:rPr>
        <w:t xml:space="preserve">c'est exactement le problème qu'on règle — et une porte d'entrée auprès de l'organisateur. Toujours passer par l'organisateur, jamais le contourner vers son ancien commanditaire.</w:t>
      </w:r>
    </w:p>
    <w:p>
      <w:pPr>
        <w:pStyle w:val="Heading1"/>
        <w:pageBreakBefore/>
        <w:spacing w:after="200"/>
      </w:pPr>
      <w:r>
        <w:rPr>
          <w:rFonts w:ascii="Arial" w:cs="Arial" w:eastAsia="Arial" w:hAnsi="Arial"/>
          <w:b/>
          <w:bCs/>
          <w:color w:val="343434"/>
          <w:sz w:val="36"/>
          <w:szCs w:val="36"/>
        </w:rPr>
        <w:t xml:space="preserve">3. Messaging — ce qu'on dit</w:t>
      </w:r>
    </w:p>
    <w:p>
      <w:pPr>
        <w:pStyle w:val="Heading2"/>
        <w:keepNext/>
        <w:spacing w:after="140" w:before="280"/>
      </w:pPr>
      <w:r>
        <w:rPr>
          <w:rFonts w:ascii="Arial" w:cs="Arial" w:eastAsia="Arial" w:hAnsi="Arial"/>
          <w:b/>
          <w:bCs/>
          <w:color w:val="343434"/>
          <w:sz w:val="27"/>
          <w:szCs w:val="27"/>
        </w:rPr>
        <w:t xml:space="preserve">Ce que l'acheteur essaie d'accomplir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3160"/>
        <w:gridCol w:w="2500"/>
      </w:tblGrid>
      <w:tr>
        <w:trPr>
          <w:tblHeader/>
        </w:trPr>
        <w:tc>
          <w:tcPr>
            <w:tcW w:type="dxa" w:w="370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 J'essaie de… »</w:t>
            </w:r>
          </w:p>
        </w:tc>
        <w:tc>
          <w:tcPr>
            <w:tcW w:type="dxa" w:w="316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Situation déclencheuse</w:t>
            </w:r>
          </w:p>
        </w:tc>
        <w:tc>
          <w:tcPr>
            <w:tcW w:type="dxa" w:w="250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Qui</w:t>
            </w:r>
          </w:p>
        </w:tc>
      </w:tr>
      <w:tr>
        <w:trPr>
          <w:cantSplit/>
        </w:trPr>
        <w:tc>
          <w:tcPr>
            <w:tcW w:type="dxa" w:w="37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…faire rapporter du pipeline à un kiosque déjà payé, pas une pile de cartes scannées</w:t>
            </w:r>
          </w:p>
        </w:tc>
        <w:tc>
          <w:tcPr>
            <w:tcW w:type="dxa" w:w="31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Commandite signée, événement dans 2 à 8 semaines</w:t>
            </w:r>
          </w:p>
        </w:tc>
        <w:tc>
          <w:tcPr>
            <w:tcW w:type="dxa" w:w="25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DG, VP Marketing</w:t>
            </w:r>
          </w:p>
        </w:tc>
      </w:tr>
      <w:tr>
        <w:trPr>
          <w:cantSplit/>
        </w:trPr>
        <w:tc>
          <w:tcPr>
            <w:tcW w:type="dxa" w:w="37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…savoir qui vaut les deux jours de mon équipe avant d'arriver</w:t>
            </w:r>
          </w:p>
        </w:tc>
        <w:tc>
          <w:tcPr>
            <w:tcW w:type="dxa" w:w="31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Petite équipe, un ou deux représentants sur le plancher</w:t>
            </w:r>
          </w:p>
        </w:tc>
        <w:tc>
          <w:tcPr>
            <w:tcW w:type="dxa" w:w="25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Fondateur, firme de services</w:t>
            </w:r>
          </w:p>
        </w:tc>
      </w:tr>
      <w:tr>
        <w:trPr>
          <w:cantSplit/>
        </w:trPr>
        <w:tc>
          <w:tcPr>
            <w:tcW w:type="dxa" w:w="37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…rejoindre des acheteurs dans une industrie que je ne connais pas</w:t>
            </w:r>
          </w:p>
        </w:tc>
        <w:tc>
          <w:tcPr>
            <w:tcW w:type="dxa" w:w="31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Fournisseur tech dans un salon de détail ou de construction</w:t>
            </w:r>
          </w:p>
        </w:tc>
        <w:tc>
          <w:tcPr>
            <w:tcW w:type="dxa" w:w="25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BDM, responsable des ventes</w:t>
            </w:r>
          </w:p>
        </w:tc>
      </w:tr>
      <w:tr>
        <w:trPr>
          <w:cantSplit/>
        </w:trPr>
        <w:tc>
          <w:tcPr>
            <w:tcW w:type="dxa" w:w="37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…justifier l'événement avec mieux que « bonne visibilité »</w:t>
            </w:r>
          </w:p>
        </w:tc>
        <w:tc>
          <w:tcPr>
            <w:tcW w:type="dxa" w:w="31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Bilan post-événement, budget de l'an prochain</w:t>
            </w:r>
          </w:p>
        </w:tc>
        <w:tc>
          <w:tcPr>
            <w:tcW w:type="dxa" w:w="25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VP Marketing qui rend des comptes</w:t>
            </w:r>
          </w:p>
        </w:tc>
      </w:tr>
      <w:tr>
        <w:trPr>
          <w:cantSplit/>
        </w:trPr>
        <w:tc>
          <w:tcPr>
            <w:tcW w:type="dxa" w:w="37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…ouvrir la conversation sans que ça sonne comme un pitch à froid</w:t>
            </w:r>
          </w:p>
        </w:tc>
        <w:tc>
          <w:tcPr>
            <w:tcW w:type="dxa" w:w="31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Le représentant sait qui, pas comment commencer</w:t>
            </w:r>
          </w:p>
        </w:tc>
        <w:tc>
          <w:tcPr>
            <w:tcW w:type="dxa" w:w="25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Représentant, champion</w:t>
            </w:r>
          </w:p>
        </w:tc>
      </w:tr>
      <w:tr>
        <w:trPr>
          <w:cantSplit/>
        </w:trPr>
        <w:tc>
          <w:tcPr>
            <w:tcW w:type="dxa" w:w="37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Organisateur : …faire renouveler mes commanditaires</w:t>
            </w:r>
          </w:p>
        </w:tc>
        <w:tc>
          <w:tcPr>
            <w:tcW w:type="dxa" w:w="31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Bilan post-événement, départs de commanditaires</w:t>
            </w:r>
          </w:p>
        </w:tc>
        <w:tc>
          <w:tcPr>
            <w:tcW w:type="dxa" w:w="25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VP Événements, directeur des commandites</w:t>
            </w:r>
          </w:p>
        </w:tc>
      </w:tr>
    </w:tbl>
    <w:p>
      <w:pPr>
        <w:pStyle w:val="Heading2"/>
        <w:keepNext/>
        <w:spacing w:after="140" w:before="280"/>
      </w:pPr>
      <w:r>
        <w:rPr>
          <w:rFonts w:ascii="Arial" w:cs="Arial" w:eastAsia="Arial" w:hAnsi="Arial"/>
          <w:b/>
          <w:bCs/>
          <w:color w:val="343434"/>
          <w:sz w:val="27"/>
          <w:szCs w:val="27"/>
        </w:rPr>
        <w:t xml:space="preserve">Les douleurs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4200"/>
      </w:tblGrid>
      <w:tr>
        <w:trPr>
          <w:tblHeader/>
        </w:trPr>
        <w:tc>
          <w:tcPr>
            <w:tcW w:type="dxa" w:w="516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Douleur</w:t>
            </w:r>
          </w:p>
        </w:tc>
        <w:tc>
          <w:tcPr>
            <w:tcW w:type="dxa" w:w="420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Ce que ça coûte</w:t>
            </w:r>
          </w:p>
        </w:tc>
      </w:tr>
      <w:tr>
        <w:trPr>
          <w:cantSplit/>
        </w:trPr>
        <w:tc>
          <w:tcPr>
            <w:tcW w:type="dxa" w:w="51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Le kiosque est payé, mais personne ne sait qui chercher une fois les portes ouvertes</w:t>
            </w:r>
          </w:p>
        </w:tc>
        <w:tc>
          <w:tcPr>
            <w:tcW w:type="dxa" w:w="42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L'investissement rapporte des cartes scannées et du small talk</w:t>
            </w:r>
          </w:p>
        </w:tc>
      </w:tr>
      <w:tr>
        <w:trPr>
          <w:cantSplit/>
        </w:trPr>
        <w:tc>
          <w:tcPr>
            <w:tcW w:type="dxa" w:w="51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Pas le temps de se préparer : l'équipe fait rouler l'entreprise jusqu'à la veille</w:t>
            </w:r>
          </w:p>
        </w:tc>
        <w:tc>
          <w:tcPr>
            <w:tcW w:type="dxa" w:w="42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La préparation ne se fait pas, ou seulement sur les noms déjà connus</w:t>
            </w:r>
          </w:p>
        </w:tc>
      </w:tr>
      <w:tr>
        <w:trPr>
          <w:cantSplit/>
        </w:trPr>
        <w:tc>
          <w:tcPr>
            <w:tcW w:type="dxa" w:w="51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Impossible de justifier le budget de l'événement après coup</w:t>
            </w:r>
          </w:p>
        </w:tc>
        <w:tc>
          <w:tcPr>
            <w:tcW w:type="dxa" w:w="42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Le budget de l'an prochain est remis en question</w:t>
            </w:r>
          </w:p>
        </w:tc>
      </w:tr>
      <w:tr>
        <w:trPr>
          <w:cantSplit/>
        </w:trPr>
        <w:tc>
          <w:tcPr>
            <w:tcW w:type="dxa" w:w="51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Les acheteurs d'une autre industrie ne s'inscrivent pas dans l'app de l'événement</w:t>
            </w:r>
          </w:p>
        </w:tc>
        <w:tc>
          <w:tcPr>
            <w:tcW w:type="dxa" w:w="42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Les bons acheteurs ne passent jamais devant le kiosque</w:t>
            </w:r>
          </w:p>
        </w:tc>
      </w:tr>
      <w:tr>
        <w:trPr>
          <w:cantSplit/>
        </w:trPr>
        <w:tc>
          <w:tcPr>
            <w:tcW w:type="dxa" w:w="51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Peur du pitch à froid — personne n'aime se faire vendre</w:t>
            </w:r>
          </w:p>
        </w:tc>
        <w:tc>
          <w:tcPr>
            <w:tcW w:type="dxa" w:w="42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Le représentant n'écrit à personne</w:t>
            </w:r>
          </w:p>
        </w:tc>
      </w:tr>
      <w:tr>
        <w:trPr>
          <w:cantSplit/>
        </w:trPr>
        <w:tc>
          <w:tcPr>
            <w:tcW w:type="dxa" w:w="51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Organisateur : les commanditaires ne renouvellent pas et ne disent pas pourquoi</w:t>
            </w:r>
          </w:p>
        </w:tc>
        <w:tc>
          <w:tcPr>
            <w:tcW w:type="dxa" w:w="42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Remplacer un commanditaire coûte plus cher que le garder</w:t>
            </w:r>
          </w:p>
        </w:tc>
      </w:tr>
    </w:tbl>
    <w:p>
      <w:pPr>
        <w:pStyle w:val="Heading2"/>
        <w:keepNext/>
        <w:spacing w:after="140" w:before="280"/>
      </w:pPr>
      <w:r>
        <w:rPr>
          <w:rFonts w:ascii="Arial" w:cs="Arial" w:eastAsia="Arial" w:hAnsi="Arial"/>
          <w:b/>
          <w:bCs/>
          <w:color w:val="343434"/>
          <w:sz w:val="27"/>
          <w:szCs w:val="27"/>
        </w:rPr>
        <w:t xml:space="preserve">Ce qu'on fait → ce que ça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Ce que BETA Labs fait</w:t>
            </w:r>
          </w:p>
        </w:tc>
        <w:tc>
          <w:tcPr>
            <w:tcW w:type="dxa" w:w="468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Ce que ça change pour l'acheteur</w:t>
            </w:r>
          </w:p>
        </w:tc>
      </w:tr>
      <w:tr>
        <w:trPr>
          <w:cantSplit/>
        </w:trPr>
        <w:tc>
          <w:tcPr>
            <w:tcW w:type="dxa" w:w="46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Travaille à partir de la vraie liste de l'organisateur, sous entente</w:t>
            </w:r>
          </w:p>
        </w:tc>
        <w:tc>
          <w:tcPr>
            <w:tcW w:type="dxa" w:w="46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Rien n'est gaspillé sur des gens qui ne sont pas réellement inscrits</w:t>
            </w:r>
          </w:p>
        </w:tc>
      </w:tr>
      <w:tr>
        <w:trPr>
          <w:cantSplit/>
        </w:trPr>
        <w:tc>
          <w:tcPr>
            <w:tcW w:type="dxa" w:w="46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Enrichit chaque profil sur quatre dimensions : entreprise, rôle, pile technologique, signal d'achat</w:t>
            </w:r>
          </w:p>
        </w:tc>
        <w:tc>
          <w:tcPr>
            <w:tcW w:type="dxa" w:w="46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On rejoint des acheteurs même dans une industrie qu'on ne connaît pas</w:t>
            </w:r>
          </w:p>
        </w:tc>
      </w:tr>
      <w:tr>
        <w:trPr>
          <w:cantSplit/>
        </w:trPr>
        <w:tc>
          <w:tcPr>
            <w:tcW w:type="dxa" w:w="46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Évalue chaque participant selon l'ICP et le classe : À rencontrer · À considérer · Notoriété</w:t>
            </w:r>
          </w:p>
        </w:tc>
        <w:tc>
          <w:tcPr>
            <w:tcW w:type="dxa" w:w="46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On arrive en sachant exactement qui rencontrer, et pourquoi</w:t>
            </w:r>
          </w:p>
        </w:tc>
      </w:tr>
      <w:tr>
        <w:trPr>
          <w:cantSplit/>
        </w:trPr>
        <w:tc>
          <w:tcPr>
            <w:tcW w:type="dxa" w:w="46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Attache à chaque nom le signal qui l'a qualifié</w:t>
            </w:r>
          </w:p>
        </w:tc>
        <w:tc>
          <w:tcPr>
            <w:tcW w:type="dxa" w:w="46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On ouvre la conversation avec une raison, pas un pitch</w:t>
            </w:r>
          </w:p>
        </w:tc>
      </w:tr>
      <w:tr>
        <w:trPr>
          <w:cantSplit/>
        </w:trPr>
        <w:tc>
          <w:tcPr>
            <w:tcW w:type="dxa" w:w="46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Fournit des angles de conversation et un brouillon d'ouverture</w:t>
            </w:r>
          </w:p>
        </w:tc>
        <w:tc>
          <w:tcPr>
            <w:tcW w:type="dxa" w:w="46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Le premier message est facile — et c'est le commanditaire qui l'envoie</w:t>
            </w:r>
          </w:p>
        </w:tc>
      </w:tr>
      <w:tr>
        <w:trPr>
          <w:cantSplit/>
        </w:trPr>
        <w:tc>
          <w:tcPr>
            <w:tcW w:type="dxa" w:w="46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Livre la liste courte environ une semaine avant l'événement</w:t>
            </w:r>
          </w:p>
        </w:tc>
        <w:tc>
          <w:tcPr>
            <w:tcW w:type="dxa" w:w="46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Les deux jours servent aux conversations qui comptent</w:t>
            </w:r>
          </w:p>
        </w:tc>
      </w:tr>
      <w:tr>
        <w:trPr>
          <w:cantSplit/>
        </w:trPr>
        <w:tc>
          <w:tcPr>
            <w:tcW w:type="dxa" w:w="46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Facture au match livré et dit quand un événement contient moins de matchs</w:t>
            </w:r>
          </w:p>
        </w:tc>
        <w:tc>
          <w:tcPr>
            <w:tcW w:type="dxa" w:w="46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On paie pour ce qui existe, jamais pour un quota</w:t>
            </w:r>
          </w:p>
        </w:tc>
      </w:tr>
      <w:tr>
        <w:trPr>
          <w:cantSplit/>
        </w:trPr>
        <w:tc>
          <w:tcPr>
            <w:tcW w:type="dxa" w:w="46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Aucune intégration technique</w:t>
            </w:r>
          </w:p>
        </w:tc>
        <w:tc>
          <w:tcPr>
            <w:tcW w:type="dxa" w:w="46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Pas de projet informatique, pas d'approvisionnement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C8BF" w:sz="4"/>
              <w:left w:val="single" w:color="C9C8BF" w:sz="4"/>
              <w:bottom w:val="single" w:color="C9C8BF" w:sz="4"/>
              <w:right w:val="single" w:color="C9C8BF" w:sz="4"/>
            </w:tcBorders>
            <w:shd w:fill="F8F6F2" w:val="clear"/>
            <w:tcMar>
              <w:top w:type="dxa" w:w="160"/>
              <w:left w:type="dxa" w:w="220"/>
              <w:bottom w:type="dxa" w:w="160"/>
              <w:right w:type="dxa" w:w="220"/>
            </w:tcMar>
          </w:tcPr>
          <w:p>
            <w:pPr>
              <w:spacing w:after="80"/>
            </w:pPr>
            <w:r>
              <w:rPr>
                <w:rFonts w:ascii="Arial" w:cs="Arial" w:eastAsia="Arial" w:hAnsi="Arial"/>
                <w:b/>
                <w:bCs/>
                <w:color w:val="343434"/>
                <w:sz w:val="22"/>
                <w:szCs w:val="22"/>
              </w:rPr>
              <w:t xml:space="preserve">Ce que BETA Labs ne fait pas</w:t>
            </w:r>
          </w:p>
          <w:p>
            <w:pPr>
              <w:spacing w:after="60" w:line="280"/>
            </w:pPr>
            <w:r>
              <w:rPr>
                <w:rFonts w:ascii="Arial" w:cs="Arial" w:eastAsia="Arial" w:hAnsi="Arial"/>
                <w:color w:val="343434"/>
                <w:sz w:val="20"/>
                <w:szCs w:val="20"/>
              </w:rPr>
              <w:t xml:space="preserve">Ne réserve, ne planifie et ne confirme aucune rencontre. Ne contacte pas les prospects au nom du commanditaire. C'est voulu : la relation reste au commanditaire.</w:t>
            </w:r>
          </w:p>
        </w:tc>
      </w:tr>
    </w:tbl>
    <w:p>
      <w:pPr>
        <w:pStyle w:val="Heading2"/>
        <w:keepNext/>
        <w:spacing w:after="140" w:before="280"/>
      </w:pPr>
      <w:r>
        <w:rPr>
          <w:rFonts w:ascii="Arial" w:cs="Arial" w:eastAsia="Arial" w:hAnsi="Arial"/>
          <w:b/>
          <w:bCs/>
          <w:color w:val="343434"/>
          <w:sz w:val="27"/>
          <w:szCs w:val="27"/>
        </w:rPr>
        <w:t xml:space="preserve">Répondre au statu quo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30"/>
        <w:gridCol w:w="3830"/>
      </w:tblGrid>
      <w:tr>
        <w:trPr>
          <w:tblHeader/>
        </w:trPr>
        <w:tc>
          <w:tcPr>
            <w:tcW w:type="dxa" w:w="230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Alternative</w:t>
            </w:r>
          </w:p>
        </w:tc>
        <w:tc>
          <w:tcPr>
            <w:tcW w:type="dxa" w:w="323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Ce qu'on concède (vrai, à voix haute)</w:t>
            </w:r>
          </w:p>
        </w:tc>
        <w:tc>
          <w:tcPr>
            <w:tcW w:type="dxa" w:w="383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Où on amène la conversation</w:t>
            </w:r>
          </w:p>
        </w:tc>
      </w:tr>
      <w:tr>
        <w:trPr>
          <w:cantSplit/>
        </w:trPr>
        <w:tc>
          <w:tcPr>
            <w:tcW w:type="dxa" w:w="23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L'équipe interne le fait — l'alternative principale</w:t>
            </w:r>
          </w:p>
        </w:tc>
        <w:tc>
          <w:tcPr>
            <w:tcW w:type="dxa" w:w="323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 Votre équipe pourrait tout à fait le faire. C'est gratuit et vous gardez le contrôle. »</w:t>
            </w:r>
          </w:p>
        </w:tc>
        <w:tc>
          <w:tcPr>
            <w:tcW w:type="dxa" w:w="383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Est-ce que ça va se faire, deux semaines avant, sur des milliers de profils, selon vos vrais critères ? On remet les noms et la raison ; le représentant écrit et garde la relation.</w:t>
            </w:r>
          </w:p>
        </w:tc>
      </w:tr>
      <w:tr>
        <w:trPr>
          <w:cantSplit/>
        </w:trPr>
        <w:tc>
          <w:tcPr>
            <w:tcW w:type="dxa" w:w="23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Obtenir la liste soi-même</w:t>
            </w:r>
          </w:p>
        </w:tc>
        <w:tc>
          <w:tcPr>
            <w:tcW w:type="dxa" w:w="323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 Parfois, vous pouvez l'obtenir vous-mêmes. »</w:t>
            </w:r>
          </w:p>
        </w:tc>
        <w:tc>
          <w:tcPr>
            <w:tcW w:type="dxa" w:w="383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La liste, c'est un nom et un titre. La valeur est dans ce qu'on y applique.</w:t>
            </w:r>
          </w:p>
        </w:tc>
      </w:tr>
      <w:tr>
        <w:trPr>
          <w:cantSplit/>
        </w:trPr>
        <w:tc>
          <w:tcPr>
            <w:tcW w:type="dxa" w:w="23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L'app de l'événement</w:t>
            </w:r>
          </w:p>
        </w:tc>
        <w:tc>
          <w:tcPr>
            <w:tcW w:type="dxa" w:w="323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 Elle est utile pour planifier et scanner. Gardez-la. »</w:t>
            </w:r>
          </w:p>
        </w:tc>
        <w:tc>
          <w:tcPr>
            <w:tcW w:type="dxa" w:w="383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Elle jumelle sur des étiquettes choisies par les participants. On part de vos critères d'achat.</w:t>
            </w:r>
          </w:p>
        </w:tc>
      </w:tr>
      <w:tr>
        <w:trPr>
          <w:cantSplit/>
        </w:trPr>
        <w:tc>
          <w:tcPr>
            <w:tcW w:type="dxa" w:w="23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Embaucher ou mobiliser un SDR</w:t>
            </w:r>
          </w:p>
        </w:tc>
        <w:tc>
          <w:tcPr>
            <w:tcW w:type="dxa" w:w="323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 Si vous avez un SDR libre deux semaines, c'est une vraie option. »</w:t>
            </w:r>
          </w:p>
        </w:tc>
        <w:tc>
          <w:tcPr>
            <w:tcW w:type="dxa" w:w="383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La plupart des commanditaires de 20 à 200 employés n'en ont pas.</w:t>
            </w:r>
          </w:p>
        </w:tc>
      </w:tr>
      <w:tr>
        <w:trPr>
          <w:cantSplit/>
        </w:trPr>
        <w:tc>
          <w:tcPr>
            <w:tcW w:type="dxa" w:w="23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Marcher le plancher et espérer</w:t>
            </w:r>
          </w:p>
        </w:tc>
        <w:tc>
          <w:tcPr>
            <w:tcW w:type="dxa" w:w="323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 Les bonnes rencontres arrivent aussi par hasard. »</w:t>
            </w:r>
          </w:p>
        </w:tc>
        <w:tc>
          <w:tcPr>
            <w:tcW w:type="dxa" w:w="383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Les bons acheteurs sont dans la salle ; arrivez en sachant où vous placer.</w:t>
            </w:r>
          </w:p>
        </w:tc>
      </w:tr>
      <w:tr>
        <w:trPr>
          <w:cantSplit/>
        </w:trPr>
        <w:tc>
          <w:tcPr>
            <w:tcW w:type="dxa" w:w="23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Vendelux</w:t>
            </w:r>
          </w:p>
        </w:tc>
        <w:tc>
          <w:tcPr>
            <w:tcW w:type="dxa" w:w="323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 C'est un outil sérieux pour les gros programmes d'événements. »</w:t>
            </w:r>
          </w:p>
        </w:tc>
        <w:tc>
          <w:tcPr>
            <w:tcW w:type="dxa" w:w="383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Autre jeu : données prédictives contre la vraie liste ; SaaS annuel contre prix au match ; outreach automatisé contre « c'est vous qui écrivez ».</w:t>
            </w:r>
          </w:p>
        </w:tc>
      </w:tr>
    </w:tbl>
    <w:p>
      <w:pPr>
        <w:spacing w:after="120" w:before="80" w:line="290"/>
      </w:pPr>
      <w:r>
        <w:rPr>
          <w:rFonts w:ascii="Arial" w:cs="Arial" w:eastAsia="Arial" w:hAnsi="Arial"/>
          <w:i/>
          <w:iCs/>
          <w:color w:val="6B6B6B"/>
          <w:sz w:val="21"/>
          <w:szCs w:val="21"/>
        </w:rPr>
        <w:t xml:space="preserve">Toujours concéder quelque chose de vrai en premier. Ne jamais attaquer un concurrent, ne jamais nommer Grip, Swapcard ou Brella en prospection à froid.</w:t>
      </w:r>
    </w:p>
    <w:p>
      <w:pPr>
        <w:pStyle w:val="Heading2"/>
        <w:keepNext/>
        <w:spacing w:after="140" w:before="280"/>
      </w:pPr>
      <w:r>
        <w:rPr>
          <w:rFonts w:ascii="Arial" w:cs="Arial" w:eastAsia="Arial" w:hAnsi="Arial"/>
          <w:b/>
          <w:bCs/>
          <w:color w:val="343434"/>
          <w:sz w:val="27"/>
          <w:szCs w:val="27"/>
        </w:rPr>
        <w:t xml:space="preserve">Le coût de l'inaction</w:t>
      </w:r>
    </w:p>
    <w:p>
      <w:pPr>
        <w:spacing w:after="120" w:before="0" w:line="290"/>
      </w:pPr>
      <w:r>
        <w:rPr>
          <w:rFonts w:ascii="Arial" w:cs="Arial" w:eastAsia="Arial" w:hAnsi="Arial"/>
          <w:b/>
          <w:bCs/>
          <w:color w:val="343434"/>
          <w:sz w:val="21"/>
          <w:szCs w:val="21"/>
        </w:rPr>
        <w:t xml:space="preserve">L'urgence réelle, c'est l'événement. </w:t>
      </w:r>
      <w:r>
        <w:rPr>
          <w:rFonts w:ascii="Arial" w:cs="Arial" w:eastAsia="Arial" w:hAnsi="Arial"/>
          <w:color w:val="343434"/>
          <w:sz w:val="21"/>
          <w:szCs w:val="21"/>
        </w:rPr>
        <w:t xml:space="preserve">Le kiosque, les billets et les journées de l'équipe sont déjà dépensés. À moins d'une semaine de l'ouverture, il n'y a plus le temps de livrer ni d'ouvrir des conversations. Sans événement à venir, il n'y a pas d'urgence — et on n'en invente pas.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C8BF" w:sz="4"/>
              <w:left w:val="single" w:color="C9C8BF" w:sz="4"/>
              <w:bottom w:val="single" w:color="C9C8BF" w:sz="4"/>
              <w:right w:val="single" w:color="C9C8BF" w:sz="4"/>
            </w:tcBorders>
            <w:shd w:fill="EDF993" w:val="clear"/>
            <w:tcMar>
              <w:top w:type="dxa" w:w="160"/>
              <w:left w:type="dxa" w:w="220"/>
              <w:bottom w:type="dxa" w:w="160"/>
              <w:right w:type="dxa" w:w="220"/>
            </w:tcMar>
          </w:tcPr>
          <w:p>
            <w:pPr>
              <w:spacing w:after="80"/>
            </w:pPr>
            <w:r>
              <w:rPr>
                <w:rFonts w:ascii="Arial" w:cs="Arial" w:eastAsia="Arial" w:hAnsi="Arial"/>
                <w:b/>
                <w:bCs/>
                <w:color w:val="343434"/>
                <w:sz w:val="22"/>
                <w:szCs w:val="22"/>
              </w:rPr>
              <w:t xml:space="preserve">Le calcul que l'acheteur fait lui-même</w:t>
            </w:r>
          </w:p>
          <w:p>
            <w:pPr>
              <w:spacing w:after="60" w:line="280"/>
            </w:pPr>
            <w:r>
              <w:rPr>
                <w:rFonts w:ascii="Arial" w:cs="Arial" w:eastAsia="Arial" w:hAnsi="Arial"/>
                <w:color w:val="343434"/>
                <w:sz w:val="20"/>
                <w:szCs w:val="20"/>
              </w:rPr>
              <w:t xml:space="preserve">« Combien vous ont coûté le kiosque, les déplacements et les deux jours de votre équipe ? Divisez par le nombre de conversations de l'an dernier qui sont devenues une vraie opportunité. C'est votre coût par vraie conversation. Comparez-le à 100 $ par match. »</w:t>
            </w:r>
          </w:p>
          <w:p>
            <w:pPr>
              <w:spacing w:after="60" w:line="280"/>
            </w:pPr>
            <w:r>
              <w:rPr>
                <w:rFonts w:ascii="Arial" w:cs="Arial" w:eastAsia="Arial" w:hAnsi="Arial"/>
                <w:color w:val="343434"/>
                <w:sz w:val="20"/>
                <w:szCs w:val="20"/>
              </w:rPr>
              <w:t xml:space="preserve">Aucun chiffre à valider : c'est l'acheteur qui le remplit.</w:t>
            </w:r>
          </w:p>
        </w:tc>
      </w:tr>
    </w:tbl>
    <w:p>
      <w:pPr>
        <w:pStyle w:val="Heading2"/>
        <w:keepNext/>
        <w:spacing w:after="140" w:before="280"/>
      </w:pPr>
      <w:r>
        <w:rPr>
          <w:rFonts w:ascii="Arial" w:cs="Arial" w:eastAsia="Arial" w:hAnsi="Arial"/>
          <w:b/>
          <w:bCs/>
          <w:color w:val="343434"/>
          <w:sz w:val="27"/>
          <w:szCs w:val="27"/>
        </w:rPr>
        <w:t xml:space="preserve">Les noms des fonctionnalités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60"/>
        <w:gridCol w:w="2500"/>
      </w:tblGrid>
      <w:tr>
        <w:trPr>
          <w:tblHeader/>
        </w:trPr>
        <w:tc>
          <w:tcPr>
            <w:tcW w:type="dxa" w:w="280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Nom officiel</w:t>
            </w:r>
          </w:p>
        </w:tc>
        <w:tc>
          <w:tcPr>
            <w:tcW w:type="dxa" w:w="406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Description (toujours la même)</w:t>
            </w:r>
          </w:p>
        </w:tc>
        <w:tc>
          <w:tcPr>
            <w:tcW w:type="dxa" w:w="250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À ne plus utiliser</w:t>
            </w:r>
          </w:p>
        </w:tc>
      </w:tr>
      <w:tr>
        <w:trPr>
          <w:cantSplit/>
        </w:trPr>
        <w:tc>
          <w:tcPr>
            <w:tcW w:type="dxa" w:w="28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Le brief ICP</w:t>
            </w:r>
          </w:p>
        </w:tc>
        <w:tc>
          <w:tcPr>
            <w:tcW w:type="dxa" w:w="40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La définition de 20 minutes de qui vous voulez rencontrer, sur quatre dimensions</w:t>
            </w:r>
          </w:p>
        </w:tc>
        <w:tc>
          <w:tcPr>
            <w:tcW w:type="dxa" w:w="25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appel ICP, formulaire persona</w:t>
            </w:r>
          </w:p>
        </w:tc>
      </w:tr>
      <w:tr>
        <w:trPr>
          <w:cantSplit/>
        </w:trPr>
        <w:tc>
          <w:tcPr>
            <w:tcW w:type="dxa" w:w="28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La liste courte (shortlist)</w:t>
            </w:r>
          </w:p>
        </w:tc>
        <w:tc>
          <w:tcPr>
            <w:tcW w:type="dxa" w:w="40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Vos matchs classés pour un événement, livrés une semaine avant</w:t>
            </w:r>
          </w:p>
        </w:tc>
        <w:tc>
          <w:tcPr>
            <w:tcW w:type="dxa" w:w="25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hit list, recommandations, liste de leads</w:t>
            </w:r>
          </w:p>
        </w:tc>
      </w:tr>
      <w:tr>
        <w:trPr>
          <w:cantSplit/>
        </w:trPr>
        <w:tc>
          <w:tcPr>
            <w:tcW w:type="dxa" w:w="28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À rencontrer · À considérer · Notoriété (Must-meet · Should-meet · Awareness)</w:t>
            </w:r>
          </w:p>
        </w:tc>
        <w:tc>
          <w:tcPr>
            <w:tcW w:type="dxa" w:w="40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Le rang de chaque match</w:t>
            </w:r>
          </w:p>
        </w:tc>
        <w:tc>
          <w:tcPr>
            <w:tcW w:type="dxa" w:w="25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chaud/tiède/froid, A/B/C</w:t>
            </w:r>
          </w:p>
        </w:tc>
      </w:tr>
      <w:tr>
        <w:trPr>
          <w:cantSplit/>
        </w:trPr>
        <w:tc>
          <w:tcPr>
            <w:tcW w:type="dxa" w:w="28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Le signal</w:t>
            </w:r>
          </w:p>
        </w:tc>
        <w:tc>
          <w:tcPr>
            <w:tcW w:type="dxa" w:w="40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La raison pour laquelle un nom est sur la liste courte</w:t>
            </w:r>
          </w:p>
        </w:tc>
        <w:tc>
          <w:tcPr>
            <w:tcW w:type="dxa" w:w="25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déclencheur, insight</w:t>
            </w:r>
          </w:p>
        </w:tc>
      </w:tr>
      <w:tr>
        <w:trPr>
          <w:cantSplit/>
        </w:trPr>
        <w:tc>
          <w:tcPr>
            <w:tcW w:type="dxa" w:w="28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Les angles de conversation</w:t>
            </w:r>
          </w:p>
        </w:tc>
        <w:tc>
          <w:tcPr>
            <w:tcW w:type="dxa" w:w="40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Les points de douleur et les accroches pour chaque prospect</w:t>
            </w:r>
          </w:p>
        </w:tc>
        <w:tc>
          <w:tcPr>
            <w:tcW w:type="dxa" w:w="25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talking points</w:t>
            </w:r>
          </w:p>
        </w:tc>
      </w:tr>
      <w:tr>
        <w:trPr>
          <w:cantSplit/>
        </w:trPr>
        <w:tc>
          <w:tcPr>
            <w:tcW w:type="dxa" w:w="28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Le brouillon d'ouverture</w:t>
            </w:r>
          </w:p>
        </w:tc>
        <w:tc>
          <w:tcPr>
            <w:tcW w:type="dxa" w:w="40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Un premier message rédigé pour chaque match — c'est vous qui l'envoyez</w:t>
            </w:r>
          </w:p>
        </w:tc>
        <w:tc>
          <w:tcPr>
            <w:tcW w:type="dxa" w:w="25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outreach suggéré, séquence</w:t>
            </w:r>
          </w:p>
        </w:tc>
      </w:tr>
      <w:tr>
        <w:trPr>
          <w:cantSplit/>
        </w:trPr>
        <w:tc>
          <w:tcPr>
            <w:tcW w:type="dxa" w:w="28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Walk the Floor</w:t>
            </w:r>
          </w:p>
        </w:tc>
        <w:tc>
          <w:tcPr>
            <w:tcW w:type="dxa" w:w="40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Ciblage sans événement précis</w:t>
            </w:r>
          </w:p>
        </w:tc>
        <w:tc>
          <w:tcPr>
            <w:tcW w:type="dxa" w:w="25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matchmaking en continu</w:t>
            </w:r>
          </w:p>
        </w:tc>
      </w:tr>
    </w:tbl>
    <w:p>
      <w:pPr>
        <w:pStyle w:val="Heading1"/>
        <w:pageBreakBefore/>
        <w:spacing w:after="200"/>
      </w:pPr>
      <w:r>
        <w:rPr>
          <w:rFonts w:ascii="Arial" w:cs="Arial" w:eastAsia="Arial" w:hAnsi="Arial"/>
          <w:b/>
          <w:bCs/>
          <w:color w:val="343434"/>
          <w:sz w:val="36"/>
          <w:szCs w:val="36"/>
        </w:rPr>
        <w:t xml:space="preserve">4. Gestion des objections</w:t>
      </w:r>
    </w:p>
    <w:p>
      <w:pPr>
        <w:spacing w:after="120" w:before="0" w:line="290"/>
      </w:pPr>
      <w:r>
        <w:rPr>
          <w:rFonts w:ascii="Arial" w:cs="Arial" w:eastAsia="Arial" w:hAnsi="Arial"/>
          <w:color w:val="343434"/>
          <w:sz w:val="21"/>
          <w:szCs w:val="21"/>
        </w:rPr>
        <w:t xml:space="preserve">Chaque réponse commence par concéder ce qui est vrai. Aucune ne s'appuie sur un chiffre non validé. Les réponses sont écrites pour être dites telles quelles.</w:t>
      </w:r>
    </w:p>
    <w:p>
      <w:pPr>
        <w:pStyle w:val="Heading2"/>
        <w:keepNext/>
        <w:spacing w:after="140" w:before="280"/>
      </w:pPr>
      <w:r>
        <w:rPr>
          <w:rFonts w:ascii="Arial" w:cs="Arial" w:eastAsia="Arial" w:hAnsi="Arial"/>
          <w:b/>
          <w:bCs/>
          <w:color w:val="343434"/>
          <w:sz w:val="27"/>
          <w:szCs w:val="27"/>
        </w:rPr>
        <w:t xml:space="preserve">Côté commanditaire</w:t>
      </w:r>
    </w:p>
    <w:p>
      <w:pPr>
        <w:keepNext/>
        <w:spacing w:after="90" w:before="260"/>
      </w:pPr>
      <w:r>
        <w:rPr>
          <w:rFonts w:ascii="Arial" w:cs="Arial" w:eastAsia="Arial" w:hAnsi="Arial"/>
          <w:b/>
          <w:bCs/>
          <w:color w:val="343434"/>
          <w:sz w:val="23"/>
          <w:szCs w:val="23"/>
        </w:rPr>
        <w:t xml:space="preserve">« Qu'est-ce que ça fait que mon équipe ne pourrait pas faire ? »  ★ l'objection qui tue les ventes</w:t>
      </w:r>
    </w:p>
    <w:p>
      <w:pPr>
        <w:keepNext/>
        <w:spacing w:after="90" w:before="0" w:line="290"/>
      </w:pPr>
      <w:r>
        <w:rPr>
          <w:rFonts w:ascii="Arial" w:cs="Arial" w:eastAsia="Arial" w:hAnsi="Arial"/>
          <w:b/>
          <w:bCs/>
          <w:color w:val="343434"/>
          <w:sz w:val="21"/>
          <w:szCs w:val="21"/>
        </w:rPr>
        <w:t xml:space="preserve">Ce qui est vraiment demandé : </w:t>
      </w:r>
      <w:r>
        <w:rPr>
          <w:rFonts w:ascii="Arial" w:cs="Arial" w:eastAsia="Arial" w:hAnsi="Arial"/>
          <w:color w:val="343434"/>
          <w:sz w:val="21"/>
          <w:szCs w:val="21"/>
        </w:rPr>
        <w:t xml:space="preserve">Est-ce que ça vaut la peine de payer, ou j'achète quelque chose que je pourrais faire gratuitement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343434" w:sz="24"/>
              <w:bottom w:val="none"/>
              <w:right w:val="none"/>
            </w:tcBorders>
            <w:shd w:fill="F8F6F2" w:val="clear"/>
            <w:tcMar>
              <w:top w:type="dxa" w:w="120"/>
              <w:left w:type="dxa" w:w="240"/>
              <w:bottom w:type="dxa" w:w="120"/>
              <w:right w:type="dxa" w:w="200"/>
            </w:tcMar>
          </w:tcPr>
          <w:p>
            <w:pPr>
              <w:spacing w:line="290"/>
            </w:pPr>
            <w:r>
              <w:rPr>
                <w:rFonts w:ascii="Arial" w:cs="Arial" w:eastAsia="Arial" w:hAnsi="Arial"/>
                <w:color w:val="343434"/>
                <w:sz w:val="21"/>
                <w:szCs w:val="21"/>
              </w:rPr>
              <w:t xml:space="preserve">« Votre équipe pourrait le faire. La question, c'est si elle va le faire — dans les deux semaines avant l'événement, sur des milliers de profils, selon vos vrais critères d'achat plutôt que les quarante logos qu'elle reconnaît déjà. C'est ça, le travail, et c'est la moitié qui ne se fait jamais. On ne remplace pas votre représentant : on lui remet les noms et la raison pour laquelle chacun est sur la liste. C'est lui qui écrit, et la relation reste la sienne. »</w:t>
            </w:r>
          </w:p>
        </w:tc>
      </w:tr>
    </w:tbl>
    <w:p>
      <w:pPr>
        <w:spacing w:after="50" w:before="90" w:line="290"/>
      </w:pPr>
      <w:r>
        <w:rPr>
          <w:rFonts w:ascii="Arial" w:cs="Arial" w:eastAsia="Arial" w:hAnsi="Arial"/>
          <w:b/>
          <w:bCs/>
          <w:color w:val="343434"/>
          <w:sz w:val="21"/>
          <w:szCs w:val="21"/>
        </w:rPr>
        <w:t xml:space="preserve">À éviter : </w:t>
      </w:r>
      <w:r>
        <w:rPr>
          <w:rFonts w:ascii="Arial" w:cs="Arial" w:eastAsia="Arial" w:hAnsi="Arial"/>
          <w:color w:val="343434"/>
          <w:sz w:val="21"/>
          <w:szCs w:val="21"/>
        </w:rPr>
        <w:t xml:space="preserve">Dire que l'équipe n'en est pas capable. Poursuivre une entreprise à faible ACV avec une équipe SDR solide — c'est un disqualifiant, pas une objection à surmonter.</w:t>
      </w:r>
    </w:p>
    <w:p>
      <w:pPr>
        <w:spacing w:after="120" w:before="0" w:line="290"/>
      </w:pPr>
      <w:r>
        <w:rPr>
          <w:rFonts w:ascii="Arial" w:cs="Arial" w:eastAsia="Arial" w:hAnsi="Arial"/>
          <w:b/>
          <w:bCs/>
          <w:color w:val="343434"/>
          <w:sz w:val="21"/>
          <w:szCs w:val="21"/>
        </w:rPr>
        <w:t xml:space="preserve">Preuve à mobiliser : </w:t>
      </w:r>
      <w:r>
        <w:rPr>
          <w:rFonts w:ascii="Arial" w:cs="Arial" w:eastAsia="Arial" w:hAnsi="Arial"/>
          <w:color w:val="343434"/>
          <w:sz w:val="21"/>
          <w:szCs w:val="21"/>
        </w:rPr>
        <w:t xml:space="preserve">Gestion Vigie (sans la nommer) : aucune préparation interne, et la liste courte contenait déjà des clients existants.</w:t>
      </w:r>
    </w:p>
    <w:p>
      <w:pPr>
        <w:keepNext/>
        <w:spacing w:after="90" w:before="260"/>
      </w:pPr>
      <w:r>
        <w:rPr>
          <w:rFonts w:ascii="Arial" w:cs="Arial" w:eastAsia="Arial" w:hAnsi="Arial"/>
          <w:b/>
          <w:bCs/>
          <w:color w:val="343434"/>
          <w:sz w:val="23"/>
          <w:szCs w:val="23"/>
        </w:rPr>
        <w:t xml:space="preserve">« 1 500 $, c'est cher. »</w:t>
      </w:r>
    </w:p>
    <w:p>
      <w:pPr>
        <w:keepNext/>
        <w:spacing w:after="90" w:before="0" w:line="290"/>
      </w:pPr>
      <w:r>
        <w:rPr>
          <w:rFonts w:ascii="Arial" w:cs="Arial" w:eastAsia="Arial" w:hAnsi="Arial"/>
          <w:b/>
          <w:bCs/>
          <w:color w:val="343434"/>
          <w:sz w:val="21"/>
          <w:szCs w:val="21"/>
        </w:rPr>
        <w:t xml:space="preserve">Ce qui est vraiment demandé : </w:t>
      </w:r>
      <w:r>
        <w:rPr>
          <w:rFonts w:ascii="Arial" w:cs="Arial" w:eastAsia="Arial" w:hAnsi="Arial"/>
          <w:color w:val="343434"/>
          <w:sz w:val="21"/>
          <w:szCs w:val="21"/>
        </w:rPr>
        <w:t xml:space="preserve">Est-ce que ça va se rembourser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343434" w:sz="24"/>
              <w:bottom w:val="none"/>
              <w:right w:val="none"/>
            </w:tcBorders>
            <w:shd w:fill="F8F6F2" w:val="clear"/>
            <w:tcMar>
              <w:top w:type="dxa" w:w="120"/>
              <w:left w:type="dxa" w:w="240"/>
              <w:bottom w:type="dxa" w:w="120"/>
              <w:right w:type="dxa" w:w="200"/>
            </w:tcMar>
          </w:tcPr>
          <w:p>
            <w:pPr>
              <w:spacing w:line="290"/>
            </w:pPr>
            <w:r>
              <w:rPr>
                <w:rFonts w:ascii="Arial" w:cs="Arial" w:eastAsia="Arial" w:hAnsi="Arial"/>
                <w:color w:val="343434"/>
                <w:sz w:val="21"/>
                <w:szCs w:val="21"/>
              </w:rPr>
              <w:t xml:space="preserve">« C'est 100 $ par match, et vous ne payez que pour les matchs qui existent réellement à cet événement. Pour la plupart de nos commanditaires, une seule conversation qui devient un contrat le rembourse plusieurs fois. Combien vous ont coûté le kiosque et les deux jours ? Divisez par le nombre de vraies opportunités de l'an dernier. »</w:t>
            </w:r>
          </w:p>
        </w:tc>
      </w:tr>
    </w:tbl>
    <w:p>
      <w:pPr>
        <w:spacing w:after="50" w:before="90" w:line="290"/>
      </w:pPr>
      <w:r>
        <w:rPr>
          <w:rFonts w:ascii="Arial" w:cs="Arial" w:eastAsia="Arial" w:hAnsi="Arial"/>
          <w:b/>
          <w:bCs/>
          <w:color w:val="343434"/>
          <w:sz w:val="21"/>
          <w:szCs w:val="21"/>
        </w:rPr>
        <w:t xml:space="preserve">À éviter : </w:t>
      </w:r>
      <w:r>
        <w:rPr>
          <w:rFonts w:ascii="Arial" w:cs="Arial" w:eastAsia="Arial" w:hAnsi="Arial"/>
          <w:color w:val="343434"/>
          <w:sz w:val="21"/>
          <w:szCs w:val="21"/>
        </w:rPr>
        <w:t xml:space="preserve">Descendre sous 750 $. Promettre « pas de résultat, pas de frais ». Vendre 15 matchs quand l'événement en contient 10.</w:t>
      </w:r>
    </w:p>
    <w:p>
      <w:pPr>
        <w:spacing w:after="120" w:before="0" w:line="290"/>
      </w:pPr>
      <w:r>
        <w:rPr>
          <w:rFonts w:ascii="Arial" w:cs="Arial" w:eastAsia="Arial" w:hAnsi="Arial"/>
          <w:b/>
          <w:bCs/>
          <w:color w:val="343434"/>
          <w:sz w:val="21"/>
          <w:szCs w:val="21"/>
        </w:rPr>
        <w:t xml:space="preserve">Preuve à mobiliser : </w:t>
      </w:r>
      <w:r>
        <w:rPr>
          <w:rFonts w:ascii="Arial" w:cs="Arial" w:eastAsia="Arial" w:hAnsi="Arial"/>
          <w:color w:val="343434"/>
          <w:sz w:val="21"/>
          <w:szCs w:val="21"/>
        </w:rPr>
        <w:t xml:space="preserve">Le calcul du coût par vraie conversation, fait par l'acheteur.</w:t>
      </w:r>
    </w:p>
    <w:p>
      <w:pPr>
        <w:keepNext/>
        <w:spacing w:after="90" w:before="260"/>
      </w:pPr>
      <w:r>
        <w:rPr>
          <w:rFonts w:ascii="Arial" w:cs="Arial" w:eastAsia="Arial" w:hAnsi="Arial"/>
          <w:b/>
          <w:bCs/>
          <w:color w:val="343434"/>
          <w:sz w:val="23"/>
          <w:szCs w:val="23"/>
        </w:rPr>
        <w:t xml:space="preserve">« Pouvez-vous réserver les rencontres pour nous ? »</w:t>
      </w:r>
    </w:p>
    <w:p>
      <w:pPr>
        <w:keepNext/>
        <w:spacing w:after="90" w:before="0" w:line="290"/>
      </w:pPr>
      <w:r>
        <w:rPr>
          <w:rFonts w:ascii="Arial" w:cs="Arial" w:eastAsia="Arial" w:hAnsi="Arial"/>
          <w:b/>
          <w:bCs/>
          <w:color w:val="343434"/>
          <w:sz w:val="21"/>
          <w:szCs w:val="21"/>
        </w:rPr>
        <w:t xml:space="preserve">Ce qui est vraiment demandé : </w:t>
      </w:r>
      <w:r>
        <w:rPr>
          <w:rFonts w:ascii="Arial" w:cs="Arial" w:eastAsia="Arial" w:hAnsi="Arial"/>
          <w:color w:val="343434"/>
          <w:sz w:val="21"/>
          <w:szCs w:val="21"/>
        </w:rPr>
        <w:t xml:space="preserve">Je veux le résultat, pas la préparation.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343434" w:sz="24"/>
              <w:bottom w:val="none"/>
              <w:right w:val="none"/>
            </w:tcBorders>
            <w:shd w:fill="F8F6F2" w:val="clear"/>
            <w:tcMar>
              <w:top w:type="dxa" w:w="120"/>
              <w:left w:type="dxa" w:w="240"/>
              <w:bottom w:type="dxa" w:w="120"/>
              <w:right w:type="dxa" w:w="200"/>
            </w:tcMar>
          </w:tcPr>
          <w:p>
            <w:pPr>
              <w:spacing w:line="290"/>
            </w:pPr>
            <w:r>
              <w:rPr>
                <w:rFonts w:ascii="Arial" w:cs="Arial" w:eastAsia="Arial" w:hAnsi="Arial"/>
                <w:color w:val="343434"/>
                <w:sz w:val="21"/>
                <w:szCs w:val="21"/>
              </w:rPr>
              <w:t xml:space="preserve">« Non, et c'est voulu. La rencontre se passe mieux quand elle vient de vous, et la relation reste la vôtre — personne de l'extérieur n'est dans la conversation avec votre prospect. Ce qu'on fait, c'est rendre ce premier message facile : chaque nom arrive avec la raison pour laquelle il est sur la liste et un brouillon d'ouverture. »</w:t>
            </w:r>
          </w:p>
        </w:tc>
      </w:tr>
    </w:tbl>
    <w:p>
      <w:pPr>
        <w:spacing w:after="120" w:before="90" w:line="290"/>
      </w:pPr>
      <w:r>
        <w:rPr>
          <w:rFonts w:ascii="Arial" w:cs="Arial" w:eastAsia="Arial" w:hAnsi="Arial"/>
          <w:b/>
          <w:bCs/>
          <w:color w:val="343434"/>
          <w:sz w:val="21"/>
          <w:szCs w:val="21"/>
        </w:rPr>
        <w:t xml:space="preserve">À éviter : </w:t>
      </w:r>
      <w:r>
        <w:rPr>
          <w:rFonts w:ascii="Arial" w:cs="Arial" w:eastAsia="Arial" w:hAnsi="Arial"/>
          <w:color w:val="343434"/>
          <w:sz w:val="21"/>
          <w:szCs w:val="21"/>
        </w:rPr>
        <w:t xml:space="preserve">Dire oui ou laisser entendre que c'est prévu. C'est un autre modèle d'affaires, environ quatre fois le prix.</w:t>
      </w:r>
    </w:p>
    <w:p>
      <w:pPr>
        <w:keepNext/>
        <w:spacing w:after="90" w:before="260"/>
      </w:pPr>
      <w:r>
        <w:rPr>
          <w:rFonts w:ascii="Arial" w:cs="Arial" w:eastAsia="Arial" w:hAnsi="Arial"/>
          <w:b/>
          <w:bCs/>
          <w:color w:val="343434"/>
          <w:sz w:val="23"/>
          <w:szCs w:val="23"/>
        </w:rPr>
        <w:t xml:space="preserve">« On a déjà l'application de l'événement. »</w:t>
      </w:r>
    </w:p>
    <w:p>
      <w:pPr>
        <w:keepNext/>
        <w:spacing w:after="90" w:before="0" w:line="290"/>
      </w:pPr>
      <w:r>
        <w:rPr>
          <w:rFonts w:ascii="Arial" w:cs="Arial" w:eastAsia="Arial" w:hAnsi="Arial"/>
          <w:b/>
          <w:bCs/>
          <w:color w:val="343434"/>
          <w:sz w:val="21"/>
          <w:szCs w:val="21"/>
        </w:rPr>
        <w:t xml:space="preserve">Ce qui est vraiment demandé : </w:t>
      </w:r>
      <w:r>
        <w:rPr>
          <w:rFonts w:ascii="Arial" w:cs="Arial" w:eastAsia="Arial" w:hAnsi="Arial"/>
          <w:color w:val="343434"/>
          <w:sz w:val="21"/>
          <w:szCs w:val="21"/>
        </w:rPr>
        <w:t xml:space="preserve">Est-ce que c'est un doublon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343434" w:sz="24"/>
              <w:bottom w:val="none"/>
              <w:right w:val="none"/>
            </w:tcBorders>
            <w:shd w:fill="F8F6F2" w:val="clear"/>
            <w:tcMar>
              <w:top w:type="dxa" w:w="120"/>
              <w:left w:type="dxa" w:w="240"/>
              <w:bottom w:type="dxa" w:w="120"/>
              <w:right w:type="dxa" w:w="200"/>
            </w:tcMar>
          </w:tcPr>
          <w:p>
            <w:pPr>
              <w:spacing w:line="290"/>
            </w:pPr>
            <w:r>
              <w:rPr>
                <w:rFonts w:ascii="Arial" w:cs="Arial" w:eastAsia="Arial" w:hAnsi="Arial"/>
                <w:color w:val="343434"/>
                <w:sz w:val="21"/>
                <w:szCs w:val="21"/>
              </w:rPr>
              <w:t xml:space="preserve">« Gardez-la, elle est utile pour planifier et scanner. Elle jumelle les gens selon les étiquettes qu'ils ont choisies eux-mêmes. Nous, on part de vos critères d'achat et de signaux externes, et on travaille uniquement pour vous. C'est une couche par-dessus, pas un remplacement. »</w:t>
            </w:r>
          </w:p>
        </w:tc>
      </w:tr>
    </w:tbl>
    <w:p>
      <w:pPr>
        <w:spacing w:after="50" w:before="90" w:line="290"/>
      </w:pPr>
      <w:r>
        <w:rPr>
          <w:rFonts w:ascii="Arial" w:cs="Arial" w:eastAsia="Arial" w:hAnsi="Arial"/>
          <w:b/>
          <w:bCs/>
          <w:color w:val="343434"/>
          <w:sz w:val="21"/>
          <w:szCs w:val="21"/>
        </w:rPr>
        <w:t xml:space="preserve">À éviter : </w:t>
      </w:r>
      <w:r>
        <w:rPr>
          <w:rFonts w:ascii="Arial" w:cs="Arial" w:eastAsia="Arial" w:hAnsi="Arial"/>
          <w:color w:val="343434"/>
          <w:sz w:val="21"/>
          <w:szCs w:val="21"/>
        </w:rPr>
        <w:t xml:space="preserve">Nommer des concurrents en prospection à froid. Critiquer l'app de l'organisateur — c'est notre partenaire.</w:t>
      </w:r>
    </w:p>
    <w:p>
      <w:pPr>
        <w:spacing w:after="120" w:before="0" w:line="290"/>
      </w:pPr>
      <w:r>
        <w:rPr>
          <w:rFonts w:ascii="Arial" w:cs="Arial" w:eastAsia="Arial" w:hAnsi="Arial"/>
          <w:b/>
          <w:bCs/>
          <w:color w:val="343434"/>
          <w:sz w:val="21"/>
          <w:szCs w:val="21"/>
        </w:rPr>
        <w:t xml:space="preserve">Preuve à mobiliser : </w:t>
      </w:r>
      <w:r>
        <w:rPr>
          <w:rFonts w:ascii="Arial" w:cs="Arial" w:eastAsia="Arial" w:hAnsi="Arial"/>
          <w:color w:val="343434"/>
          <w:sz w:val="21"/>
          <w:szCs w:val="21"/>
        </w:rPr>
        <w:t xml:space="preserve">La citation de l'organisateur de HOP!.</w:t>
      </w:r>
    </w:p>
    <w:p>
      <w:pPr>
        <w:keepNext/>
        <w:spacing w:after="90" w:before="260"/>
      </w:pPr>
      <w:r>
        <w:rPr>
          <w:rFonts w:ascii="Arial" w:cs="Arial" w:eastAsia="Arial" w:hAnsi="Arial"/>
          <w:b/>
          <w:bCs/>
          <w:color w:val="343434"/>
          <w:sz w:val="23"/>
          <w:szCs w:val="23"/>
        </w:rPr>
        <w:t xml:space="preserve">« On peut obtenir la liste des participants nous-mêmes. »</w:t>
      </w:r>
    </w:p>
    <w:p>
      <w:pPr>
        <w:keepNext/>
        <w:spacing w:after="90" w:before="0" w:line="290"/>
      </w:pPr>
      <w:r>
        <w:rPr>
          <w:rFonts w:ascii="Arial" w:cs="Arial" w:eastAsia="Arial" w:hAnsi="Arial"/>
          <w:b/>
          <w:bCs/>
          <w:color w:val="343434"/>
          <w:sz w:val="21"/>
          <w:szCs w:val="21"/>
        </w:rPr>
        <w:t xml:space="preserve">Ce qui est vraiment demandé : </w:t>
      </w:r>
      <w:r>
        <w:rPr>
          <w:rFonts w:ascii="Arial" w:cs="Arial" w:eastAsia="Arial" w:hAnsi="Arial"/>
          <w:color w:val="343434"/>
          <w:sz w:val="21"/>
          <w:szCs w:val="21"/>
        </w:rPr>
        <w:t xml:space="preserve">Pourquoi payer pour quelque chose que j'ai gratuitement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343434" w:sz="24"/>
              <w:bottom w:val="none"/>
              <w:right w:val="none"/>
            </w:tcBorders>
            <w:shd w:fill="F8F6F2" w:val="clear"/>
            <w:tcMar>
              <w:top w:type="dxa" w:w="120"/>
              <w:left w:type="dxa" w:w="240"/>
              <w:bottom w:type="dxa" w:w="120"/>
              <w:right w:type="dxa" w:w="200"/>
            </w:tcMar>
          </w:tcPr>
          <w:p>
            <w:pPr>
              <w:spacing w:line="290"/>
            </w:pPr>
            <w:r>
              <w:rPr>
                <w:rFonts w:ascii="Arial" w:cs="Arial" w:eastAsia="Arial" w:hAnsi="Arial"/>
                <w:color w:val="343434"/>
                <w:sz w:val="21"/>
                <w:szCs w:val="21"/>
              </w:rPr>
              <w:t xml:space="preserve">« Souvent, oui. Ce que vous obtenez, c'est un nom, une entreprise et un titre. Ce qu'on ajoute, ce sont les quatre dimensions — rôle, pile technologique, signal d'achat — et le tri de milliers de noms jusqu'à la poignée qui vaut votre temps, avec une raison pour chacun. »</w:t>
            </w:r>
          </w:p>
        </w:tc>
      </w:tr>
    </w:tbl>
    <w:p>
      <w:pPr>
        <w:spacing w:after="120" w:before="90" w:line="290"/>
      </w:pPr>
      <w:r>
        <w:rPr>
          <w:rFonts w:ascii="Arial" w:cs="Arial" w:eastAsia="Arial" w:hAnsi="Arial"/>
          <w:b/>
          <w:bCs/>
          <w:color w:val="343434"/>
          <w:sz w:val="21"/>
          <w:szCs w:val="21"/>
        </w:rPr>
        <w:t xml:space="preserve">À éviter : </w:t>
      </w:r>
      <w:r>
        <w:rPr>
          <w:rFonts w:ascii="Arial" w:cs="Arial" w:eastAsia="Arial" w:hAnsi="Arial"/>
          <w:color w:val="343434"/>
          <w:sz w:val="21"/>
          <w:szCs w:val="21"/>
        </w:rPr>
        <w:t xml:space="preserve">Revendiquer l'exclusivité de la liste.</w:t>
      </w:r>
    </w:p>
    <w:p>
      <w:pPr>
        <w:keepNext/>
        <w:spacing w:after="90" w:before="260"/>
      </w:pPr>
      <w:r>
        <w:rPr>
          <w:rFonts w:ascii="Arial" w:cs="Arial" w:eastAsia="Arial" w:hAnsi="Arial"/>
          <w:b/>
          <w:bCs/>
          <w:color w:val="343434"/>
          <w:sz w:val="23"/>
          <w:szCs w:val="23"/>
        </w:rPr>
        <w:t xml:space="preserve">« Et s'il n'y a pas 15 bons matchs ? »</w:t>
      </w:r>
    </w:p>
    <w:p>
      <w:pPr>
        <w:keepNext/>
        <w:spacing w:after="90" w:before="0" w:line="290"/>
      </w:pPr>
      <w:r>
        <w:rPr>
          <w:rFonts w:ascii="Arial" w:cs="Arial" w:eastAsia="Arial" w:hAnsi="Arial"/>
          <w:b/>
          <w:bCs/>
          <w:color w:val="343434"/>
          <w:sz w:val="21"/>
          <w:szCs w:val="21"/>
        </w:rPr>
        <w:t xml:space="preserve">Ce qui est vraiment demandé : </w:t>
      </w:r>
      <w:r>
        <w:rPr>
          <w:rFonts w:ascii="Arial" w:cs="Arial" w:eastAsia="Arial" w:hAnsi="Arial"/>
          <w:color w:val="343434"/>
          <w:sz w:val="21"/>
          <w:szCs w:val="21"/>
        </w:rPr>
        <w:t xml:space="preserve">Est-ce que je vais payer pour du remplissage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343434" w:sz="24"/>
              <w:bottom w:val="none"/>
              <w:right w:val="none"/>
            </w:tcBorders>
            <w:shd w:fill="F8F6F2" w:val="clear"/>
            <w:tcMar>
              <w:top w:type="dxa" w:w="120"/>
              <w:left w:type="dxa" w:w="240"/>
              <w:bottom w:type="dxa" w:w="120"/>
              <w:right w:type="dxa" w:w="200"/>
            </w:tcMar>
          </w:tcPr>
          <w:p>
            <w:pPr>
              <w:spacing w:line="290"/>
            </w:pPr>
            <w:r>
              <w:rPr>
                <w:rFonts w:ascii="Arial" w:cs="Arial" w:eastAsia="Arial" w:hAnsi="Arial"/>
                <w:color w:val="343434"/>
                <w:sz w:val="21"/>
                <w:szCs w:val="21"/>
              </w:rPr>
              <w:t xml:space="preserve">« Alors on vous le dit, et vous payez pour ce qui existe. On préfère vous livrer dix vrais matchs que quinze dont cinq ne vous correspondent pas. »</w:t>
            </w:r>
          </w:p>
        </w:tc>
      </w:tr>
    </w:tbl>
    <w:p>
      <w:pPr>
        <w:spacing w:after="120" w:before="90" w:line="290"/>
      </w:pPr>
      <w:r>
        <w:rPr>
          <w:rFonts w:ascii="Arial" w:cs="Arial" w:eastAsia="Arial" w:hAnsi="Arial"/>
          <w:b/>
          <w:bCs/>
          <w:color w:val="343434"/>
          <w:sz w:val="21"/>
          <w:szCs w:val="21"/>
        </w:rPr>
        <w:t xml:space="preserve">À éviter : </w:t>
      </w:r>
      <w:r>
        <w:rPr>
          <w:rFonts w:ascii="Arial" w:cs="Arial" w:eastAsia="Arial" w:hAnsi="Arial"/>
          <w:color w:val="343434"/>
          <w:sz w:val="21"/>
          <w:szCs w:val="21"/>
        </w:rPr>
        <w:t xml:space="preserve">Promettre un nombre fixe. Proratiser après coup sans l'avoir annoncé.</w:t>
      </w:r>
    </w:p>
    <w:p>
      <w:pPr>
        <w:keepNext/>
        <w:spacing w:after="90" w:before="260"/>
      </w:pPr>
      <w:r>
        <w:rPr>
          <w:rFonts w:ascii="Arial" w:cs="Arial" w:eastAsia="Arial" w:hAnsi="Arial"/>
          <w:b/>
          <w:bCs/>
          <w:color w:val="343434"/>
          <w:sz w:val="23"/>
          <w:szCs w:val="23"/>
        </w:rPr>
        <w:t xml:space="preserve">« L'événement est dans cinq jours. » / « Pas pour cet événement-ci. »</w:t>
      </w:r>
    </w:p>
    <w:p>
      <w:pPr>
        <w:keepNext/>
        <w:spacing w:after="90" w:before="0" w:line="290"/>
      </w:pPr>
      <w:r>
        <w:rPr>
          <w:rFonts w:ascii="Arial" w:cs="Arial" w:eastAsia="Arial" w:hAnsi="Arial"/>
          <w:b/>
          <w:bCs/>
          <w:color w:val="343434"/>
          <w:sz w:val="21"/>
          <w:szCs w:val="21"/>
        </w:rPr>
        <w:t xml:space="preserve">Ce qui est vraiment demandé : </w:t>
      </w:r>
      <w:r>
        <w:rPr>
          <w:rFonts w:ascii="Arial" w:cs="Arial" w:eastAsia="Arial" w:hAnsi="Arial"/>
          <w:color w:val="343434"/>
          <w:sz w:val="21"/>
          <w:szCs w:val="21"/>
        </w:rPr>
        <w:t xml:space="preserve">Est-ce trop tard, ou pas une priorité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343434" w:sz="24"/>
              <w:bottom w:val="none"/>
              <w:right w:val="none"/>
            </w:tcBorders>
            <w:shd w:fill="F8F6F2" w:val="clear"/>
            <w:tcMar>
              <w:top w:type="dxa" w:w="120"/>
              <w:left w:type="dxa" w:w="240"/>
              <w:bottom w:type="dxa" w:w="120"/>
              <w:right w:type="dxa" w:w="200"/>
            </w:tcMar>
          </w:tcPr>
          <w:p>
            <w:pPr>
              <w:spacing w:line="290"/>
            </w:pPr>
            <w:r>
              <w:rPr>
                <w:rFonts w:ascii="Arial" w:cs="Arial" w:eastAsia="Arial" w:hAnsi="Arial"/>
                <w:color w:val="343434"/>
                <w:sz w:val="21"/>
                <w:szCs w:val="21"/>
              </w:rPr>
              <w:t xml:space="preserve">« On a besoin d'environ une semaine pour livrer, et vous avez besoin de temps pour ouvrir les conversations — celui-ci est probablement trop proche. C'est quoi, le prochain événement à votre agenda ? Mettons-le en place dès maintenant. »</w:t>
            </w:r>
          </w:p>
        </w:tc>
      </w:tr>
    </w:tbl>
    <w:p>
      <w:pPr>
        <w:spacing w:after="120" w:before="90" w:line="290"/>
      </w:pPr>
      <w:r>
        <w:rPr>
          <w:rFonts w:ascii="Arial" w:cs="Arial" w:eastAsia="Arial" w:hAnsi="Arial"/>
          <w:b/>
          <w:bCs/>
          <w:color w:val="343434"/>
          <w:sz w:val="21"/>
          <w:szCs w:val="21"/>
        </w:rPr>
        <w:t xml:space="preserve">À éviter : </w:t>
      </w:r>
      <w:r>
        <w:rPr>
          <w:rFonts w:ascii="Arial" w:cs="Arial" w:eastAsia="Arial" w:hAnsi="Arial"/>
          <w:color w:val="343434"/>
          <w:sz w:val="21"/>
          <w:szCs w:val="21"/>
        </w:rPr>
        <w:t xml:space="preserve">Précipiter une livraison qui sera faible. Inventer une urgence quand il n'y a pas d'événement.</w:t>
      </w:r>
    </w:p>
    <w:p>
      <w:pPr>
        <w:keepNext/>
        <w:spacing w:after="90" w:before="260"/>
      </w:pPr>
      <w:r>
        <w:rPr>
          <w:rFonts w:ascii="Arial" w:cs="Arial" w:eastAsia="Arial" w:hAnsi="Arial"/>
          <w:b/>
          <w:bCs/>
          <w:color w:val="343434"/>
          <w:sz w:val="23"/>
          <w:szCs w:val="23"/>
        </w:rPr>
        <w:t xml:space="preserve">« Vous êtes une petite entreprise. »</w:t>
      </w:r>
    </w:p>
    <w:p>
      <w:pPr>
        <w:keepNext/>
        <w:spacing w:after="90" w:before="0" w:line="290"/>
      </w:pPr>
      <w:r>
        <w:rPr>
          <w:rFonts w:ascii="Arial" w:cs="Arial" w:eastAsia="Arial" w:hAnsi="Arial"/>
          <w:b/>
          <w:bCs/>
          <w:color w:val="343434"/>
          <w:sz w:val="21"/>
          <w:szCs w:val="21"/>
        </w:rPr>
        <w:t xml:space="preserve">Ce qui est vraiment demandé : </w:t>
      </w:r>
      <w:r>
        <w:rPr>
          <w:rFonts w:ascii="Arial" w:cs="Arial" w:eastAsia="Arial" w:hAnsi="Arial"/>
          <w:color w:val="343434"/>
          <w:sz w:val="21"/>
          <w:szCs w:val="21"/>
        </w:rPr>
        <w:t xml:space="preserve">Allez-vous livrer, et serez-vous encore là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343434" w:sz="24"/>
              <w:bottom w:val="none"/>
              <w:right w:val="none"/>
            </w:tcBorders>
            <w:shd w:fill="F8F6F2" w:val="clear"/>
            <w:tcMar>
              <w:top w:type="dxa" w:w="120"/>
              <w:left w:type="dxa" w:w="240"/>
              <w:bottom w:type="dxa" w:w="120"/>
              <w:right w:type="dxa" w:w="200"/>
            </w:tcMar>
          </w:tcPr>
          <w:p>
            <w:pPr>
              <w:spacing w:line="290"/>
            </w:pPr>
            <w:r>
              <w:rPr>
                <w:rFonts w:ascii="Arial" w:cs="Arial" w:eastAsia="Arial" w:hAnsi="Arial"/>
                <w:color w:val="343434"/>
                <w:sz w:val="21"/>
                <w:szCs w:val="21"/>
              </w:rPr>
              <w:t xml:space="preserve">« Oui, et c'est pour ça que le livrable est précis et que le prix est à l'unité. Pas de plateforme à intégrer, pas d'approvisionnement, pas d'engagement annuel. Vous nous donnez un ICP, et vous payez pour les matchs qu'on trouve réellement. »</w:t>
            </w:r>
          </w:p>
        </w:tc>
      </w:tr>
    </w:tbl>
    <w:p>
      <w:pPr>
        <w:spacing w:after="50" w:before="90" w:line="290"/>
      </w:pPr>
      <w:r>
        <w:rPr>
          <w:rFonts w:ascii="Arial" w:cs="Arial" w:eastAsia="Arial" w:hAnsi="Arial"/>
          <w:b/>
          <w:bCs/>
          <w:color w:val="343434"/>
          <w:sz w:val="21"/>
          <w:szCs w:val="21"/>
        </w:rPr>
        <w:t xml:space="preserve">À éviter : </w:t>
      </w:r>
      <w:r>
        <w:rPr>
          <w:rFonts w:ascii="Arial" w:cs="Arial" w:eastAsia="Arial" w:hAnsi="Arial"/>
          <w:color w:val="343434"/>
          <w:sz w:val="21"/>
          <w:szCs w:val="21"/>
        </w:rPr>
        <w:t xml:space="preserve">Gonfler la taille de l'équipe ou revendiquer une échelle.</w:t>
      </w:r>
    </w:p>
    <w:p>
      <w:pPr>
        <w:spacing w:after="120" w:before="0" w:line="290"/>
      </w:pPr>
      <w:r>
        <w:rPr>
          <w:rFonts w:ascii="Arial" w:cs="Arial" w:eastAsia="Arial" w:hAnsi="Arial"/>
          <w:b/>
          <w:bCs/>
          <w:color w:val="343434"/>
          <w:sz w:val="21"/>
          <w:szCs w:val="21"/>
        </w:rPr>
        <w:t xml:space="preserve">Preuve à mobiliser : </w:t>
      </w:r>
      <w:r>
        <w:rPr>
          <w:rFonts w:ascii="Arial" w:cs="Arial" w:eastAsia="Arial" w:hAnsi="Arial"/>
          <w:color w:val="343434"/>
          <w:sz w:val="21"/>
          <w:szCs w:val="21"/>
        </w:rPr>
        <w:t xml:space="preserve">11 clients payants sur 6 événements ; un client revenu pour un deuxième événement.</w:t>
      </w:r>
    </w:p>
    <w:p>
      <w:pPr>
        <w:keepNext/>
        <w:spacing w:after="90" w:before="260"/>
      </w:pPr>
      <w:r>
        <w:rPr>
          <w:rFonts w:ascii="Arial" w:cs="Arial" w:eastAsia="Arial" w:hAnsi="Arial"/>
          <w:b/>
          <w:bCs/>
          <w:color w:val="343434"/>
          <w:sz w:val="23"/>
          <w:szCs w:val="23"/>
        </w:rPr>
        <w:t xml:space="preserve">« Comment gérez-vous les données des participants ? » (Loi 25)</w:t>
      </w:r>
    </w:p>
    <w:p>
      <w:pPr>
        <w:keepNext/>
        <w:spacing w:after="90" w:before="0" w:line="290"/>
      </w:pPr>
      <w:r>
        <w:rPr>
          <w:rFonts w:ascii="Arial" w:cs="Arial" w:eastAsia="Arial" w:hAnsi="Arial"/>
          <w:b/>
          <w:bCs/>
          <w:color w:val="343434"/>
          <w:sz w:val="21"/>
          <w:szCs w:val="21"/>
        </w:rPr>
        <w:t xml:space="preserve">Ce qui est vraiment demandé : </w:t>
      </w:r>
      <w:r>
        <w:rPr>
          <w:rFonts w:ascii="Arial" w:cs="Arial" w:eastAsia="Arial" w:hAnsi="Arial"/>
          <w:color w:val="343434"/>
          <w:sz w:val="21"/>
          <w:szCs w:val="21"/>
        </w:rPr>
        <w:t xml:space="preserve">Est-ce que ça va nous créer un problème de conformité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343434" w:sz="24"/>
              <w:bottom w:val="none"/>
              <w:right w:val="none"/>
            </w:tcBorders>
            <w:shd w:fill="F8F6F2" w:val="clear"/>
            <w:tcMar>
              <w:top w:type="dxa" w:w="120"/>
              <w:left w:type="dxa" w:w="240"/>
              <w:bottom w:type="dxa" w:w="120"/>
              <w:right w:type="dxa" w:w="200"/>
            </w:tcMar>
          </w:tcPr>
          <w:p>
            <w:pPr>
              <w:spacing w:line="290"/>
            </w:pPr>
            <w:r>
              <w:rPr>
                <w:rFonts w:ascii="Arial" w:cs="Arial" w:eastAsia="Arial" w:hAnsi="Arial"/>
                <w:color w:val="343434"/>
                <w:sz w:val="21"/>
                <w:szCs w:val="21"/>
              </w:rPr>
              <w:t xml:space="preserve">« On travaille à partir de la liste de l'organisateur, sous entente, et elle sert uniquement à la liste courte de cet événement, dans les conditions fixées par l'organisateur. Le consentement reste régi par l'opt-in et l'opt-out de l'organisateur. On peut vous envoyer les conditions de traitement avant la signature. »</w:t>
            </w:r>
          </w:p>
        </w:tc>
      </w:tr>
    </w:tbl>
    <w:p>
      <w:pPr>
        <w:spacing w:after="50" w:before="90" w:line="290"/>
      </w:pPr>
      <w:r>
        <w:rPr>
          <w:rFonts w:ascii="Arial" w:cs="Arial" w:eastAsia="Arial" w:hAnsi="Arial"/>
          <w:b/>
          <w:bCs/>
          <w:color w:val="343434"/>
          <w:sz w:val="21"/>
          <w:szCs w:val="21"/>
        </w:rPr>
        <w:t xml:space="preserve">À éviter : </w:t>
      </w:r>
      <w:r>
        <w:rPr>
          <w:rFonts w:ascii="Arial" w:cs="Arial" w:eastAsia="Arial" w:hAnsi="Arial"/>
          <w:color w:val="343434"/>
          <w:sz w:val="21"/>
          <w:szCs w:val="21"/>
        </w:rPr>
        <w:t xml:space="preserve">Improviser des conditions de conservation ou de suppression qui ne sont pas au contrat.</w:t>
      </w:r>
    </w:p>
    <w:p>
      <w:pPr>
        <w:spacing w:after="120" w:before="0" w:line="290"/>
      </w:pPr>
      <w:r>
        <w:rPr>
          <w:rFonts w:ascii="Arial" w:cs="Arial" w:eastAsia="Arial" w:hAnsi="Arial"/>
          <w:b/>
          <w:bCs/>
          <w:color w:val="343434"/>
          <w:sz w:val="21"/>
          <w:szCs w:val="21"/>
        </w:rPr>
        <w:t xml:space="preserve">Preuve à mobiliser : </w:t>
      </w:r>
      <w:r>
        <w:rPr>
          <w:rFonts w:ascii="Arial" w:cs="Arial" w:eastAsia="Arial" w:hAnsi="Arial"/>
          <w:color w:val="343434"/>
          <w:sz w:val="21"/>
          <w:szCs w:val="21"/>
        </w:rPr>
        <w:t xml:space="preserve">La fiche de traitement des données — encore à produire.</w:t>
      </w:r>
    </w:p>
    <w:p>
      <w:pPr>
        <w:keepNext/>
        <w:spacing w:after="90" w:before="260"/>
      </w:pPr>
      <w:r>
        <w:rPr>
          <w:rFonts w:ascii="Arial" w:cs="Arial" w:eastAsia="Arial" w:hAnsi="Arial"/>
          <w:b/>
          <w:bCs/>
          <w:color w:val="343434"/>
          <w:sz w:val="23"/>
          <w:szCs w:val="23"/>
        </w:rPr>
        <w:t xml:space="preserve">« On ne connaît pas vraiment notre ICP. »</w:t>
      </w:r>
    </w:p>
    <w:p>
      <w:pPr>
        <w:keepNext/>
        <w:spacing w:after="90" w:before="0" w:line="290"/>
      </w:pPr>
      <w:r>
        <w:rPr>
          <w:rFonts w:ascii="Arial" w:cs="Arial" w:eastAsia="Arial" w:hAnsi="Arial"/>
          <w:b/>
          <w:bCs/>
          <w:color w:val="343434"/>
          <w:sz w:val="21"/>
          <w:szCs w:val="21"/>
        </w:rPr>
        <w:t xml:space="preserve">Ce qui est vraiment demandé : </w:t>
      </w:r>
      <w:r>
        <w:rPr>
          <w:rFonts w:ascii="Arial" w:cs="Arial" w:eastAsia="Arial" w:hAnsi="Arial"/>
          <w:color w:val="343434"/>
          <w:sz w:val="21"/>
          <w:szCs w:val="21"/>
        </w:rPr>
        <w:t xml:space="preserve">Est-ce que je suis prêt pour ça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343434" w:sz="24"/>
              <w:bottom w:val="none"/>
              <w:right w:val="none"/>
            </w:tcBorders>
            <w:shd w:fill="F8F6F2" w:val="clear"/>
            <w:tcMar>
              <w:top w:type="dxa" w:w="120"/>
              <w:left w:type="dxa" w:w="240"/>
              <w:bottom w:type="dxa" w:w="120"/>
              <w:right w:type="dxa" w:w="200"/>
            </w:tcMar>
          </w:tcPr>
          <w:p>
            <w:pPr>
              <w:spacing w:line="290"/>
            </w:pPr>
            <w:r>
              <w:rPr>
                <w:rFonts w:ascii="Arial" w:cs="Arial" w:eastAsia="Arial" w:hAnsi="Arial"/>
                <w:color w:val="343434"/>
                <w:sz w:val="21"/>
                <w:szCs w:val="21"/>
              </w:rPr>
              <w:t xml:space="preserve">« C'est à ça que sert le brief ICP — vingt minutes. On part de vos trois derniers bons clients. Plus il est précis, plus la liste courte est courte, et meilleure. »</w:t>
            </w:r>
          </w:p>
        </w:tc>
      </w:tr>
    </w:tbl>
    <w:p>
      <w:pPr>
        <w:spacing w:after="120" w:before="90" w:line="290"/>
      </w:pPr>
      <w:r>
        <w:rPr>
          <w:rFonts w:ascii="Arial" w:cs="Arial" w:eastAsia="Arial" w:hAnsi="Arial"/>
          <w:b/>
          <w:bCs/>
          <w:color w:val="343434"/>
          <w:sz w:val="21"/>
          <w:szCs w:val="21"/>
        </w:rPr>
        <w:t xml:space="preserve">À éviter : </w:t>
      </w:r>
      <w:r>
        <w:rPr>
          <w:rFonts w:ascii="Arial" w:cs="Arial" w:eastAsia="Arial" w:hAnsi="Arial"/>
          <w:color w:val="343434"/>
          <w:sz w:val="21"/>
          <w:szCs w:val="21"/>
        </w:rPr>
        <w:t xml:space="preserve">Accepter « tout le monde qui a un site web est notre client » — c'est le profil qui échoue.</w:t>
      </w:r>
    </w:p>
    <w:p>
      <w:pPr>
        <w:keepNext/>
        <w:spacing w:after="90" w:before="260"/>
      </w:pPr>
      <w:r>
        <w:rPr>
          <w:rFonts w:ascii="Arial" w:cs="Arial" w:eastAsia="Arial" w:hAnsi="Arial"/>
          <w:b/>
          <w:bCs/>
          <w:color w:val="343434"/>
          <w:sz w:val="23"/>
          <w:szCs w:val="23"/>
        </w:rPr>
        <w:t xml:space="preserve">« Les brouillons sonnent comme de l'IA. »</w:t>
      </w:r>
    </w:p>
    <w:p>
      <w:pPr>
        <w:keepNext/>
        <w:spacing w:after="90" w:before="0" w:line="290"/>
      </w:pPr>
      <w:r>
        <w:rPr>
          <w:rFonts w:ascii="Arial" w:cs="Arial" w:eastAsia="Arial" w:hAnsi="Arial"/>
          <w:b/>
          <w:bCs/>
          <w:color w:val="343434"/>
          <w:sz w:val="21"/>
          <w:szCs w:val="21"/>
        </w:rPr>
        <w:t xml:space="preserve">Ce qui est vraiment demandé : </w:t>
      </w:r>
      <w:r>
        <w:rPr>
          <w:rFonts w:ascii="Arial" w:cs="Arial" w:eastAsia="Arial" w:hAnsi="Arial"/>
          <w:color w:val="343434"/>
          <w:sz w:val="21"/>
          <w:szCs w:val="21"/>
        </w:rPr>
        <w:t xml:space="preserve">Je ne veux pas envoyer quelque chose de générique.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343434" w:sz="24"/>
              <w:bottom w:val="none"/>
              <w:right w:val="none"/>
            </w:tcBorders>
            <w:shd w:fill="F8F6F2" w:val="clear"/>
            <w:tcMar>
              <w:top w:type="dxa" w:w="120"/>
              <w:left w:type="dxa" w:w="240"/>
              <w:bottom w:type="dxa" w:w="120"/>
              <w:right w:type="dxa" w:w="200"/>
            </w:tcMar>
          </w:tcPr>
          <w:p>
            <w:pPr>
              <w:spacing w:line="290"/>
            </w:pPr>
            <w:r>
              <w:rPr>
                <w:rFonts w:ascii="Arial" w:cs="Arial" w:eastAsia="Arial" w:hAnsi="Arial"/>
                <w:color w:val="343434"/>
                <w:sz w:val="21"/>
                <w:szCs w:val="21"/>
              </w:rPr>
              <w:t xml:space="preserve">« C'est juste — servez-vous-en comme point de départ, pas comme script. Envoyez-nous un ou deux messages que vous avez écrits et qui ont fonctionné, et on rédigera dans votre voix. Ce qui compte le plus, c'est le signal sur chaque nom : c'est lui qui rend le message précis. »</w:t>
            </w:r>
          </w:p>
        </w:tc>
      </w:tr>
    </w:tbl>
    <w:p>
      <w:pPr>
        <w:spacing w:after="120" w:before="90" w:line="290"/>
      </w:pPr>
      <w:r>
        <w:rPr>
          <w:rFonts w:ascii="Arial" w:cs="Arial" w:eastAsia="Arial" w:hAnsi="Arial"/>
          <w:b/>
          <w:bCs/>
          <w:color w:val="343434"/>
          <w:sz w:val="21"/>
          <w:szCs w:val="21"/>
        </w:rPr>
        <w:t xml:space="preserve">À éviter : </w:t>
      </w:r>
      <w:r>
        <w:rPr>
          <w:rFonts w:ascii="Arial" w:cs="Arial" w:eastAsia="Arial" w:hAnsi="Arial"/>
          <w:color w:val="343434"/>
          <w:sz w:val="21"/>
          <w:szCs w:val="21"/>
        </w:rPr>
        <w:t xml:space="preserve">Défendre les brouillons comme un texte final.</w:t>
      </w:r>
    </w:p>
    <w:p>
      <w:pPr>
        <w:pStyle w:val="Heading2"/>
        <w:keepNext/>
        <w:spacing w:after="140" w:before="280"/>
      </w:pPr>
      <w:r>
        <w:rPr>
          <w:rFonts w:ascii="Arial" w:cs="Arial" w:eastAsia="Arial" w:hAnsi="Arial"/>
          <w:b/>
          <w:bCs/>
          <w:color w:val="343434"/>
          <w:sz w:val="27"/>
          <w:szCs w:val="27"/>
        </w:rPr>
        <w:t xml:space="preserve">Côté organisateur</w:t>
      </w:r>
    </w:p>
    <w:p>
      <w:pPr>
        <w:keepNext/>
        <w:spacing w:after="90" w:before="260"/>
      </w:pPr>
      <w:r>
        <w:rPr>
          <w:rFonts w:ascii="Arial" w:cs="Arial" w:eastAsia="Arial" w:hAnsi="Arial"/>
          <w:b/>
          <w:bCs/>
          <w:color w:val="343434"/>
          <w:sz w:val="23"/>
          <w:szCs w:val="23"/>
        </w:rPr>
        <w:t xml:space="preserve">« On ne peut pas partager notre liste de participants. »</w:t>
      </w:r>
    </w:p>
    <w:p>
      <w:pPr>
        <w:keepNext/>
        <w:spacing w:after="90" w:before="0" w:line="290"/>
      </w:pPr>
      <w:r>
        <w:rPr>
          <w:rFonts w:ascii="Arial" w:cs="Arial" w:eastAsia="Arial" w:hAnsi="Arial"/>
          <w:b/>
          <w:bCs/>
          <w:color w:val="343434"/>
          <w:sz w:val="21"/>
          <w:szCs w:val="21"/>
        </w:rPr>
        <w:t xml:space="preserve">Ce qui est vraiment demandé : </w:t>
      </w:r>
      <w:r>
        <w:rPr>
          <w:rFonts w:ascii="Arial" w:cs="Arial" w:eastAsia="Arial" w:hAnsi="Arial"/>
          <w:color w:val="343434"/>
          <w:sz w:val="21"/>
          <w:szCs w:val="21"/>
        </w:rPr>
        <w:t xml:space="preserve">Est-ce un risque pour nos données ou la confiance de nos participants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343434" w:sz="24"/>
              <w:bottom w:val="none"/>
              <w:right w:val="none"/>
            </w:tcBorders>
            <w:shd w:fill="F8F6F2" w:val="clear"/>
            <w:tcMar>
              <w:top w:type="dxa" w:w="120"/>
              <w:left w:type="dxa" w:w="240"/>
              <w:bottom w:type="dxa" w:w="120"/>
              <w:right w:type="dxa" w:w="200"/>
            </w:tcMar>
          </w:tcPr>
          <w:p>
            <w:pPr>
              <w:spacing w:line="290"/>
            </w:pPr>
            <w:r>
              <w:rPr>
                <w:rFonts w:ascii="Arial" w:cs="Arial" w:eastAsia="Arial" w:hAnsi="Arial"/>
                <w:color w:val="343434"/>
                <w:sz w:val="21"/>
                <w:szCs w:val="21"/>
              </w:rPr>
              <w:t xml:space="preserve">« Tout est encadré par contrat : la liste sert uniquement à votre événement, dans les conditions que vous fixez, jamais revendue ni réutilisée. Votre opt-in et votre opt-out actuels régissent le programme. Vous partagez une liste ; on rend de la valeur à vos commanditaires. »</w:t>
            </w:r>
          </w:p>
        </w:tc>
      </w:tr>
    </w:tbl>
    <w:p>
      <w:pPr>
        <w:spacing w:after="50" w:before="90" w:line="290"/>
      </w:pPr>
      <w:r>
        <w:rPr>
          <w:rFonts w:ascii="Arial" w:cs="Arial" w:eastAsia="Arial" w:hAnsi="Arial"/>
          <w:b/>
          <w:bCs/>
          <w:color w:val="343434"/>
          <w:sz w:val="21"/>
          <w:szCs w:val="21"/>
        </w:rPr>
        <w:t xml:space="preserve">À éviter : </w:t>
      </w:r>
      <w:r>
        <w:rPr>
          <w:rFonts w:ascii="Arial" w:cs="Arial" w:eastAsia="Arial" w:hAnsi="Arial"/>
          <w:color w:val="343434"/>
          <w:sz w:val="21"/>
          <w:szCs w:val="21"/>
        </w:rPr>
        <w:t xml:space="preserve">Minimiser l'inquiétude.</w:t>
      </w:r>
    </w:p>
    <w:p>
      <w:pPr>
        <w:spacing w:after="120" w:before="0" w:line="290"/>
      </w:pPr>
      <w:r>
        <w:rPr>
          <w:rFonts w:ascii="Arial" w:cs="Arial" w:eastAsia="Arial" w:hAnsi="Arial"/>
          <w:b/>
          <w:bCs/>
          <w:color w:val="343434"/>
          <w:sz w:val="21"/>
          <w:szCs w:val="21"/>
        </w:rPr>
        <w:t xml:space="preserve">Preuve à mobiliser : </w:t>
      </w:r>
      <w:r>
        <w:rPr>
          <w:rFonts w:ascii="Arial" w:cs="Arial" w:eastAsia="Arial" w:hAnsi="Arial"/>
          <w:color w:val="343434"/>
          <w:sz w:val="21"/>
          <w:szCs w:val="21"/>
        </w:rPr>
        <w:t xml:space="preserve">Les ententes existantes avec le CQCD, Groupe Contex et ALL IN.</w:t>
      </w:r>
    </w:p>
    <w:p>
      <w:pPr>
        <w:keepNext/>
        <w:spacing w:after="90" w:before="260"/>
      </w:pPr>
      <w:r>
        <w:rPr>
          <w:rFonts w:ascii="Arial" w:cs="Arial" w:eastAsia="Arial" w:hAnsi="Arial"/>
          <w:b/>
          <w:bCs/>
          <w:color w:val="343434"/>
          <w:sz w:val="23"/>
          <w:szCs w:val="23"/>
        </w:rPr>
        <w:t xml:space="preserve">« Nos commanditaires ne paieront pas pour un ajout de plus. »</w:t>
      </w:r>
    </w:p>
    <w:p>
      <w:pPr>
        <w:keepNext/>
        <w:spacing w:after="90" w:before="0" w:line="290"/>
      </w:pPr>
      <w:r>
        <w:rPr>
          <w:rFonts w:ascii="Arial" w:cs="Arial" w:eastAsia="Arial" w:hAnsi="Arial"/>
          <w:b/>
          <w:bCs/>
          <w:color w:val="343434"/>
          <w:sz w:val="21"/>
          <w:szCs w:val="21"/>
        </w:rPr>
        <w:t xml:space="preserve">Ce qui est vraiment demandé : </w:t>
      </w:r>
      <w:r>
        <w:rPr>
          <w:rFonts w:ascii="Arial" w:cs="Arial" w:eastAsia="Arial" w:hAnsi="Arial"/>
          <w:color w:val="343434"/>
          <w:sz w:val="21"/>
          <w:szCs w:val="21"/>
        </w:rPr>
        <w:t xml:space="preserve">Est-ce que ça va agacer mes commanditaires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343434" w:sz="24"/>
              <w:bottom w:val="none"/>
              <w:right w:val="none"/>
            </w:tcBorders>
            <w:shd w:fill="F8F6F2" w:val="clear"/>
            <w:tcMar>
              <w:top w:type="dxa" w:w="120"/>
              <w:left w:type="dxa" w:w="240"/>
              <w:bottom w:type="dxa" w:w="120"/>
              <w:right w:type="dxa" w:w="200"/>
            </w:tcMar>
          </w:tcPr>
          <w:p>
            <w:pPr>
              <w:spacing w:line="290"/>
            </w:pPr>
            <w:r>
              <w:rPr>
                <w:rFonts w:ascii="Arial" w:cs="Arial" w:eastAsia="Arial" w:hAnsi="Arial"/>
                <w:color w:val="343434"/>
                <w:sz w:val="21"/>
                <w:szCs w:val="21"/>
              </w:rPr>
              <w:t xml:space="preserve">« Ceux qui viennent pour faire des affaires, pas pour la visibilité, cherchent exactement ça. Vous pouvez l'offrir en option ou l'inclure dans votre palier le plus élevé — HOP! a fait les deux. »</w:t>
            </w:r>
          </w:p>
        </w:tc>
      </w:tr>
    </w:tbl>
    <w:p>
      <w:pPr>
        <w:spacing w:after="50" w:before="90" w:line="290"/>
      </w:pPr>
      <w:r>
        <w:rPr>
          <w:rFonts w:ascii="Arial" w:cs="Arial" w:eastAsia="Arial" w:hAnsi="Arial"/>
          <w:b/>
          <w:bCs/>
          <w:color w:val="343434"/>
          <w:sz w:val="21"/>
          <w:szCs w:val="21"/>
        </w:rPr>
        <w:t xml:space="preserve">À éviter : </w:t>
      </w:r>
      <w:r>
        <w:rPr>
          <w:rFonts w:ascii="Arial" w:cs="Arial" w:eastAsia="Arial" w:hAnsi="Arial"/>
          <w:color w:val="343434"/>
          <w:sz w:val="21"/>
          <w:szCs w:val="21"/>
        </w:rPr>
        <w:t xml:space="preserve">Promettre un taux d'adhésion.</w:t>
      </w:r>
    </w:p>
    <w:p>
      <w:pPr>
        <w:spacing w:after="120" w:before="0" w:line="290"/>
      </w:pPr>
      <w:r>
        <w:rPr>
          <w:rFonts w:ascii="Arial" w:cs="Arial" w:eastAsia="Arial" w:hAnsi="Arial"/>
          <w:b/>
          <w:bCs/>
          <w:color w:val="343434"/>
          <w:sz w:val="21"/>
          <w:szCs w:val="21"/>
        </w:rPr>
        <w:t xml:space="preserve">Preuve à mobiliser : </w:t>
      </w:r>
      <w:r>
        <w:rPr>
          <w:rFonts w:ascii="Arial" w:cs="Arial" w:eastAsia="Arial" w:hAnsi="Arial"/>
          <w:color w:val="343434"/>
          <w:sz w:val="21"/>
          <w:szCs w:val="21"/>
        </w:rPr>
        <w:t xml:space="preserve">HOP! (confirmer avant de nommer publiquement).</w:t>
      </w:r>
    </w:p>
    <w:p>
      <w:pPr>
        <w:keepNext/>
        <w:spacing w:after="90" w:before="260"/>
      </w:pPr>
      <w:r>
        <w:rPr>
          <w:rFonts w:ascii="Arial" w:cs="Arial" w:eastAsia="Arial" w:hAnsi="Arial"/>
          <w:b/>
          <w:bCs/>
          <w:color w:val="343434"/>
          <w:sz w:val="23"/>
          <w:szCs w:val="23"/>
        </w:rPr>
        <w:t xml:space="preserve">« On a déjà une application de jumelage. »</w:t>
      </w:r>
    </w:p>
    <w:p>
      <w:pPr>
        <w:keepNext/>
        <w:spacing w:after="90" w:before="0" w:line="290"/>
      </w:pPr>
      <w:r>
        <w:rPr>
          <w:rFonts w:ascii="Arial" w:cs="Arial" w:eastAsia="Arial" w:hAnsi="Arial"/>
          <w:b/>
          <w:bCs/>
          <w:color w:val="343434"/>
          <w:sz w:val="21"/>
          <w:szCs w:val="21"/>
        </w:rPr>
        <w:t xml:space="preserve">Ce qui est vraiment demandé : </w:t>
      </w:r>
      <w:r>
        <w:rPr>
          <w:rFonts w:ascii="Arial" w:cs="Arial" w:eastAsia="Arial" w:hAnsi="Arial"/>
          <w:color w:val="343434"/>
          <w:sz w:val="21"/>
          <w:szCs w:val="21"/>
        </w:rPr>
        <w:t xml:space="preserve">Est-ce que vous nous faites concurrence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343434" w:sz="24"/>
              <w:bottom w:val="none"/>
              <w:right w:val="none"/>
            </w:tcBorders>
            <w:shd w:fill="F8F6F2" w:val="clear"/>
            <w:tcMar>
              <w:top w:type="dxa" w:w="120"/>
              <w:left w:type="dxa" w:w="240"/>
              <w:bottom w:type="dxa" w:w="120"/>
              <w:right w:type="dxa" w:w="200"/>
            </w:tcMar>
          </w:tcPr>
          <w:p>
            <w:pPr>
              <w:spacing w:line="290"/>
            </w:pPr>
            <w:r>
              <w:rPr>
                <w:rFonts w:ascii="Arial" w:cs="Arial" w:eastAsia="Arial" w:hAnsi="Arial"/>
                <w:color w:val="343434"/>
                <w:sz w:val="21"/>
                <w:szCs w:val="21"/>
              </w:rPr>
              <w:t xml:space="preserve">« Gardez-la. L'application jumelle les participants qui s'inscrivent sur des intérêts communs ; nous, on prépare chaque commanditaire avec une liste courte selon ses propres critères d'achat. Ça rend votre application plus utilisée, pas moins. »</w:t>
            </w:r>
          </w:p>
        </w:tc>
      </w:tr>
    </w:tbl>
    <w:p>
      <w:pPr>
        <w:spacing w:after="120" w:before="90" w:line="290"/>
      </w:pPr>
      <w:r>
        <w:rPr>
          <w:rFonts w:ascii="Arial" w:cs="Arial" w:eastAsia="Arial" w:hAnsi="Arial"/>
          <w:b/>
          <w:bCs/>
          <w:color w:val="343434"/>
          <w:sz w:val="21"/>
          <w:szCs w:val="21"/>
        </w:rPr>
        <w:t xml:space="preserve">À éviter : </w:t>
      </w:r>
      <w:r>
        <w:rPr>
          <w:rFonts w:ascii="Arial" w:cs="Arial" w:eastAsia="Arial" w:hAnsi="Arial"/>
          <w:color w:val="343434"/>
          <w:sz w:val="21"/>
          <w:szCs w:val="21"/>
        </w:rPr>
        <w:t xml:space="preserve">Critiquer leur application ou leur fournisseur.</w:t>
      </w:r>
    </w:p>
    <w:p>
      <w:pPr>
        <w:keepNext/>
        <w:spacing w:after="90" w:before="260"/>
      </w:pPr>
      <w:r>
        <w:rPr>
          <w:rFonts w:ascii="Arial" w:cs="Arial" w:eastAsia="Arial" w:hAnsi="Arial"/>
          <w:b/>
          <w:bCs/>
          <w:color w:val="343434"/>
          <w:sz w:val="23"/>
          <w:szCs w:val="23"/>
        </w:rPr>
        <w:t xml:space="preserve">« Pourquoi le ROI des commanditaires serait-il notre problème ? »</w:t>
      </w:r>
    </w:p>
    <w:p>
      <w:pPr>
        <w:keepNext/>
        <w:spacing w:after="90" w:before="0" w:line="290"/>
      </w:pPr>
      <w:r>
        <w:rPr>
          <w:rFonts w:ascii="Arial" w:cs="Arial" w:eastAsia="Arial" w:hAnsi="Arial"/>
          <w:b/>
          <w:bCs/>
          <w:color w:val="343434"/>
          <w:sz w:val="21"/>
          <w:szCs w:val="21"/>
        </w:rPr>
        <w:t xml:space="preserve">Ce qui est vraiment demandé : </w:t>
      </w:r>
      <w:r>
        <w:rPr>
          <w:rFonts w:ascii="Arial" w:cs="Arial" w:eastAsia="Arial" w:hAnsi="Arial"/>
          <w:color w:val="343434"/>
          <w:sz w:val="21"/>
          <w:szCs w:val="21"/>
        </w:rPr>
        <w:t xml:space="preserve">Je ne ressens pas cette douleur.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343434" w:sz="24"/>
              <w:bottom w:val="none"/>
              <w:right w:val="none"/>
            </w:tcBorders>
            <w:shd w:fill="F8F6F2" w:val="clear"/>
            <w:tcMar>
              <w:top w:type="dxa" w:w="120"/>
              <w:left w:type="dxa" w:w="240"/>
              <w:bottom w:type="dxa" w:w="120"/>
              <w:right w:type="dxa" w:w="200"/>
            </w:tcMar>
          </w:tcPr>
          <w:p>
            <w:pPr>
              <w:spacing w:line="290"/>
            </w:pPr>
            <w:r>
              <w:rPr>
                <w:rFonts w:ascii="Arial" w:cs="Arial" w:eastAsia="Arial" w:hAnsi="Arial"/>
                <w:color w:val="343434"/>
                <w:sz w:val="21"/>
                <w:szCs w:val="21"/>
              </w:rPr>
              <w:t xml:space="preserve">« Parce que c'est votre taux de renouvellement. Dans les salons professionnels, environ 38 % des exposants ne reviennent pas l'année suivante. Un commanditaire qui fait des affaires à votre événement, c'est le renouvellement le plus facile que vous aurez. »</w:t>
            </w:r>
          </w:p>
        </w:tc>
      </w:tr>
    </w:tbl>
    <w:p>
      <w:pPr>
        <w:spacing w:after="50" w:before="90" w:line="290"/>
      </w:pPr>
      <w:r>
        <w:rPr>
          <w:rFonts w:ascii="Arial" w:cs="Arial" w:eastAsia="Arial" w:hAnsi="Arial"/>
          <w:b/>
          <w:bCs/>
          <w:color w:val="343434"/>
          <w:sz w:val="21"/>
          <w:szCs w:val="21"/>
        </w:rPr>
        <w:t xml:space="preserve">À éviter : </w:t>
      </w:r>
      <w:r>
        <w:rPr>
          <w:rFonts w:ascii="Arial" w:cs="Arial" w:eastAsia="Arial" w:hAnsi="Arial"/>
          <w:color w:val="343434"/>
          <w:sz w:val="21"/>
          <w:szCs w:val="21"/>
        </w:rPr>
        <w:t xml:space="preserve">Insister si l'organisateur n'a vraiment aucun problème de rétention — dans ce cas, disqualifier.</w:t>
      </w:r>
    </w:p>
    <w:p>
      <w:pPr>
        <w:spacing w:after="120" w:before="0" w:line="290"/>
      </w:pPr>
      <w:r>
        <w:rPr>
          <w:rFonts w:ascii="Arial" w:cs="Arial" w:eastAsia="Arial" w:hAnsi="Arial"/>
          <w:b/>
          <w:bCs/>
          <w:color w:val="343434"/>
          <w:sz w:val="21"/>
          <w:szCs w:val="21"/>
        </w:rPr>
        <w:t xml:space="preserve">Preuve à mobiliser : </w:t>
      </w:r>
      <w:r>
        <w:rPr>
          <w:rFonts w:ascii="Arial" w:cs="Arial" w:eastAsia="Arial" w:hAnsi="Arial"/>
          <w:color w:val="343434"/>
          <w:sz w:val="21"/>
          <w:szCs w:val="21"/>
        </w:rPr>
        <w:t xml:space="preserve">CEIR : rétention moyenne des exposants de 62 %.</w:t>
      </w:r>
    </w:p>
    <w:p>
      <w:pPr>
        <w:pStyle w:val="Heading1"/>
        <w:pageBreakBefore/>
        <w:spacing w:after="200"/>
      </w:pPr>
      <w:r>
        <w:rPr>
          <w:rFonts w:ascii="Arial" w:cs="Arial" w:eastAsia="Arial" w:hAnsi="Arial"/>
          <w:b/>
          <w:bCs/>
          <w:color w:val="343434"/>
          <w:sz w:val="36"/>
          <w:szCs w:val="36"/>
        </w:rPr>
        <w:t xml:space="preserve">5. Ce qu'on peut dire — et ne pas dire</w:t>
      </w:r>
    </w:p>
    <w:p>
      <w:pPr>
        <w:spacing w:after="120" w:before="0" w:line="290"/>
      </w:pPr>
      <w:r>
        <w:rPr>
          <w:rFonts w:ascii="Arial" w:cs="Arial" w:eastAsia="Arial" w:hAnsi="Arial"/>
          <w:color w:val="343434"/>
          <w:sz w:val="21"/>
          <w:szCs w:val="21"/>
        </w:rPr>
        <w:t xml:space="preserve">Le positionnement repose sur la précision. Un chiffre sans source le contredit dans la phrase même où il essaie de le vendre.</w:t>
      </w:r>
    </w:p>
    <w:p>
      <w:pPr>
        <w:pStyle w:val="Heading2"/>
        <w:keepNext/>
        <w:spacing w:after="140" w:before="280"/>
      </w:pPr>
      <w:r>
        <w:rPr>
          <w:rFonts w:ascii="Arial" w:cs="Arial" w:eastAsia="Arial" w:hAnsi="Arial"/>
          <w:b/>
          <w:bCs/>
          <w:color w:val="343434"/>
          <w:sz w:val="27"/>
          <w:szCs w:val="27"/>
        </w:rPr>
        <w:t xml:space="preserve">Utilisable en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60"/>
        <w:gridCol w:w="3700"/>
      </w:tblGrid>
      <w:tr>
        <w:trPr>
          <w:tblHeader/>
        </w:trPr>
        <w:tc>
          <w:tcPr>
            <w:tcW w:type="dxa" w:w="566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Affirmation</w:t>
            </w:r>
          </w:p>
        </w:tc>
        <w:tc>
          <w:tcPr>
            <w:tcW w:type="dxa" w:w="370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Source</w:t>
            </w:r>
          </w:p>
        </w:tc>
      </w:tr>
      <w:tr>
        <w:trPr>
          <w:cantSplit/>
        </w:trPr>
        <w:tc>
          <w:tcPr>
            <w:tcW w:type="dxa" w:w="56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62 % de rétention des exposants dans les salons professionnels (soit 38 % qui ne reviennent pas)</w:t>
            </w:r>
          </w:p>
        </w:tc>
        <w:tc>
          <w:tcPr>
            <w:tcW w:type="dxa" w:w="37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Center for Exhibition Industry Research — à citer</w:t>
            </w:r>
          </w:p>
        </w:tc>
      </w:tr>
      <w:tr>
        <w:trPr>
          <w:cantSplit/>
        </w:trPr>
        <w:tc>
          <w:tcPr>
            <w:tcW w:type="dxa" w:w="56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11 clients payants sur 6 événements</w:t>
            </w:r>
          </w:p>
        </w:tc>
        <w:tc>
          <w:tcPr>
            <w:tcW w:type="dxa" w:w="37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CRM</w:t>
            </w:r>
          </w:p>
        </w:tc>
      </w:tr>
      <w:tr>
        <w:trPr>
          <w:cantSplit/>
        </w:trPr>
        <w:tc>
          <w:tcPr>
            <w:tcW w:type="dxa" w:w="56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Un client revenu pour un deuxième événement</w:t>
            </w:r>
          </w:p>
        </w:tc>
        <w:tc>
          <w:tcPr>
            <w:tcW w:type="dxa" w:w="37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Cyberimpact → Social Next Toronto</w:t>
            </w:r>
          </w:p>
        </w:tc>
      </w:tr>
      <w:tr>
        <w:trPr>
          <w:cantSplit/>
        </w:trPr>
        <w:tc>
          <w:tcPr>
            <w:tcW w:type="dxa" w:w="56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La citation de l'organisateur de HOP!</w:t>
            </w:r>
          </w:p>
        </w:tc>
        <w:tc>
          <w:tcPr>
            <w:tcW w:type="dxa" w:w="37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Déjà publiée sur le site</w:t>
            </w:r>
          </w:p>
        </w:tc>
      </w:tr>
      <w:tr>
        <w:trPr>
          <w:cantSplit/>
        </w:trPr>
        <w:tc>
          <w:tcPr>
            <w:tcW w:type="dxa" w:w="56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100 $ par match livré · 15 à 25 matchs · livraison une semaine avant</w:t>
            </w:r>
          </w:p>
        </w:tc>
        <w:tc>
          <w:tcPr>
            <w:tcW w:type="dxa" w:w="37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Modèle d'affaires</w:t>
            </w:r>
          </w:p>
        </w:tc>
      </w:tr>
      <w:tr>
        <w:trPr>
          <w:cantSplit/>
        </w:trPr>
        <w:tc>
          <w:tcPr>
            <w:tcW w:type="dxa" w:w="56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La collaboration avec ALL IN 2026</w:t>
            </w:r>
          </w:p>
        </w:tc>
        <w:tc>
          <w:tcPr>
            <w:tcW w:type="dxa" w:w="37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Annoncée publiquement par Elizabeth</w:t>
            </w:r>
          </w:p>
        </w:tc>
      </w:tr>
    </w:tbl>
    <w:p>
      <w:pPr>
        <w:pStyle w:val="Heading2"/>
        <w:keepNext/>
        <w:spacing w:after="140" w:before="280"/>
      </w:pPr>
      <w:r>
        <w:rPr>
          <w:rFonts w:ascii="Arial" w:cs="Arial" w:eastAsia="Arial" w:hAnsi="Arial"/>
          <w:b/>
          <w:bCs/>
          <w:color w:val="343434"/>
          <w:sz w:val="27"/>
          <w:szCs w:val="27"/>
        </w:rPr>
        <w:t xml:space="preserve">Interdit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60"/>
        <w:gridCol w:w="3700"/>
      </w:tblGrid>
      <w:tr>
        <w:trPr>
          <w:tblHeader/>
        </w:trPr>
        <w:tc>
          <w:tcPr>
            <w:tcW w:type="dxa" w:w="566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Affirmation</w:t>
            </w:r>
          </w:p>
        </w:tc>
        <w:tc>
          <w:tcPr>
            <w:tcW w:type="dxa" w:w="370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Pourquoi</w:t>
            </w:r>
          </w:p>
        </w:tc>
      </w:tr>
      <w:tr>
        <w:trPr>
          <w:cantSplit/>
        </w:trPr>
        <w:tc>
          <w:tcPr>
            <w:tcW w:type="dxa" w:w="56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Toute réservation, planification ou confirmation de rencontres</w:t>
            </w:r>
          </w:p>
        </w:tc>
        <w:tc>
          <w:tcPr>
            <w:tcW w:type="dxa" w:w="37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Le produit ne le fait pas</w:t>
            </w:r>
          </w:p>
        </w:tc>
      </w:tr>
      <w:tr>
        <w:trPr>
          <w:cantSplit/>
        </w:trPr>
        <w:tc>
          <w:tcPr>
            <w:tcW w:type="dxa" w:w="56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 Pas de résultat, pas de frais » / « zéro risque »</w:t>
            </w:r>
          </w:p>
        </w:tc>
        <w:tc>
          <w:tcPr>
            <w:tcW w:type="dxa" w:w="37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Impossible à tenir avec un prix au match</w:t>
            </w:r>
          </w:p>
        </w:tc>
      </w:tr>
      <w:tr>
        <w:trPr>
          <w:cantSplit/>
        </w:trPr>
        <w:tc>
          <w:tcPr>
            <w:tcW w:type="dxa" w:w="56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 30 % des nouveaux participants reviennent »</w:t>
            </w:r>
          </w:p>
        </w:tc>
        <w:tc>
          <w:tcPr>
            <w:tcW w:type="dxa" w:w="37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Aucune source primaire — tiré du marketing d'un concurrent</w:t>
            </w:r>
          </w:p>
        </w:tc>
      </w:tr>
      <w:tr>
        <w:trPr>
          <w:cantSplit/>
        </w:trPr>
        <w:tc>
          <w:tcPr>
            <w:tcW w:type="dxa" w:w="566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Tout pourcentage de chances ou ratio participants/acheteurs présenté comme mesuré</w:t>
            </w:r>
          </w:p>
        </w:tc>
        <w:tc>
          <w:tcPr>
            <w:tcW w:type="dxa" w:w="37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Ces chiffres sont illustratifs. Dire « quelques dizaines », « une poignée ».</w:t>
            </w:r>
          </w:p>
        </w:tc>
      </w:tr>
    </w:tbl>
    <w:p>
      <w:pPr>
        <w:pStyle w:val="Heading2"/>
        <w:keepNext/>
        <w:spacing w:after="140" w:before="280"/>
      </w:pPr>
      <w:r>
        <w:rPr>
          <w:rFonts w:ascii="Arial" w:cs="Arial" w:eastAsia="Arial" w:hAnsi="Arial"/>
          <w:b/>
          <w:bCs/>
          <w:color w:val="343434"/>
          <w:sz w:val="27"/>
          <w:szCs w:val="27"/>
        </w:rPr>
        <w:t xml:space="preserve">En attente — à valider par Elizabeth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Affirmation</w:t>
            </w:r>
          </w:p>
        </w:tc>
        <w:tc>
          <w:tcPr>
            <w:tcW w:type="dxa" w:w="308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Ce qui manque</w:t>
            </w:r>
          </w:p>
        </w:tc>
        <w:tc>
          <w:tcPr>
            <w:tcW w:type="dxa" w:w="3080"/>
            <w:tcBorders>
              <w:top w:val="single" w:color="C9C8BF" w:sz="4"/>
              <w:left w:val="single" w:color="C9C8BF" w:sz="4"/>
              <w:bottom w:val="single" w:color="C9C8BF" w:sz="4"/>
              <w:right w:val="single" w:color="C9C8BF" w:sz="4"/>
            </w:tcBorders>
            <w:shd w:fill="F8F6F2" w:val="clear"/>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Ce que ça débloque</w:t>
            </w:r>
          </w:p>
        </w:tc>
      </w:tr>
      <w:tr>
        <w:trPr>
          <w:cantSplit/>
        </w:trPr>
        <w:tc>
          <w:tcPr>
            <w:tcW w:type="dxa" w:w="32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 Propulsé par l'IA »</w:t>
            </w:r>
          </w:p>
        </w:tc>
        <w:tc>
          <w:tcPr>
            <w:tcW w:type="dxa" w:w="30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Trancher : IA ou IA assistée manuellement</w:t>
            </w:r>
          </w:p>
        </w:tc>
        <w:tc>
          <w:tcPr>
            <w:tcW w:type="dxa" w:w="30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Toute mention de l'IA dans la copie</w:t>
            </w:r>
          </w:p>
        </w:tc>
      </w:tr>
      <w:tr>
        <w:trPr>
          <w:cantSplit/>
        </w:trPr>
        <w:tc>
          <w:tcPr>
            <w:tcW w:type="dxa" w:w="32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MeePayGo : 45 % et 80 %</w:t>
            </w:r>
          </w:p>
        </w:tc>
        <w:tc>
          <w:tcPr>
            <w:tcW w:type="dxa" w:w="30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Un seul client, auto-déclaré</w:t>
            </w:r>
          </w:p>
        </w:tc>
        <w:tc>
          <w:tcPr>
            <w:tcW w:type="dxa" w:w="30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Une étude de cas chiffrée</w:t>
            </w:r>
          </w:p>
        </w:tc>
      </w:tr>
      <w:tr>
        <w:trPr>
          <w:cantSplit/>
        </w:trPr>
        <w:tc>
          <w:tcPr>
            <w:tcW w:type="dxa" w:w="32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35 à 45 % des matchs deviennent des conversations</w:t>
            </w:r>
          </w:p>
        </w:tc>
        <w:tc>
          <w:tcPr>
            <w:tcW w:type="dxa" w:w="30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Données solides</w:t>
            </w:r>
          </w:p>
        </w:tc>
        <w:tc>
          <w:tcPr>
            <w:tcW w:type="dxa" w:w="30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Le bloc de preuve</w:t>
            </w:r>
          </w:p>
        </w:tc>
      </w:tr>
      <w:tr>
        <w:trPr>
          <w:cantSplit/>
        </w:trPr>
        <w:tc>
          <w:tcPr>
            <w:tcW w:type="dxa" w:w="32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100 % d'alignement ICP</w:t>
            </w:r>
          </w:p>
        </w:tc>
        <w:tc>
          <w:tcPr>
            <w:tcW w:type="dxa" w:w="30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Retirer la réserve « parmi les répondants »</w:t>
            </w:r>
          </w:p>
        </w:tc>
        <w:tc>
          <w:tcPr>
            <w:tcW w:type="dxa" w:w="30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Le bloc de preuve</w:t>
            </w:r>
          </w:p>
        </w:tc>
      </w:tr>
      <w:tr>
        <w:trPr>
          <w:cantSplit/>
        </w:trPr>
        <w:tc>
          <w:tcPr>
            <w:tcW w:type="dxa" w:w="32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Citations EY et Gestion Vigie nommées</w:t>
            </w:r>
          </w:p>
        </w:tc>
        <w:tc>
          <w:tcPr>
            <w:tcW w:type="dxa" w:w="30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Autorisation des clients</w:t>
            </w:r>
          </w:p>
        </w:tc>
        <w:tc>
          <w:tcPr>
            <w:tcW w:type="dxa" w:w="30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Preuve attribuée</w:t>
            </w:r>
          </w:p>
        </w:tc>
      </w:tr>
      <w:tr>
        <w:trPr>
          <w:cantSplit/>
        </w:trPr>
        <w:tc>
          <w:tcPr>
            <w:tcW w:type="dxa" w:w="320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bCs/>
                <w:color w:val="343434"/>
                <w:sz w:val="19"/>
                <w:szCs w:val="19"/>
              </w:rPr>
              <w:t xml:space="preserve">Fiche de traitement des données (Loi 25)</w:t>
            </w:r>
          </w:p>
        </w:tc>
        <w:tc>
          <w:tcPr>
            <w:tcW w:type="dxa" w:w="30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À produire</w:t>
            </w:r>
          </w:p>
        </w:tc>
        <w:tc>
          <w:tcPr>
            <w:tcW w:type="dxa" w:w="3080"/>
            <w:tcBorders>
              <w:top w:val="single" w:color="C9C8BF" w:sz="4"/>
              <w:left w:val="single" w:color="C9C8BF" w:sz="4"/>
              <w:bottom w:val="single" w:color="C9C8BF" w:sz="4"/>
              <w:right w:val="single" w:color="C9C8BF" w:sz="4"/>
            </w:tcBorders>
            <w:tcMar>
              <w:top w:type="dxa" w:w="80"/>
              <w:left w:type="dxa" w:w="120"/>
              <w:bottom w:type="dxa" w:w="80"/>
              <w:right w:type="dxa" w:w="120"/>
            </w:tcMar>
          </w:tcPr>
          <w:p>
            <w:pPr>
              <w:spacing w:after="40" w:line="260"/>
            </w:pPr>
            <w:r>
              <w:rPr>
                <w:rFonts w:ascii="Arial" w:cs="Arial" w:eastAsia="Arial" w:hAnsi="Arial"/>
                <w:b w:val="false"/>
                <w:bCs w:val="false"/>
                <w:color w:val="343434"/>
                <w:sz w:val="19"/>
                <w:szCs w:val="19"/>
              </w:rPr>
              <w:t xml:space="preserve">L'objection Loi 25</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C8BF" w:sz="4"/>
              <w:left w:val="single" w:color="C9C8BF" w:sz="4"/>
              <w:bottom w:val="single" w:color="C9C8BF" w:sz="4"/>
              <w:right w:val="single" w:color="C9C8BF" w:sz="4"/>
            </w:tcBorders>
            <w:shd w:fill="EDF993" w:val="clear"/>
            <w:tcMar>
              <w:top w:type="dxa" w:w="160"/>
              <w:left w:type="dxa" w:w="220"/>
              <w:bottom w:type="dxa" w:w="160"/>
              <w:right w:type="dxa" w:w="220"/>
            </w:tcMar>
          </w:tcPr>
          <w:p>
            <w:pPr>
              <w:spacing w:after="80"/>
            </w:pPr>
            <w:r>
              <w:rPr>
                <w:rFonts w:ascii="Arial" w:cs="Arial" w:eastAsia="Arial" w:hAnsi="Arial"/>
                <w:b/>
                <w:bCs/>
                <w:color w:val="343434"/>
                <w:sz w:val="22"/>
                <w:szCs w:val="22"/>
              </w:rPr>
              <w:t xml:space="preserve">Ce qui manque le plus</w:t>
            </w:r>
          </w:p>
          <w:p>
            <w:pPr>
              <w:spacing w:after="60" w:line="280"/>
            </w:pPr>
            <w:r>
              <w:rPr>
                <w:rFonts w:ascii="Arial" w:cs="Arial" w:eastAsia="Arial" w:hAnsi="Arial"/>
                <w:color w:val="343434"/>
                <w:sz w:val="20"/>
                <w:szCs w:val="20"/>
              </w:rPr>
              <w:t xml:space="preserve">Un seul résultat post-événement documenté, avec l'autorisation du client : ce qui est arrivé à la liste courte — conversations ouvertes, opportunités créées. C'est la pièce qui renforcerait le plus chaque argument de ce document.</w:t>
            </w:r>
          </w:p>
        </w:tc>
      </w:tr>
    </w:tbl>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6B6B"/>
        <w:sz w:val="16"/>
        <w:szCs w:val="16"/>
      </w:rPr>
      <w:t xml:space="preserve">Interne · Provisoire · p. </w:t>
    </w:r>
    <w:r>
      <w:rPr>
        <w:rFonts w:ascii="Arial" w:cs="Arial" w:eastAsia="Arial" w:hAnsi="Arial"/>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6B6B"/>
        <w:sz w:val="16"/>
        <w:szCs w:val="16"/>
      </w:rPr>
      <w:t xml:space="preserve">BETA Labs — Positionnement, ICP &amp; Messaging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4343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outlineLvl w:val="0"/>
    </w:pPr>
    <w:rPr>
      <w:rFonts w:ascii="Arial" w:cs="Arial" w:eastAsia="Arial" w:hAnsi="Arial"/>
      <w:b/>
      <w:bCs/>
      <w:color w:val="34343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343434"/>
      <w:sz w:val="27"/>
      <w:szCs w:val="27"/>
    </w:rPr>
  </w:style>
  <w:style w:type="paragraph" w:styleId="Heading3">
    <w:name w:val="Heading 3"/>
    <w:basedOn w:val="Normal"/>
    <w:next w:val="Normal"/>
    <w:qFormat/>
    <w:pPr>
      <w:spacing w:after="100" w:before="220"/>
      <w:outlineLvl w:val="2"/>
    </w:pPr>
    <w:rPr>
      <w:rFonts w:ascii="Arial" w:cs="Arial" w:eastAsia="Arial" w:hAnsi="Arial"/>
      <w:b/>
      <w:bCs/>
      <w:color w:val="34343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BETA Labs — Positionnement, ICP &amp; Messaging</dc:title>
  <dc:creator>GoodBytes Studio</dc:creator>
  <cp:lastModifiedBy>Un-named</cp:lastModifiedBy>
  <cp:revision>1</cp:revision>
  <dcterms:created xsi:type="dcterms:W3CDTF">2026-09-15T18:47:19.904Z</dcterms:created>
  <dcterms:modified xsi:type="dcterms:W3CDTF">2026-09-15T18:47:19.905Z</dcterms:modified>
</cp:coreProperties>
</file>

<file path=docProps/custom.xml><?xml version="1.0" encoding="utf-8"?>
<Properties xmlns="http://schemas.openxmlformats.org/officeDocument/2006/custom-properties" xmlns:vt="http://schemas.openxmlformats.org/officeDocument/2006/docPropsVTypes"/>
</file>