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A6" w:rsidRDefault="009043A6" w:rsidP="009043A6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012312366 </w:t>
      </w:r>
      <w:proofErr w:type="spellStart"/>
      <w:r>
        <w:rPr>
          <w:b/>
          <w:sz w:val="22"/>
        </w:rPr>
        <w:t>Kyu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Chul</w:t>
      </w:r>
      <w:proofErr w:type="spellEnd"/>
      <w:r>
        <w:rPr>
          <w:b/>
          <w:sz w:val="22"/>
        </w:rPr>
        <w:t xml:space="preserve"> Kim</w:t>
      </w:r>
    </w:p>
    <w:p w:rsidR="00507BF6" w:rsidRPr="00465CF3" w:rsidRDefault="00465CF3" w:rsidP="00465CF3">
      <w:pPr>
        <w:jc w:val="left"/>
        <w:rPr>
          <w:b/>
          <w:sz w:val="22"/>
        </w:rPr>
      </w:pPr>
      <w:r>
        <w:rPr>
          <w:b/>
          <w:sz w:val="22"/>
        </w:rPr>
        <w:t>Why use CART (decision Tree) Algorithm?</w:t>
      </w:r>
    </w:p>
    <w:p w:rsidR="00561175" w:rsidRDefault="00561175" w:rsidP="00017444">
      <w:pPr>
        <w:rPr>
          <w:sz w:val="22"/>
        </w:rPr>
      </w:pPr>
      <w:r w:rsidRPr="0081374C">
        <w:rPr>
          <w:sz w:val="22"/>
        </w:rPr>
        <w:t xml:space="preserve">What is the purpose of trading strategy? </w:t>
      </w:r>
      <w:r w:rsidR="00754965">
        <w:rPr>
          <w:sz w:val="22"/>
        </w:rPr>
        <w:t>Index</w:t>
      </w:r>
      <w:r w:rsidRPr="0081374C">
        <w:rPr>
          <w:sz w:val="22"/>
        </w:rPr>
        <w:t xml:space="preserve"> such as Sharpe Ratio shows that people’s major interest on investing is “Earning a lot of money </w:t>
      </w:r>
      <w:r w:rsidR="00754965">
        <w:rPr>
          <w:sz w:val="22"/>
        </w:rPr>
        <w:t xml:space="preserve">at </w:t>
      </w:r>
      <w:r w:rsidRPr="0081374C">
        <w:rPr>
          <w:sz w:val="22"/>
        </w:rPr>
        <w:t xml:space="preserve">minimum risk”. Therefore, I thought </w:t>
      </w:r>
      <w:r w:rsidR="007D2E8D" w:rsidRPr="0081374C">
        <w:rPr>
          <w:sz w:val="22"/>
        </w:rPr>
        <w:t xml:space="preserve">that the goal is to predict the return of investment, and the decision should be made on data-oriented way. </w:t>
      </w:r>
      <w:r w:rsidR="00754965">
        <w:rPr>
          <w:sz w:val="22"/>
        </w:rPr>
        <w:t xml:space="preserve">However, considering that investors </w:t>
      </w:r>
      <w:r w:rsidR="00A46C3E">
        <w:rPr>
          <w:sz w:val="22"/>
        </w:rPr>
        <w:t xml:space="preserve">do </w:t>
      </w:r>
      <w:r w:rsidR="00754965">
        <w:rPr>
          <w:sz w:val="22"/>
        </w:rPr>
        <w:t xml:space="preserve">not give credit to such model considered “Black Box” – investor cannot inspect the process of making decisions – </w:t>
      </w:r>
      <w:r w:rsidR="00B3688D">
        <w:rPr>
          <w:sz w:val="22"/>
        </w:rPr>
        <w:t>I will use Machine Learning Algorithm called Decision Tree.</w:t>
      </w:r>
      <w:r w:rsidR="00400F4D">
        <w:rPr>
          <w:sz w:val="22"/>
        </w:rPr>
        <w:t xml:space="preserve"> Decision Tree, </w:t>
      </w:r>
      <w:r w:rsidR="000A3EE5">
        <w:rPr>
          <w:sz w:val="22"/>
        </w:rPr>
        <w:t>or CART</w:t>
      </w:r>
      <w:r w:rsidR="00400F4D">
        <w:rPr>
          <w:sz w:val="22"/>
        </w:rPr>
        <w:t>, basically</w:t>
      </w:r>
      <w:r w:rsidR="00CE6A2E">
        <w:rPr>
          <w:sz w:val="22"/>
        </w:rPr>
        <w:t xml:space="preserve"> by</w:t>
      </w:r>
      <w:r w:rsidR="00400F4D">
        <w:rPr>
          <w:sz w:val="22"/>
        </w:rPr>
        <w:t xml:space="preserve"> iterat</w:t>
      </w:r>
      <w:r w:rsidR="00CE6A2E">
        <w:rPr>
          <w:sz w:val="22"/>
        </w:rPr>
        <w:t>ing</w:t>
      </w:r>
      <w:r w:rsidR="00400F4D">
        <w:rPr>
          <w:sz w:val="22"/>
        </w:rPr>
        <w:t xml:space="preserve"> binary split on each independent variable,</w:t>
      </w:r>
      <w:r w:rsidR="00CE6A2E">
        <w:rPr>
          <w:sz w:val="22"/>
        </w:rPr>
        <w:t xml:space="preserve"> forms a tree – like model that classifies the observations. </w:t>
      </w:r>
      <w:r w:rsidR="000A3EE5">
        <w:rPr>
          <w:sz w:val="22"/>
        </w:rPr>
        <w:t xml:space="preserve">In our case, the daily return can be classified, or predicted by binary splitting technical indicators. </w:t>
      </w:r>
      <w:r w:rsidR="00682119">
        <w:rPr>
          <w:sz w:val="22"/>
        </w:rPr>
        <w:t>CART</w:t>
      </w:r>
      <w:r w:rsidR="00322E26">
        <w:rPr>
          <w:sz w:val="22"/>
        </w:rPr>
        <w:t xml:space="preserve"> </w:t>
      </w:r>
      <w:r w:rsidR="00682119">
        <w:rPr>
          <w:sz w:val="22"/>
        </w:rPr>
        <w:t xml:space="preserve">(Classification and Regression Trees) has following </w:t>
      </w:r>
      <w:r w:rsidR="00682119">
        <w:rPr>
          <w:rFonts w:hint="eastAsia"/>
          <w:sz w:val="22"/>
        </w:rPr>
        <w:t>a</w:t>
      </w:r>
      <w:r w:rsidR="00682119">
        <w:rPr>
          <w:sz w:val="22"/>
        </w:rPr>
        <w:t>dvantages. First, since the decision tree grows by splitting observations according to criterion of variables, the model can be literally explained by variables. Second, with the process</w:t>
      </w:r>
      <w:r w:rsidR="00A46C3E">
        <w:rPr>
          <w:sz w:val="22"/>
        </w:rPr>
        <w:t xml:space="preserve"> of</w:t>
      </w:r>
      <w:r w:rsidR="00682119">
        <w:rPr>
          <w:sz w:val="22"/>
        </w:rPr>
        <w:t xml:space="preserve"> “pruning”, the model sets simplest rule possible. </w:t>
      </w:r>
      <w:r w:rsidR="00231DD4">
        <w:rPr>
          <w:sz w:val="22"/>
        </w:rPr>
        <w:t xml:space="preserve">These two </w:t>
      </w:r>
      <w:r w:rsidR="00322E26">
        <w:rPr>
          <w:sz w:val="22"/>
        </w:rPr>
        <w:t>advantages</w:t>
      </w:r>
      <w:r w:rsidR="00231DD4">
        <w:rPr>
          <w:sz w:val="22"/>
        </w:rPr>
        <w:t xml:space="preserve"> make the model</w:t>
      </w:r>
      <w:r w:rsidR="00A46C3E">
        <w:rPr>
          <w:sz w:val="22"/>
        </w:rPr>
        <w:t xml:space="preserve"> a </w:t>
      </w:r>
      <w:r w:rsidR="00231DD4">
        <w:rPr>
          <w:sz w:val="22"/>
        </w:rPr>
        <w:t xml:space="preserve">“white box”, thus </w:t>
      </w:r>
      <w:r w:rsidR="00794B4B">
        <w:rPr>
          <w:sz w:val="22"/>
        </w:rPr>
        <w:t xml:space="preserve">it can be convincing strategy for </w:t>
      </w:r>
      <w:r w:rsidR="00322E26">
        <w:rPr>
          <w:sz w:val="22"/>
        </w:rPr>
        <w:t>investors</w:t>
      </w:r>
      <w:r w:rsidR="00794B4B">
        <w:rPr>
          <w:sz w:val="22"/>
        </w:rPr>
        <w:t xml:space="preserve">, </w:t>
      </w:r>
      <w:r w:rsidR="00794B4B">
        <w:rPr>
          <w:rFonts w:hint="eastAsia"/>
          <w:sz w:val="22"/>
        </w:rPr>
        <w:t>a</w:t>
      </w:r>
      <w:r w:rsidR="00794B4B">
        <w:rPr>
          <w:sz w:val="22"/>
        </w:rPr>
        <w:t xml:space="preserve">nd at the same time </w:t>
      </w:r>
      <w:r w:rsidR="00322E26">
        <w:rPr>
          <w:sz w:val="22"/>
        </w:rPr>
        <w:t>gives</w:t>
      </w:r>
      <w:r w:rsidR="002C3A6F">
        <w:rPr>
          <w:sz w:val="22"/>
        </w:rPr>
        <w:t xml:space="preserve"> flexible</w:t>
      </w:r>
      <w:r w:rsidR="00794B4B">
        <w:rPr>
          <w:sz w:val="22"/>
        </w:rPr>
        <w:t xml:space="preserve"> predict without complex assumptions such as linear regression. </w:t>
      </w:r>
      <w:r w:rsidR="006B2804">
        <w:rPr>
          <w:sz w:val="22"/>
        </w:rPr>
        <w:t>I will not cover details of the algorithm in this paper.</w:t>
      </w:r>
    </w:p>
    <w:p w:rsidR="00465CF3" w:rsidRPr="00465CF3" w:rsidRDefault="00465CF3" w:rsidP="00465CF3">
      <w:pPr>
        <w:rPr>
          <w:b/>
          <w:sz w:val="22"/>
        </w:rPr>
      </w:pPr>
      <w:r>
        <w:rPr>
          <w:b/>
          <w:sz w:val="22"/>
        </w:rPr>
        <w:t>Two criteria for reducing universe: Volume and Absolute Sharpe Ratio</w:t>
      </w:r>
    </w:p>
    <w:p w:rsidR="00A46C3E" w:rsidRDefault="00A46C3E" w:rsidP="00017444">
      <w:pPr>
        <w:rPr>
          <w:sz w:val="22"/>
        </w:rPr>
      </w:pPr>
      <w:r>
        <w:rPr>
          <w:sz w:val="22"/>
        </w:rPr>
        <w:t xml:space="preserve">In addition to CART algorithm, I will filter the target securities with following two criteria. First, mean volume size of the security. </w:t>
      </w:r>
      <w:r w:rsidR="007068B3">
        <w:rPr>
          <w:sz w:val="22"/>
        </w:rPr>
        <w:t xml:space="preserve">The special lecturer of </w:t>
      </w:r>
      <w:proofErr w:type="spellStart"/>
      <w:r w:rsidR="00C863BE">
        <w:rPr>
          <w:sz w:val="22"/>
        </w:rPr>
        <w:t>R</w:t>
      </w:r>
      <w:r w:rsidR="007068B3">
        <w:rPr>
          <w:sz w:val="22"/>
        </w:rPr>
        <w:t>obo</w:t>
      </w:r>
      <w:proofErr w:type="spellEnd"/>
      <w:r w:rsidR="007068B3">
        <w:rPr>
          <w:sz w:val="22"/>
        </w:rPr>
        <w:t>-</w:t>
      </w:r>
      <w:r w:rsidR="00324F41">
        <w:rPr>
          <w:sz w:val="22"/>
        </w:rPr>
        <w:t>A</w:t>
      </w:r>
      <w:r w:rsidR="007068B3">
        <w:rPr>
          <w:sz w:val="22"/>
        </w:rPr>
        <w:t xml:space="preserve">dvisor company </w:t>
      </w:r>
      <w:proofErr w:type="spellStart"/>
      <w:r w:rsidR="007068B3">
        <w:rPr>
          <w:sz w:val="22"/>
        </w:rPr>
        <w:t>Qraft</w:t>
      </w:r>
      <w:proofErr w:type="spellEnd"/>
      <w:r w:rsidR="007068B3">
        <w:rPr>
          <w:sz w:val="22"/>
        </w:rPr>
        <w:t xml:space="preserve"> stated that when they let their algorithm to work without any limits, it tends to recommend small-cap securities and makes great performance. Under this heuristic, I assumed that there should be some </w:t>
      </w:r>
      <w:r w:rsidR="00192372">
        <w:rPr>
          <w:sz w:val="22"/>
        </w:rPr>
        <w:t>characteristics decided by the volume of security. With this assumption, I will order SP500 securities by its mean volume, and divide it into 5 intervals, then sample 51 securities from each interval. The number 5 and 51 are just arbitrar</w:t>
      </w:r>
      <w:r w:rsidR="001F26D6">
        <w:rPr>
          <w:sz w:val="22"/>
        </w:rPr>
        <w:t>ily chosen</w:t>
      </w:r>
      <w:r w:rsidR="00192372">
        <w:rPr>
          <w:sz w:val="22"/>
        </w:rPr>
        <w:t xml:space="preserve">. </w:t>
      </w:r>
      <w:r w:rsidR="001F26D6">
        <w:rPr>
          <w:sz w:val="22"/>
        </w:rPr>
        <w:t>Second,</w:t>
      </w:r>
      <w:r w:rsidR="00192372">
        <w:rPr>
          <w:sz w:val="22"/>
        </w:rPr>
        <w:t xml:space="preserve"> </w:t>
      </w:r>
      <w:r w:rsidR="004735D4">
        <w:rPr>
          <w:sz w:val="22"/>
        </w:rPr>
        <w:t xml:space="preserve">absolute Sharpe Ratio. </w:t>
      </w:r>
      <w:r w:rsidR="00EA5FDC">
        <w:rPr>
          <w:sz w:val="22"/>
        </w:rPr>
        <w:t>Since e</w:t>
      </w:r>
      <w:r w:rsidR="00EA5FDC" w:rsidRPr="00EA5FDC">
        <w:rPr>
          <w:sz w:val="22"/>
        </w:rPr>
        <w:t xml:space="preserve">xcess return is usually not an extreme number (in the millions or greater), therefore </w:t>
      </w:r>
      <w:r w:rsidR="00EA5FDC">
        <w:rPr>
          <w:sz w:val="22"/>
        </w:rPr>
        <w:t>the ratio</w:t>
      </w:r>
      <w:r w:rsidR="00EA5FDC" w:rsidRPr="00EA5FDC">
        <w:rPr>
          <w:sz w:val="22"/>
        </w:rPr>
        <w:t xml:space="preserve"> mainly depends on the standard deviation (volatility).</w:t>
      </w:r>
      <w:r w:rsidR="00D87467">
        <w:rPr>
          <w:rStyle w:val="a6"/>
          <w:sz w:val="22"/>
        </w:rPr>
        <w:endnoteReference w:id="1"/>
      </w:r>
      <w:r w:rsidR="00EA5FDC">
        <w:rPr>
          <w:sz w:val="22"/>
        </w:rPr>
        <w:t xml:space="preserve"> Thus</w:t>
      </w:r>
      <w:r w:rsidR="00D87467">
        <w:rPr>
          <w:sz w:val="22"/>
        </w:rPr>
        <w:t>,</w:t>
      </w:r>
      <w:r w:rsidR="00EA5FDC">
        <w:rPr>
          <w:sz w:val="22"/>
        </w:rPr>
        <w:t xml:space="preserve"> I used absolute Sharpe Ratio to avoid securities with high volatility. </w:t>
      </w:r>
    </w:p>
    <w:p w:rsidR="00C41BE4" w:rsidRPr="00C41BE4" w:rsidRDefault="00C41BE4" w:rsidP="00C41BE4">
      <w:pPr>
        <w:rPr>
          <w:b/>
          <w:sz w:val="22"/>
        </w:rPr>
      </w:pPr>
      <w:r>
        <w:rPr>
          <w:b/>
          <w:sz w:val="22"/>
        </w:rPr>
        <w:t xml:space="preserve">Technical Indicators </w:t>
      </w:r>
    </w:p>
    <w:p w:rsidR="001E49B5" w:rsidRDefault="006E4B3B" w:rsidP="001E49B5">
      <w:pPr>
        <w:rPr>
          <w:sz w:val="22"/>
        </w:rPr>
      </w:pPr>
      <w:proofErr w:type="gramStart"/>
      <w:r>
        <w:rPr>
          <w:sz w:val="22"/>
        </w:rPr>
        <w:t>So</w:t>
      </w:r>
      <w:proofErr w:type="gramEnd"/>
      <w:r>
        <w:rPr>
          <w:sz w:val="22"/>
        </w:rPr>
        <w:t xml:space="preserve"> with the filtering process, I sampled 255 securities out of 503 according to its mean volume, and then chose top 50 securities with high absolute Sharpe Ratio. </w:t>
      </w:r>
      <w:r w:rsidR="001E49B5" w:rsidRPr="0081374C">
        <w:rPr>
          <w:rFonts w:hint="eastAsia"/>
          <w:sz w:val="22"/>
        </w:rPr>
        <w:t>Now with 50 securities, I generated technical indicators for each of them.</w:t>
      </w:r>
      <w:r w:rsidR="000E7E5C">
        <w:rPr>
          <w:sz w:val="22"/>
        </w:rPr>
        <w:t xml:space="preserve"> I utilized 3 types indicators so that my model can catch </w:t>
      </w:r>
      <w:r w:rsidR="00234B4C">
        <w:rPr>
          <w:sz w:val="22"/>
        </w:rPr>
        <w:t>different types of</w:t>
      </w:r>
      <w:r w:rsidR="000E7E5C">
        <w:rPr>
          <w:sz w:val="22"/>
        </w:rPr>
        <w:t xml:space="preserve"> signal, or rule of deciding the class of observation</w:t>
      </w:r>
      <w:r w:rsidR="00234B4C">
        <w:rPr>
          <w:sz w:val="22"/>
        </w:rPr>
        <w:t xml:space="preserve">. And used variety of indicators for each type so that each security can use the fittest indicator. </w:t>
      </w:r>
      <w:r w:rsidR="001E49B5" w:rsidRPr="0081374C">
        <w:rPr>
          <w:rFonts w:hint="eastAsia"/>
          <w:sz w:val="22"/>
        </w:rPr>
        <w:t>9 Moving averages</w:t>
      </w:r>
      <w:r w:rsidR="00234B4C">
        <w:rPr>
          <w:sz w:val="22"/>
        </w:rPr>
        <w:t xml:space="preserve"> (SMA(20days), LMA(50days), EMA, DEMA, EVWMA, EVWMA, ZLEMA, ALMA, HMA) are used </w:t>
      </w:r>
      <w:r w:rsidR="001E49B5" w:rsidRPr="0081374C">
        <w:rPr>
          <w:rFonts w:hint="eastAsia"/>
          <w:sz w:val="22"/>
        </w:rPr>
        <w:t>to indicate the smoothed moving direction</w:t>
      </w:r>
      <w:r w:rsidR="00234B4C">
        <w:rPr>
          <w:sz w:val="22"/>
        </w:rPr>
        <w:t xml:space="preserve">, </w:t>
      </w:r>
      <w:r w:rsidR="001E49B5" w:rsidRPr="0081374C">
        <w:rPr>
          <w:rFonts w:hint="eastAsia"/>
          <w:sz w:val="22"/>
        </w:rPr>
        <w:t>2 Strength indicator</w:t>
      </w:r>
      <w:r w:rsidR="00234B4C">
        <w:rPr>
          <w:sz w:val="22"/>
        </w:rPr>
        <w:t>s</w:t>
      </w:r>
      <w:r w:rsidR="00BB14CF">
        <w:rPr>
          <w:sz w:val="22"/>
        </w:rPr>
        <w:t xml:space="preserve"> </w:t>
      </w:r>
      <w:r w:rsidR="00234B4C">
        <w:rPr>
          <w:sz w:val="22"/>
        </w:rPr>
        <w:t>(RSI, CMO) are</w:t>
      </w:r>
      <w:r w:rsidR="001E49B5" w:rsidRPr="0081374C">
        <w:rPr>
          <w:rFonts w:hint="eastAsia"/>
          <w:sz w:val="22"/>
        </w:rPr>
        <w:t xml:space="preserve"> </w:t>
      </w:r>
      <w:r w:rsidR="00234B4C">
        <w:rPr>
          <w:sz w:val="22"/>
        </w:rPr>
        <w:t xml:space="preserve">used </w:t>
      </w:r>
      <w:r w:rsidR="001E49B5" w:rsidRPr="0081374C">
        <w:rPr>
          <w:rFonts w:hint="eastAsia"/>
          <w:sz w:val="22"/>
        </w:rPr>
        <w:t>to indicate magnitude of variation</w:t>
      </w:r>
      <w:r w:rsidR="00234B4C">
        <w:rPr>
          <w:sz w:val="22"/>
        </w:rPr>
        <w:t xml:space="preserve"> and </w:t>
      </w:r>
      <w:r w:rsidR="001E49B5" w:rsidRPr="0081374C">
        <w:rPr>
          <w:rFonts w:hint="eastAsia"/>
          <w:sz w:val="22"/>
        </w:rPr>
        <w:t>2</w:t>
      </w:r>
      <w:r w:rsidR="00234B4C">
        <w:rPr>
          <w:sz w:val="22"/>
        </w:rPr>
        <w:t xml:space="preserve"> volume</w:t>
      </w:r>
      <w:r w:rsidR="001E49B5" w:rsidRPr="0081374C">
        <w:rPr>
          <w:rFonts w:hint="eastAsia"/>
          <w:sz w:val="22"/>
        </w:rPr>
        <w:t xml:space="preserve"> indicators</w:t>
      </w:r>
      <w:r w:rsidR="00BB14CF">
        <w:rPr>
          <w:sz w:val="22"/>
        </w:rPr>
        <w:t xml:space="preserve"> </w:t>
      </w:r>
      <w:r w:rsidR="00234B4C">
        <w:rPr>
          <w:sz w:val="22"/>
        </w:rPr>
        <w:t xml:space="preserve">(OBV, </w:t>
      </w:r>
      <w:proofErr w:type="spellStart"/>
      <w:r w:rsidR="00234B4C">
        <w:rPr>
          <w:sz w:val="22"/>
        </w:rPr>
        <w:t>chaikinAD</w:t>
      </w:r>
      <w:proofErr w:type="spellEnd"/>
      <w:r w:rsidR="00234B4C">
        <w:rPr>
          <w:sz w:val="22"/>
        </w:rPr>
        <w:t>) are used</w:t>
      </w:r>
      <w:r w:rsidR="001E49B5" w:rsidRPr="0081374C">
        <w:rPr>
          <w:rFonts w:hint="eastAsia"/>
          <w:sz w:val="22"/>
        </w:rPr>
        <w:t xml:space="preserve"> to indicate money flow into </w:t>
      </w:r>
      <w:r w:rsidR="00234B4C">
        <w:rPr>
          <w:sz w:val="22"/>
        </w:rPr>
        <w:t xml:space="preserve">the </w:t>
      </w:r>
      <w:r w:rsidR="001E49B5" w:rsidRPr="0081374C">
        <w:rPr>
          <w:rFonts w:hint="eastAsia"/>
          <w:sz w:val="22"/>
        </w:rPr>
        <w:t>security</w:t>
      </w:r>
      <w:r w:rsidR="00234B4C">
        <w:rPr>
          <w:sz w:val="22"/>
        </w:rPr>
        <w:t xml:space="preserve">. </w:t>
      </w:r>
    </w:p>
    <w:p w:rsidR="00C41BE4" w:rsidRDefault="00C41BE4" w:rsidP="009043A6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M</w:t>
      </w:r>
      <w:r>
        <w:rPr>
          <w:b/>
          <w:sz w:val="22"/>
        </w:rPr>
        <w:t>odeling Process</w:t>
      </w:r>
    </w:p>
    <w:p w:rsidR="003442F2" w:rsidRPr="003442F2" w:rsidRDefault="003442F2" w:rsidP="009043A6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he modeling process is done for each security. Therefore, the process iterates 50 times. </w:t>
      </w:r>
    </w:p>
    <w:p w:rsidR="00D97011" w:rsidRDefault="00D97011" w:rsidP="00D97011">
      <w:pPr>
        <w:rPr>
          <w:sz w:val="22"/>
        </w:rPr>
      </w:pPr>
      <w:r w:rsidRPr="0081374C">
        <w:rPr>
          <w:rFonts w:hint="eastAsia"/>
          <w:sz w:val="22"/>
        </w:rPr>
        <w:t>What we want to know form the data, is whether the return will be positive or negative depending on indicators’ value.</w:t>
      </w:r>
      <w:r>
        <w:rPr>
          <w:sz w:val="22"/>
        </w:rPr>
        <w:t xml:space="preserve"> The “Class” of data will be “Up” if the daily return is positive, else, the class will be down. Since the indicators are bind to the data with 1 period lagging, it makes sense that the classification based on indicators is a matter of “prediction”.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162C61" w:rsidTr="007D0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2C61" w:rsidRDefault="007D048B" w:rsidP="007D048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ime Stamp</w:t>
            </w:r>
          </w:p>
        </w:tc>
        <w:tc>
          <w:tcPr>
            <w:tcW w:w="2093" w:type="dxa"/>
          </w:tcPr>
          <w:p w:rsidR="00162C61" w:rsidRPr="00162C61" w:rsidRDefault="007D048B" w:rsidP="007D0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HLCVA</w:t>
            </w:r>
          </w:p>
        </w:tc>
        <w:tc>
          <w:tcPr>
            <w:tcW w:w="2093" w:type="dxa"/>
          </w:tcPr>
          <w:p w:rsidR="00162C61" w:rsidRDefault="007D048B" w:rsidP="007D0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ndicators</w:t>
            </w:r>
          </w:p>
        </w:tc>
        <w:tc>
          <w:tcPr>
            <w:tcW w:w="2093" w:type="dxa"/>
          </w:tcPr>
          <w:p w:rsidR="00162C61" w:rsidRDefault="007D048B" w:rsidP="007D0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lass Predict</w:t>
            </w:r>
          </w:p>
        </w:tc>
        <w:tc>
          <w:tcPr>
            <w:tcW w:w="2094" w:type="dxa"/>
          </w:tcPr>
          <w:p w:rsidR="00162C61" w:rsidRDefault="007D048B" w:rsidP="007D0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lass true</w:t>
            </w:r>
          </w:p>
        </w:tc>
      </w:tr>
      <w:tr w:rsidR="00162C61" w:rsidTr="006B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62C61" w:rsidRDefault="009B50A6" w:rsidP="00D97011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2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093" w:type="dxa"/>
          </w:tcPr>
          <w:p w:rsidR="00162C61" w:rsidRDefault="007D048B" w:rsidP="00D9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OHLCV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093" w:type="dxa"/>
          </w:tcPr>
          <w:p w:rsidR="00162C61" w:rsidRPr="007D048B" w:rsidRDefault="009B50A6" w:rsidP="00D9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  <w:p w:rsidR="007D048B" w:rsidRPr="007D048B" w:rsidRDefault="007D048B" w:rsidP="00D9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93" w:type="dxa"/>
          </w:tcPr>
          <w:p w:rsidR="007D048B" w:rsidRPr="007D048B" w:rsidRDefault="009B50A6" w:rsidP="00D9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094" w:type="dxa"/>
          </w:tcPr>
          <w:p w:rsidR="00162C61" w:rsidRPr="007D048B" w:rsidRDefault="009B50A6" w:rsidP="00D9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oMath>
            </m:oMathPara>
          </w:p>
          <w:p w:rsidR="007D048B" w:rsidRPr="007D048B" w:rsidRDefault="007D048B" w:rsidP="00D9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1E49B5" w:rsidRDefault="0095053E" w:rsidP="001E49B5">
      <w:pPr>
        <w:rPr>
          <w:sz w:val="22"/>
        </w:rPr>
      </w:pPr>
      <w:r>
        <w:rPr>
          <w:sz w:val="22"/>
        </w:rPr>
        <w:t xml:space="preserve">I though </w:t>
      </w:r>
      <w:r w:rsidR="00E11D6E">
        <w:rPr>
          <w:sz w:val="22"/>
        </w:rPr>
        <w:t>3</w:t>
      </w:r>
      <w:r>
        <w:rPr>
          <w:sz w:val="22"/>
        </w:rPr>
        <w:t xml:space="preserve"> is the appropriate number of indicators for the simple model. </w:t>
      </w:r>
      <w:r w:rsidR="00E11D6E">
        <w:rPr>
          <w:sz w:val="22"/>
        </w:rPr>
        <w:t>And t</w:t>
      </w:r>
      <w:r w:rsidR="006B2804">
        <w:rPr>
          <w:sz w:val="22"/>
        </w:rPr>
        <w:t xml:space="preserve">he </w:t>
      </w:r>
      <w:r>
        <w:rPr>
          <w:sz w:val="22"/>
        </w:rPr>
        <w:t xml:space="preserve">indicators should be uncorrelated. If the variables are correlated, the Linearly Dependent variable is redundant and gives only confusion for the modeling and interpreting. </w:t>
      </w:r>
      <w:r w:rsidR="002955C1">
        <w:rPr>
          <w:sz w:val="22"/>
        </w:rPr>
        <w:t>Therefore, I</w:t>
      </w:r>
      <w:r w:rsidR="0069612F">
        <w:rPr>
          <w:sz w:val="22"/>
        </w:rPr>
        <w:t xml:space="preserve"> ma</w:t>
      </w:r>
      <w:r w:rsidR="00E11D6E">
        <w:rPr>
          <w:sz w:val="22"/>
        </w:rPr>
        <w:t>d</w:t>
      </w:r>
      <w:r w:rsidR="0069612F">
        <w:rPr>
          <w:sz w:val="22"/>
        </w:rPr>
        <w:t xml:space="preserve">e correlation coefficient matrix for 14 indicators, and chose all possible non-correlated sets of 3 indicators. Let the number of sets is </w:t>
      </w:r>
      <w:r w:rsidR="0069612F" w:rsidRPr="0069612F">
        <w:rPr>
          <w:i/>
          <w:sz w:val="22"/>
          <w:u w:val="single"/>
        </w:rPr>
        <w:t>n</w:t>
      </w:r>
      <w:r w:rsidR="0069612F">
        <w:rPr>
          <w:sz w:val="22"/>
        </w:rPr>
        <w:t>.</w:t>
      </w:r>
      <w:r w:rsidR="006B2804">
        <w:rPr>
          <w:sz w:val="22"/>
        </w:rPr>
        <w:t xml:space="preserve"> </w:t>
      </w:r>
      <w:r w:rsidR="00E11D6E">
        <w:rPr>
          <w:sz w:val="22"/>
        </w:rPr>
        <w:t xml:space="preserve"> With S</w:t>
      </w:r>
      <w:r w:rsidR="0069612F">
        <w:rPr>
          <w:sz w:val="22"/>
        </w:rPr>
        <w:t>tratified Random partitioning</w:t>
      </w:r>
      <w:r w:rsidR="00E11D6E">
        <w:rPr>
          <w:sz w:val="22"/>
        </w:rPr>
        <w:t>,</w:t>
      </w:r>
      <w:r w:rsidR="0069612F">
        <w:rPr>
          <w:sz w:val="22"/>
        </w:rPr>
        <w:t xml:space="preserve"> </w:t>
      </w:r>
      <w:r w:rsidR="00E11D6E">
        <w:rPr>
          <w:sz w:val="22"/>
        </w:rPr>
        <w:t xml:space="preserve">I’ve </w:t>
      </w:r>
      <w:r w:rsidR="0069612F">
        <w:rPr>
          <w:sz w:val="22"/>
        </w:rPr>
        <w:t>spli</w:t>
      </w:r>
      <w:r w:rsidR="00E11D6E">
        <w:rPr>
          <w:sz w:val="22"/>
        </w:rPr>
        <w:t>t</w:t>
      </w:r>
      <w:r w:rsidR="0069612F">
        <w:rPr>
          <w:sz w:val="22"/>
        </w:rPr>
        <w:t xml:space="preserve"> data randomly into train set and test set. </w:t>
      </w:r>
      <w:r w:rsidR="0069612F" w:rsidRPr="0081374C">
        <w:rPr>
          <w:rFonts w:hint="eastAsia"/>
          <w:sz w:val="22"/>
        </w:rPr>
        <w:t xml:space="preserve">Purpose of doing this is to prevent the predict model is overfitted </w:t>
      </w:r>
      <w:r w:rsidR="0069612F">
        <w:rPr>
          <w:sz w:val="22"/>
        </w:rPr>
        <w:t xml:space="preserve">only </w:t>
      </w:r>
      <w:r w:rsidR="0069612F" w:rsidRPr="0081374C">
        <w:rPr>
          <w:rFonts w:hint="eastAsia"/>
          <w:sz w:val="22"/>
        </w:rPr>
        <w:t>to the given data.</w:t>
      </w:r>
      <w:r w:rsidR="00E11D6E">
        <w:rPr>
          <w:sz w:val="22"/>
        </w:rPr>
        <w:t xml:space="preserve"> </w:t>
      </w:r>
      <w:r w:rsidR="006B2804">
        <w:rPr>
          <w:sz w:val="22"/>
        </w:rPr>
        <w:t xml:space="preserve">With train data, I made </w:t>
      </w:r>
      <w:r w:rsidR="006B2804">
        <w:rPr>
          <w:i/>
          <w:sz w:val="22"/>
          <w:u w:val="single"/>
        </w:rPr>
        <w:t>n</w:t>
      </w:r>
      <w:r w:rsidR="006B2804">
        <w:rPr>
          <w:sz w:val="22"/>
        </w:rPr>
        <w:t xml:space="preserve"> models </w:t>
      </w:r>
      <w:r w:rsidR="00B9018C">
        <w:rPr>
          <w:sz w:val="22"/>
        </w:rPr>
        <w:t>of decision Tree. And with test set, I calculated the accuracy of each model. The accuracy is yielded as</w:t>
      </w:r>
      <w:r w:rsidR="00494181">
        <w:rPr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the number of</m:t>
            </m:r>
            <m:acc>
              <m:accPr>
                <m:ctrlPr>
                  <w:rPr>
                    <w:rFonts w:ascii="Cambria Math" w:hAnsi="Cambria Math"/>
                    <w:sz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2"/>
              </w:rPr>
              <m:t>=Y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the number of observations</m:t>
            </m:r>
          </m:den>
        </m:f>
      </m:oMath>
      <w:r w:rsidR="00494181">
        <w:rPr>
          <w:sz w:val="22"/>
        </w:rPr>
        <w:t xml:space="preserve"> </w:t>
      </w:r>
      <w:r w:rsidR="00E11D6E">
        <w:rPr>
          <w:rFonts w:hint="eastAsia"/>
          <w:sz w:val="22"/>
        </w:rPr>
        <w:t xml:space="preserve">. </w:t>
      </w:r>
      <w:r w:rsidR="00E11D6E">
        <w:rPr>
          <w:sz w:val="22"/>
        </w:rPr>
        <w:t xml:space="preserve">Among </w:t>
      </w:r>
      <w:r w:rsidR="00E11D6E">
        <w:rPr>
          <w:i/>
          <w:sz w:val="22"/>
          <w:u w:val="single"/>
        </w:rPr>
        <w:t>n</w:t>
      </w:r>
      <w:r w:rsidR="00E11D6E">
        <w:rPr>
          <w:sz w:val="22"/>
        </w:rPr>
        <w:t xml:space="preserve"> models generated, </w:t>
      </w:r>
      <w:r w:rsidR="00973699">
        <w:rPr>
          <w:sz w:val="22"/>
        </w:rPr>
        <w:t xml:space="preserve">choose the model with maximum accuracy. </w:t>
      </w:r>
      <w:r w:rsidR="001E49B5" w:rsidRPr="0081374C">
        <w:rPr>
          <w:rFonts w:hint="eastAsia"/>
          <w:sz w:val="22"/>
        </w:rPr>
        <w:t>Since our class is binomial, I thought the model should be better than just randomly choosing the class.</w:t>
      </w:r>
      <w:r w:rsidR="00973699">
        <w:rPr>
          <w:sz w:val="22"/>
        </w:rPr>
        <w:t xml:space="preserve"> </w:t>
      </w:r>
      <w:r w:rsidR="001E49B5" w:rsidRPr="0081374C">
        <w:rPr>
          <w:rFonts w:hint="eastAsia"/>
          <w:sz w:val="22"/>
        </w:rPr>
        <w:t>Therefore, I have set the threshold as 0.57 which is slightly higher than 0.5</w:t>
      </w:r>
      <w:r w:rsidR="00973699">
        <w:rPr>
          <w:sz w:val="22"/>
        </w:rPr>
        <w:t xml:space="preserve"> </w:t>
      </w:r>
      <w:r w:rsidR="001E49B5" w:rsidRPr="0081374C">
        <w:rPr>
          <w:rFonts w:hint="eastAsia"/>
          <w:sz w:val="22"/>
        </w:rPr>
        <w:t>Now we have 15 securities and models</w:t>
      </w:r>
      <w:r w:rsidR="00973699">
        <w:rPr>
          <w:sz w:val="22"/>
        </w:rPr>
        <w:t>.</w:t>
      </w:r>
    </w:p>
    <w:p w:rsidR="001E49B5" w:rsidRPr="0081374C" w:rsidRDefault="00973699" w:rsidP="00017444">
      <w:pPr>
        <w:rPr>
          <w:sz w:val="22"/>
        </w:rPr>
      </w:pPr>
      <w:r w:rsidRPr="00467825">
        <w:rPr>
          <w:b/>
          <w:sz w:val="22"/>
        </w:rPr>
        <w:t>[Attachment1]</w:t>
      </w:r>
      <w:r>
        <w:rPr>
          <w:sz w:val="22"/>
        </w:rPr>
        <w:t xml:space="preserve"> shows a simple tree </w:t>
      </w:r>
      <w:r w:rsidR="00467825">
        <w:rPr>
          <w:sz w:val="22"/>
        </w:rPr>
        <w:t xml:space="preserve">of a security. </w:t>
      </w:r>
      <w:r w:rsidR="001E49B5" w:rsidRPr="0081374C">
        <w:rPr>
          <w:rFonts w:hint="eastAsia"/>
          <w:sz w:val="22"/>
        </w:rPr>
        <w:t xml:space="preserve">We can interpret this strategy as if CMO is </w:t>
      </w:r>
      <w:r w:rsidR="00017444">
        <w:rPr>
          <w:sz w:val="22"/>
        </w:rPr>
        <w:t>equal to or greater than</w:t>
      </w:r>
      <w:r w:rsidR="001E49B5" w:rsidRPr="0081374C">
        <w:rPr>
          <w:rFonts w:hint="eastAsia"/>
          <w:sz w:val="22"/>
        </w:rPr>
        <w:t xml:space="preserve"> 56, the observation will go down at 37% chance.</w:t>
      </w:r>
      <w:r>
        <w:rPr>
          <w:sz w:val="22"/>
        </w:rPr>
        <w:t xml:space="preserve"> </w:t>
      </w:r>
      <w:r w:rsidR="001E49B5" w:rsidRPr="0081374C">
        <w:rPr>
          <w:rFonts w:hint="eastAsia"/>
          <w:sz w:val="22"/>
        </w:rPr>
        <w:t>Otherwise, CMO has 57% chance of going up.</w:t>
      </w:r>
      <w:r>
        <w:rPr>
          <w:sz w:val="22"/>
        </w:rPr>
        <w:t xml:space="preserve"> </w:t>
      </w:r>
      <w:r w:rsidR="001E49B5" w:rsidRPr="0081374C">
        <w:rPr>
          <w:rFonts w:hint="eastAsia"/>
          <w:sz w:val="22"/>
        </w:rPr>
        <w:t xml:space="preserve">With this model, we can make signal such as </w:t>
      </w:r>
      <w:r w:rsidR="00017444">
        <w:rPr>
          <w:sz w:val="22"/>
        </w:rPr>
        <w:t xml:space="preserve">to </w:t>
      </w:r>
      <w:r w:rsidR="001E49B5" w:rsidRPr="0081374C">
        <w:rPr>
          <w:rFonts w:hint="eastAsia"/>
          <w:sz w:val="22"/>
        </w:rPr>
        <w:t xml:space="preserve">buy when </w:t>
      </w:r>
      <w:r w:rsidR="00467825">
        <w:rPr>
          <w:sz w:val="22"/>
        </w:rPr>
        <w:t>CMO</w:t>
      </w:r>
      <w:r w:rsidR="001E49B5" w:rsidRPr="0081374C">
        <w:rPr>
          <w:rFonts w:hint="eastAsia"/>
          <w:sz w:val="22"/>
        </w:rPr>
        <w:t xml:space="preserve"> is under </w:t>
      </w:r>
      <w:proofErr w:type="gramStart"/>
      <w:r w:rsidR="001E49B5" w:rsidRPr="0081374C">
        <w:rPr>
          <w:rFonts w:hint="eastAsia"/>
          <w:sz w:val="22"/>
        </w:rPr>
        <w:t>56,</w:t>
      </w:r>
      <w:r w:rsidR="00C253E8">
        <w:rPr>
          <w:sz w:val="22"/>
        </w:rPr>
        <w:t xml:space="preserve"> </w:t>
      </w:r>
      <w:r w:rsidR="001E49B5" w:rsidRPr="0081374C">
        <w:rPr>
          <w:rFonts w:hint="eastAsia"/>
          <w:sz w:val="22"/>
        </w:rPr>
        <w:t>and</w:t>
      </w:r>
      <w:proofErr w:type="gramEnd"/>
      <w:r w:rsidR="001E49B5" w:rsidRPr="0081374C">
        <w:rPr>
          <w:rFonts w:hint="eastAsia"/>
          <w:sz w:val="22"/>
        </w:rPr>
        <w:t xml:space="preserve"> sell otherwise.</w:t>
      </w:r>
    </w:p>
    <w:p w:rsidR="001E49B5" w:rsidRPr="0081374C" w:rsidRDefault="00643E82" w:rsidP="00C253E8">
      <w:pPr>
        <w:rPr>
          <w:sz w:val="22"/>
        </w:rPr>
      </w:pPr>
      <w:r w:rsidRPr="00643E82">
        <w:rPr>
          <w:b/>
          <w:sz w:val="22"/>
        </w:rPr>
        <w:t xml:space="preserve">[Attachment 2] </w:t>
      </w:r>
      <w:r w:rsidRPr="00643E82">
        <w:rPr>
          <w:sz w:val="22"/>
        </w:rPr>
        <w:t xml:space="preserve">compares the 3 years annualized return of my 15 models to null status. Null status means that buying the security at starting point and sell at ending period. </w:t>
      </w:r>
      <w:r>
        <w:rPr>
          <w:sz w:val="22"/>
        </w:rPr>
        <w:t xml:space="preserve">We can observe that </w:t>
      </w:r>
      <w:r w:rsidR="001B7E03">
        <w:rPr>
          <w:sz w:val="22"/>
        </w:rPr>
        <w:t xml:space="preserve">ARNC and NTFLX show remarkable annualized return compared to null status. And both also has very high Sharpe Ratio at 7.5049 and 6.0031. </w:t>
      </w:r>
      <w:r w:rsidR="00C253E8">
        <w:rPr>
          <w:sz w:val="22"/>
        </w:rPr>
        <w:t xml:space="preserve"> With </w:t>
      </w:r>
      <w:r w:rsidR="00C253E8">
        <w:rPr>
          <w:b/>
          <w:sz w:val="22"/>
        </w:rPr>
        <w:t xml:space="preserve">[Attachment 3] </w:t>
      </w:r>
      <w:r w:rsidR="00C253E8">
        <w:rPr>
          <w:sz w:val="22"/>
        </w:rPr>
        <w:t>showing the drawdowns, cumulative return and hit ratio of ARNC, w</w:t>
      </w:r>
      <w:r w:rsidR="001E49B5" w:rsidRPr="0081374C">
        <w:rPr>
          <w:rFonts w:hint="eastAsia"/>
          <w:sz w:val="22"/>
        </w:rPr>
        <w:t xml:space="preserve">e can observe that </w:t>
      </w:r>
      <w:r w:rsidR="00C253E8">
        <w:rPr>
          <w:sz w:val="22"/>
        </w:rPr>
        <w:t>c</w:t>
      </w:r>
      <w:r w:rsidR="001E49B5" w:rsidRPr="0081374C">
        <w:rPr>
          <w:rFonts w:hint="eastAsia"/>
          <w:sz w:val="22"/>
        </w:rPr>
        <w:t>um</w:t>
      </w:r>
      <w:r w:rsidR="00C253E8">
        <w:rPr>
          <w:sz w:val="22"/>
        </w:rPr>
        <w:t>ul</w:t>
      </w:r>
      <w:r w:rsidR="001E49B5" w:rsidRPr="0081374C">
        <w:rPr>
          <w:rFonts w:hint="eastAsia"/>
          <w:sz w:val="22"/>
        </w:rPr>
        <w:t xml:space="preserve">ative return is much higher </w:t>
      </w:r>
      <w:r w:rsidR="00C253E8">
        <w:rPr>
          <w:sz w:val="22"/>
        </w:rPr>
        <w:t xml:space="preserve">at 139.23 </w:t>
      </w:r>
      <w:r w:rsidR="001E49B5" w:rsidRPr="0081374C">
        <w:rPr>
          <w:rFonts w:hint="eastAsia"/>
          <w:sz w:val="22"/>
        </w:rPr>
        <w:t xml:space="preserve">and </w:t>
      </w:r>
      <w:r w:rsidR="00C253E8">
        <w:rPr>
          <w:sz w:val="22"/>
        </w:rPr>
        <w:t xml:space="preserve">has </w:t>
      </w:r>
      <w:r w:rsidR="001E49B5" w:rsidRPr="0081374C">
        <w:rPr>
          <w:rFonts w:hint="eastAsia"/>
          <w:sz w:val="22"/>
        </w:rPr>
        <w:t>consistent upward slope</w:t>
      </w:r>
      <w:r w:rsidR="00C253E8">
        <w:rPr>
          <w:sz w:val="22"/>
        </w:rPr>
        <w:t>. In addition, i</w:t>
      </w:r>
      <w:r w:rsidR="001E49B5" w:rsidRPr="0081374C">
        <w:rPr>
          <w:rFonts w:hint="eastAsia"/>
          <w:sz w:val="22"/>
        </w:rPr>
        <w:t>n contrast to Null’s steep (max -0.6 )and frequent drawdowns, portfolio show less frequent and s</w:t>
      </w:r>
      <w:r w:rsidR="00C253E8">
        <w:rPr>
          <w:sz w:val="22"/>
        </w:rPr>
        <w:t xml:space="preserve">hallow drawdowns ( max -0.2). </w:t>
      </w:r>
      <w:bookmarkStart w:id="0" w:name="_GoBack"/>
      <w:bookmarkEnd w:id="0"/>
    </w:p>
    <w:p w:rsidR="001E49B5" w:rsidRPr="0081374C" w:rsidRDefault="001E49B5">
      <w:pPr>
        <w:rPr>
          <w:sz w:val="22"/>
        </w:rPr>
      </w:pPr>
    </w:p>
    <w:sectPr w:rsidR="001E49B5" w:rsidRPr="0081374C" w:rsidSect="001311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0A6" w:rsidRDefault="009B50A6" w:rsidP="00561175">
      <w:pPr>
        <w:spacing w:after="0" w:line="240" w:lineRule="auto"/>
      </w:pPr>
      <w:r>
        <w:separator/>
      </w:r>
    </w:p>
  </w:endnote>
  <w:endnote w:type="continuationSeparator" w:id="0">
    <w:p w:rsidR="009B50A6" w:rsidRDefault="009B50A6" w:rsidP="00561175">
      <w:pPr>
        <w:spacing w:after="0" w:line="240" w:lineRule="auto"/>
      </w:pPr>
      <w:r>
        <w:continuationSeparator/>
      </w:r>
    </w:p>
  </w:endnote>
  <w:endnote w:id="1">
    <w:p w:rsidR="00D87467" w:rsidRDefault="00D87467">
      <w:pPr>
        <w:pStyle w:val="a5"/>
      </w:pPr>
      <w:r>
        <w:rPr>
          <w:rStyle w:val="a6"/>
        </w:rPr>
        <w:endnoteRef/>
      </w:r>
      <w:r>
        <w:t xml:space="preserve"> </w:t>
      </w:r>
      <w:r w:rsidRPr="00D87467">
        <w:t>Sharpe Ratio Range of Possible Values. (</w:t>
      </w:r>
      <w:proofErr w:type="spellStart"/>
      <w:r w:rsidRPr="00D87467">
        <w:t>n.d.</w:t>
      </w:r>
      <w:proofErr w:type="spellEnd"/>
      <w:r w:rsidRPr="00D87467">
        <w:t>). Retrieved December 13, 2017, from</w:t>
      </w:r>
      <w:r>
        <w:t xml:space="preserve"> </w:t>
      </w:r>
      <w:hyperlink r:id="rId1" w:history="1">
        <w:r w:rsidR="00AA68C1" w:rsidRPr="00480E8E">
          <w:rPr>
            <w:rStyle w:val="a9"/>
          </w:rPr>
          <w:t>http://www.macroption.com/sharpe-ratio-range/</w:t>
        </w:r>
      </w:hyperlink>
    </w:p>
    <w:p w:rsidR="00AA68C1" w:rsidRDefault="00AA68C1">
      <w:pPr>
        <w:pStyle w:val="a5"/>
      </w:pPr>
    </w:p>
    <w:p w:rsidR="00AA68C1" w:rsidRDefault="00AA68C1">
      <w:pPr>
        <w:pStyle w:val="a5"/>
        <w:rPr>
          <w:b/>
        </w:rPr>
      </w:pPr>
      <w:r>
        <w:rPr>
          <w:b/>
        </w:rPr>
        <w:t>[Attachment 1]</w:t>
      </w:r>
    </w:p>
    <w:p w:rsidR="00AA68C1" w:rsidRDefault="00AA68C1">
      <w:pPr>
        <w:pStyle w:val="a5"/>
        <w:rPr>
          <w:b/>
        </w:rPr>
      </w:pPr>
      <w:r>
        <w:rPr>
          <w:b/>
          <w:noProof/>
        </w:rPr>
        <w:drawing>
          <wp:inline distT="0" distB="0" distL="0" distR="0">
            <wp:extent cx="3162300" cy="1859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9" t="30489" r="23907" b="30964"/>
                    <a:stretch/>
                  </pic:blipFill>
                  <pic:spPr bwMode="auto">
                    <a:xfrm>
                      <a:off x="0" y="0"/>
                      <a:ext cx="3162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8C1" w:rsidRDefault="00AA68C1">
      <w:pPr>
        <w:pStyle w:val="a5"/>
        <w:rPr>
          <w:b/>
        </w:rPr>
      </w:pPr>
      <w:r>
        <w:rPr>
          <w:rFonts w:hint="eastAsia"/>
          <w:b/>
        </w:rPr>
        <w:t>[</w:t>
      </w:r>
      <w:r>
        <w:rPr>
          <w:b/>
        </w:rPr>
        <w:t>Attachment 2]</w:t>
      </w:r>
    </w:p>
    <w:p w:rsidR="00AA68C1" w:rsidRDefault="00643E82">
      <w:pPr>
        <w:pStyle w:val="a5"/>
        <w:rPr>
          <w:b/>
        </w:rPr>
      </w:pPr>
      <w:r>
        <w:rPr>
          <w:b/>
          <w:noProof/>
          <w:sz w:val="22"/>
        </w:rPr>
        <w:drawing>
          <wp:inline distT="0" distB="0" distL="0" distR="0" wp14:anchorId="5ECB0826" wp14:editId="2E0482B5">
            <wp:extent cx="6644640" cy="24155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38"/>
                    <a:stretch/>
                  </pic:blipFill>
                  <pic:spPr bwMode="auto">
                    <a:xfrm>
                      <a:off x="0" y="0"/>
                      <a:ext cx="66446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3E8" w:rsidRDefault="00C253E8">
      <w:pPr>
        <w:pStyle w:val="a5"/>
        <w:rPr>
          <w:b/>
        </w:rPr>
      </w:pPr>
      <w:r>
        <w:rPr>
          <w:b/>
        </w:rPr>
        <w:t>[Attachment 3]</w:t>
      </w:r>
    </w:p>
    <w:p w:rsidR="00C253E8" w:rsidRPr="00C253E8" w:rsidRDefault="00C253E8">
      <w:pPr>
        <w:pStyle w:val="a5"/>
        <w:rPr>
          <w:rFonts w:hint="eastAsia"/>
          <w:b/>
        </w:rPr>
      </w:pPr>
      <w:r>
        <w:rPr>
          <w:noProof/>
          <w:sz w:val="22"/>
        </w:rPr>
        <w:drawing>
          <wp:inline distT="0" distB="0" distL="0" distR="0" wp14:anchorId="6E20C88B" wp14:editId="7ABA5F2C">
            <wp:extent cx="6644640" cy="374142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0A6" w:rsidRDefault="009B50A6" w:rsidP="00561175">
      <w:pPr>
        <w:spacing w:after="0" w:line="240" w:lineRule="auto"/>
      </w:pPr>
      <w:r>
        <w:separator/>
      </w:r>
    </w:p>
  </w:footnote>
  <w:footnote w:type="continuationSeparator" w:id="0">
    <w:p w:rsidR="009B50A6" w:rsidRDefault="009B50A6" w:rsidP="00561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14AD9"/>
    <w:multiLevelType w:val="hybridMultilevel"/>
    <w:tmpl w:val="6908CB36"/>
    <w:lvl w:ilvl="0" w:tplc="93B63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52A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E47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20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0C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A1F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D4F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327B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BAD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B5"/>
    <w:rsid w:val="00017444"/>
    <w:rsid w:val="00076A3F"/>
    <w:rsid w:val="000A3EE5"/>
    <w:rsid w:val="000E7E5C"/>
    <w:rsid w:val="00114D50"/>
    <w:rsid w:val="00131116"/>
    <w:rsid w:val="00162C61"/>
    <w:rsid w:val="00192372"/>
    <w:rsid w:val="001B7E03"/>
    <w:rsid w:val="001E49B5"/>
    <w:rsid w:val="001F26D6"/>
    <w:rsid w:val="00231DD4"/>
    <w:rsid w:val="00234B4C"/>
    <w:rsid w:val="0024108C"/>
    <w:rsid w:val="002955C1"/>
    <w:rsid w:val="002C3A6F"/>
    <w:rsid w:val="00322E26"/>
    <w:rsid w:val="00324F41"/>
    <w:rsid w:val="003442F2"/>
    <w:rsid w:val="0036593D"/>
    <w:rsid w:val="003B4A3D"/>
    <w:rsid w:val="00400F4D"/>
    <w:rsid w:val="00465CF3"/>
    <w:rsid w:val="00467825"/>
    <w:rsid w:val="004735D4"/>
    <w:rsid w:val="00494181"/>
    <w:rsid w:val="00507BF6"/>
    <w:rsid w:val="00561175"/>
    <w:rsid w:val="00643E82"/>
    <w:rsid w:val="00682119"/>
    <w:rsid w:val="0069612F"/>
    <w:rsid w:val="006B2804"/>
    <w:rsid w:val="006C1D72"/>
    <w:rsid w:val="006E4B3B"/>
    <w:rsid w:val="00702FF2"/>
    <w:rsid w:val="007068B3"/>
    <w:rsid w:val="00754965"/>
    <w:rsid w:val="00794B4B"/>
    <w:rsid w:val="007D048B"/>
    <w:rsid w:val="007D2E8D"/>
    <w:rsid w:val="0081374C"/>
    <w:rsid w:val="008A1FA3"/>
    <w:rsid w:val="009043A6"/>
    <w:rsid w:val="0095053E"/>
    <w:rsid w:val="00973699"/>
    <w:rsid w:val="009B50A6"/>
    <w:rsid w:val="00A46C3E"/>
    <w:rsid w:val="00A61234"/>
    <w:rsid w:val="00AA68C1"/>
    <w:rsid w:val="00AC38AD"/>
    <w:rsid w:val="00B3688D"/>
    <w:rsid w:val="00B9018C"/>
    <w:rsid w:val="00BB14CF"/>
    <w:rsid w:val="00C253E8"/>
    <w:rsid w:val="00C41BE4"/>
    <w:rsid w:val="00C863BE"/>
    <w:rsid w:val="00CE6A2E"/>
    <w:rsid w:val="00D87467"/>
    <w:rsid w:val="00D97011"/>
    <w:rsid w:val="00E11D6E"/>
    <w:rsid w:val="00E27A0C"/>
    <w:rsid w:val="00E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FA315"/>
  <w15:chartTrackingRefBased/>
  <w15:docId w15:val="{15215C1A-F207-4DDA-93F9-F17E8BFC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1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1175"/>
  </w:style>
  <w:style w:type="paragraph" w:styleId="a4">
    <w:name w:val="footer"/>
    <w:basedOn w:val="a"/>
    <w:link w:val="Char0"/>
    <w:uiPriority w:val="99"/>
    <w:unhideWhenUsed/>
    <w:rsid w:val="005611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1175"/>
  </w:style>
  <w:style w:type="paragraph" w:styleId="a5">
    <w:name w:val="endnote text"/>
    <w:basedOn w:val="a"/>
    <w:link w:val="Char1"/>
    <w:uiPriority w:val="99"/>
    <w:semiHidden/>
    <w:unhideWhenUsed/>
    <w:rsid w:val="00D87467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D87467"/>
  </w:style>
  <w:style w:type="character" w:styleId="a6">
    <w:name w:val="endnote reference"/>
    <w:basedOn w:val="a0"/>
    <w:uiPriority w:val="99"/>
    <w:semiHidden/>
    <w:unhideWhenUsed/>
    <w:rsid w:val="00D87467"/>
    <w:rPr>
      <w:vertAlign w:val="superscript"/>
    </w:rPr>
  </w:style>
  <w:style w:type="table" w:styleId="a7">
    <w:name w:val="Table Grid"/>
    <w:basedOn w:val="a1"/>
    <w:uiPriority w:val="39"/>
    <w:rsid w:val="001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62C61"/>
    <w:rPr>
      <w:color w:val="808080"/>
    </w:rPr>
  </w:style>
  <w:style w:type="table" w:styleId="2">
    <w:name w:val="Plain Table 2"/>
    <w:basedOn w:val="a1"/>
    <w:uiPriority w:val="42"/>
    <w:rsid w:val="007D04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rsid w:val="00AA68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A68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2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www.macroption.com/sharpe-ratio-range/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ACE01-2A46-4DAA-B8C4-769167E0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김규철</dc:creator>
  <cp:keywords/>
  <dc:description/>
  <cp:lastModifiedBy>김규철</cp:lastModifiedBy>
  <cp:revision>8</cp:revision>
  <dcterms:created xsi:type="dcterms:W3CDTF">2017-12-07T08:44:00Z</dcterms:created>
  <dcterms:modified xsi:type="dcterms:W3CDTF">2017-12-13T17:02:00Z</dcterms:modified>
</cp:coreProperties>
</file>