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eastAsia="Calibri"/>
          <w:b/>
        </w:rPr>
      </w:pPr>
      <w:r>
        <w:rPr>
          <w:rFonts w:eastAsia="Calibri"/>
          <w:b/>
        </w:rPr>
        <w:t>ВАРИАНТ 3</w:t>
      </w:r>
    </w:p>
    <w:p>
      <w:pPr>
        <w:spacing w:after="200" w:line="276" w:lineRule="auto"/>
        <w:widowControl/>
        <w:rPr>
          <w:rFonts w:ascii="Calibri" w:hAnsi="Calibri" w:eastAsia="Calibri"/>
          <w:sz w:val="22"/>
          <w:szCs w:val="22"/>
        </w:rPr>
      </w:pPr>
      <w:r>
        <w:rPr>
          <w:rFonts w:eastAsia="Calibri"/>
          <w:b/>
          <w:i/>
        </w:rPr>
        <w:t>1.     Решить 10 тестовых заданий, выбрав 1 правильный ответ:</w:t>
      </w:r>
      <w:r>
        <w:rPr>
          <w:rFonts w:ascii="Calibri" w:hAnsi="Calibri" w:eastAsia="Calibri"/>
          <w:sz w:val="22"/>
          <w:szCs w:val="22"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1. Биодоступность лекарственных средств это: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количество препарата, всосавшегося в желудочно-кишечном тракте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количество препарата, не связанного с белками плазмы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количество препарата, поступающего в системный кровоток, по отношению к введенной дозе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время, за которое концентрация вещества в плазме снижается на 50 %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скорость удаления вещества из организма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2. Механизм действия антиаритмических лекарственных средств I класса (хинидин, прокаинамид):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блокируют β-адренорецепторы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блокируют калиевые трансмембранные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блокирует кальциевые каналы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г) блокируют натриевые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ингибируют If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3. В основе антиангинального эффекта β-адреноблокаторов лежит их способность: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а) снижать частоту и силу сердечных сокращений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увеличивать сердечный выброс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замедлять проведение возбуждения в атриовентрикулярном узле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увеличивать коронарный кровоток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ингибировать АПФ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4. Препараты выбора для терапии пиелонефрита: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амфениколы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тетрациклины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фторхинолоны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ко-тримаксозолы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уроантисептики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5. При лечении бронхиальной астмы глюкокортикоидами предпочтение отдают их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ингаляционным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инъекционным формам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пероральным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наружным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не используют в терапии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6. Гастропротектор, который является аналогом ПГЕ1: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висмута субнитрат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сукральфат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висмута субсалицилат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г) мизопростол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карбеноксолон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7. Препараты инсулина длительного действия: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новорапид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инсулин Лизпро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цинк - суспензия кристаллического инсулина человека - ультратард НМ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суспензия изофана человеческого инсулина – протафан НМ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раствор человеческого инсулина – хумулин регуляр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8. Для лечения железодефицитной анемия у детей раннего возраста предпочтение отдают: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твердым лекарственным формам (ЛФ)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б) жидким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имплантационным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ингаляционным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мягким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9. При использовании антидепрессантов – ингибиторов МАО на фоне диеты, изобилующей продуктами,  содержащими тирамин наблюдается: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а) стимуляция симпато-адреналовой системы и повышение АД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угнетение симпато-адреналовой системы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антихолинергический эффект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ваготония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холиномиметический эффект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10. Группа антибиотиков, действующих только на  грамотрицательную флору: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биосинтетические пенициллины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тетрациклины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макролиды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аминогликозиды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 xml:space="preserve">д) полимиксины </w:t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</w:rPr>
        <w:t>2</w:t>
      </w:r>
      <w:r>
        <w:rPr>
          <w:rFonts w:eastAsia="Calibri"/>
          <w:b/>
          <w:i/>
        </w:rPr>
        <w:t>.     Фармакологические подходы к выбору и применению лекарственных сре</w:t>
      </w:r>
      <w:r>
        <w:rPr>
          <w:rFonts w:eastAsia="Calibri"/>
          <w:b/>
          <w:i/>
        </w:rPr>
        <w:t>дств пр</w:t>
      </w:r>
      <w:r>
        <w:rPr>
          <w:rFonts w:eastAsia="Calibri"/>
          <w:b/>
          <w:i/>
        </w:rPr>
        <w:t>и неврозах.</w:t>
      </w:r>
      <w:r>
        <w:rPr>
          <w:rFonts w:eastAsia="Calibri"/>
          <w:b/>
          <w:i/>
        </w:rPr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  <w:t>3.  Заполнить таблицу:</w:t>
      </w:r>
    </w:p>
    <w:tbl>
      <w:tblPr>
        <w:jc w:val="left"/>
        <w:tblInd w:w="-166" w:type="dxa"/>
        <w:tblW w:w="9916" w:type="dxa"/>
      </w:tblPr>
      <w:tblGrid>
        <w:gridCol w:w="2423"/>
        <w:gridCol w:w="2703"/>
        <w:gridCol w:w="2545"/>
        <w:gridCol w:w="2245"/>
      </w:tblGrid>
      <w:tr>
        <w:trPr>
          <w:trHeight w:val="68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Показатель/</w:t>
            </w:r>
            <w:r/>
          </w:p>
          <w:p>
            <w:pPr>
              <w:widowControl/>
            </w:pPr>
            <w:r>
              <w:rPr>
                <w:b/>
                <w:bCs/>
              </w:rPr>
              <w:t>Препарат (МНН)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  <w:color w:val="000000"/>
              </w:rPr>
              <w:t>ампициллин</w:t>
            </w:r>
            <w:r/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  <w:color w:val="000000"/>
              </w:rPr>
              <w:t>амоксициллин</w:t>
            </w:r>
            <w:r/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b/>
              </w:rPr>
            </w:pPr>
            <w:r>
              <w:rPr>
                <w:b/>
              </w:rPr>
              <w:t>карбенициллин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Торговые названия ( не менее 3)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Ампициллин,Ампииллина натриевая соль,Ампициллина тригидрат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Амоксон,Амосин,</w:t>
            </w:r>
          </w:p>
          <w:p>
            <w:pPr>
              <w:widowControl/>
            </w:pPr>
            <w:r>
              <w:t>Амоксикар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Карбенициллина динатриевая соль,Карбениииллин,Карбапен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Фармакологическая группа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Пенициллины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 Пенициллины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Пенициллины</w:t>
            </w:r>
          </w:p>
        </w:tc>
      </w:tr>
      <w:tr>
        <w:trPr>
          <w:trHeight w:val="33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Механизм действия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Ингибирует транспептидазу, препятствует образованию пептидных связей и нарушает поздние этапы синтеза пептидогликана клеточной стенки делящегося микроорганизма, вызывает лизис бактерий.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Ингибирует транспептидазу, нарушает синтез пептидогликана в период деления и роста, вызывает лизис бактерий.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Ацетилирует мембраносвязанный фермент транспептидазу, блокирует проницаемость и синтез пептидогликанов клеточной стенки, обусловливая осмотическую неустойчивость микроорганизма.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Фармакологические эффекты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Активен в отношении широкого спектра грамположительных и грамотрицательных микроорганизмов, аэробных неспорообразующих бактерий.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Активен в отношении грамположительных и грамотрицательных кокков, некоторых грамотрицательных палочек..некоторые штаммы Salmonella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Высокоактивен в отношении грамотрицательных бактерий,), некоторых анаэробных бактерий. Активен также в отношении грамположительных микроорганизмов.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Клиническое применение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Инфекции дыхательных путей, лор-органов,почек, мочевыводящих путей,инфекции кожи,опорно-двигательного аппарата  мягких тканей,ЖКТ,гонорея, менингит, сепсис, коклюш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Инфекционно-воспалительные заболевания,бронхит, пневмония, ангина, острый средний отит, фарингит, синусит, уретрит, цистит, пиелонефрит, эндометрит, неосложненная гонорея, инфекции кожи и мягких тканей, желудочно-кишечного тракта (перитонит, энтерит, холецистит, холангит), лептоспироз, листериоз, боррелиоз, менингит, профилактика бактериемии, бактериального эндокардита, связанных с хирургическими манипуляциями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инфекции органов малого таза, моче- и желчевыводящих путей, перитонит, сепсис, септицемия, пневмония, инфекции костей и суставов, инфекционно-воспалительные заболевания кожи и мягких тканей, менингит, абсцесс мозга, гнойные осложнения после хирургических вмешательств и родов, инфицированные ожоги, средний отит.</w:t>
            </w:r>
          </w:p>
        </w:tc>
      </w:tr>
      <w:tr>
        <w:trPr>
          <w:trHeight w:val="33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Побочные эффекты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головная боль, тремор, судороги,лейкопения, нейтропения, тромбоцитопения, агранулоцитоз, анемия.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крапивница, гиперемия кожи, эритематозные высыпания, ангионевротический отек, ринит, конъюнктивит;тошнота, рвота, стоматит, глоссит,затрудненное дыхание, тахикардия, интерстициальный нефрит, боли в суставах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тромбоцитопения, нейтропения, лейкопения, геморрагический синдром,тошнота, рвота, боль в животе,крапивница, эритема, отек Квинке, ринит, конъюнктивит, ангионевротический отек.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Противопоказания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Гиперчувствительность,инфекционный мононуклеоз,лимфолейкоз, печеночная недостаточность,детский возраст до 1 мес.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Противопоказан детям до 6 лет,в период лактации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 xml:space="preserve"> Гиперчувствительность, хроническая сердечная недостаточность, артериальная гипертензия, бронхиальная астма, экзема, ангионевротический отек, язвенный колит, энтерит. 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Cs/>
              </w:rPr>
              <w:t>ЛФ, дозы, рецепт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Порошок или пористая масса белого (или с кремоватым оттенком) цвета, горькая на вкус,Разовая доза для взрослых составляет 0,25–0,5 г, суточная — 1–3 г. Детям препарат назначают в суточной дозе 50–100 мг/кг массы тела.Рецепт: Rp.: Ampicillini-natrii 0,5  D.t.d. №20 in flac.  S. в/м по 0,5 4 р/д в 2 мл физ. р-ра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По 10 капсул в контурную ячейковую упаковку; по 16 капсул в банки.Взрослым и детям старше 10 лет (с массой тела более 40 кг) назначают по 0,5 г (2 капсулы) 3 раза Рецепт: Rp: Tab. Amoxicillini 0,5  D.t.d: №20 in tab.  S: По 1 таб. 3 р/д в сутки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</w:pPr>
            <w:r>
              <w:t> Порошок или пористая масса белого или почти белого цвета.В/м, взрослым — 4–8 г/сут, детям — 0,05–0,1 г/кг/сут в 4–6 инъекций.В/в, взрослым — 20–30 г/сут, детям — 0,25–0,4 г/кг/сут в 6 введений.Rp.: Carbenicillini 1,0 D. t. d. N 20 in lagenis S.</w:t>
            </w:r>
          </w:p>
        </w:tc>
      </w:tr>
    </w:tbl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  <w:t>4.     Провести фармацевтическое консультирование пациента по препарату кислота ацетилсалициловая по приведённой ниже схеме:</w:t>
      </w:r>
    </w:p>
    <w:p>
      <w:pPr>
        <w:spacing w:before="100" w:after="100" w:beforeAutospacing="1" w:afterAutospacing="1"/>
        <w:jc w:val="center"/>
        <w:outlineLvl w:val="0"/>
        <w:widowControl/>
        <w:rPr>
          <w:b/>
          <w:bCs/>
          <w:kern w:val="1"/>
          <w:sz w:val="48"/>
          <w:szCs w:val="48"/>
        </w:rPr>
      </w:pPr>
      <w:r>
        <w:rPr>
          <w:b/>
          <w:bCs/>
          <w:caps/>
        </w:rPr>
        <w:t>АЛГОРИТМ ФАРМКОНСУЛЬТИРОВАНИЯ ПОКУПАТЕЛЯ ПРОВИЗОРОМ</w:t>
      </w:r>
      <w:r>
        <w:rPr>
          <w:b/>
          <w:bCs/>
          <w:kern w:val="1"/>
          <w:sz w:val="48"/>
          <w:szCs w:val="48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</w:r>
    </w:p>
    <w:tbl>
      <w:tblPr>
        <w:jc w:val="left"/>
        <w:tblInd w:w="-108" w:type="dxa"/>
        <w:tblW w:w="9336" w:type="dxa"/>
      </w:tblPr>
      <w:tblGrid>
        <w:gridCol w:w="817"/>
        <w:gridCol w:w="3027"/>
        <w:gridCol w:w="2588"/>
        <w:gridCol w:w="2904"/>
      </w:tblGrid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>№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 xml:space="preserve">Информация о препарате 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 xml:space="preserve">Возможная замена 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>хранение</w:t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1.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Нестероидные противовоспалительные средства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Аспирин кардио,  Тромбо АСС, Ацекардол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В защищенном от света и влаги месте, при температуре не выше 25 °С. Хранить в недоступном для детей месте.</w:t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2.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Противовоспалительное действие через влияние на процессы, протекающие в очаге воспаления. Жаропонижающее действие через влияние на гипоталамические центры терморегуляции. Анальгезирующий эффект обусловлен влиянием на центры болевой чувствительности, расположенные в центральной нервной системе.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Синонимическая замена -Аспирин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3.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Инактивация фермента циклооксигеназы), в результате чего нарушается синтез простагландинов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4.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Тошнота, рвота, боли в эпигастрии, шум в ушах, головокружение, головные боли, снижение зрения и слуха. При передозировке вливают растворы бикарбоната натрия, цитрата или лактата натрия.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5.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Усиливает токсичность метотрексата, вальпроевой кислоты, барбитуров,повышает риск кровотечений при одновременном применении с непрямыми антикоагулянтами,ослабляет эффекты гипотензивных средств из группы ингибиторов АПФ,усиливает токсическое действие алкоголя на ЖКТ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6.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Противопоказан в I и III триместрах беременности прием ,в период лактациис, детям младше 15 лет с гипертермией в сочетании с вирусной инфекцией, в период хирургических вмешательств.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7.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Применяют внутрь, предпочтительнее между приемами пищи. Таблетку помещают в 100 мл кипяченой воды (1/2 стакана) и, помешивая, добиваются ее распада, после чего выпивают полученную взвесь. Взрослым назначают по 1 - 2 таблетки 3 раза в день. Максимальная разовая доза - 2 таблетки, максимальная суточная доза - 6 таблеток.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2857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</w:tbl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</w:rPr>
        <w:t xml:space="preserve">5.     </w:t>
      </w:r>
      <w:r>
        <w:rPr>
          <w:rFonts w:eastAsia="Calibri"/>
          <w:b/>
          <w:i/>
        </w:rPr>
        <w:t xml:space="preserve">Провести фармацевтическое информирование пациента по препарату </w:t>
      </w:r>
      <w:r>
        <w:rPr>
          <w:rFonts w:eastAsia="Calibri"/>
          <w:b/>
          <w:i/>
        </w:rPr>
        <w:t>омепразол</w:t>
      </w:r>
      <w:r>
        <w:rPr>
          <w:rFonts w:eastAsia="Calibri"/>
          <w:b/>
          <w:i/>
        </w:rPr>
        <w:t xml:space="preserve"> по приведённой ниже схеме:</w:t>
      </w:r>
      <w:r>
        <w:rPr>
          <w:rFonts w:eastAsia="Calibri"/>
          <w:b/>
          <w:i/>
        </w:rPr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1.После приема к врачу: (</w:t>
      </w:r>
      <w:r>
        <w:rPr>
          <w:rFonts w:eastAsia="Calibri"/>
          <w:i/>
        </w:rPr>
        <w:t>выписать рецепт)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Рецепт: Rp: Omeprazoli 0,02  D.t.d: №20 in caps.  S: Внутрь по 1 капсуле 1 раз в день до еды.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2.Препарта нет в наличии: (</w:t>
      </w:r>
      <w:r>
        <w:rPr>
          <w:rFonts w:eastAsia="Calibri"/>
          <w:i/>
        </w:rPr>
        <w:t xml:space="preserve">предложить </w:t>
      </w:r>
      <w:r>
        <w:rPr>
          <w:rFonts w:eastAsia="Calibri"/>
          <w:i/>
        </w:rPr>
        <w:t>генерик</w:t>
      </w:r>
      <w:r>
        <w:rPr>
          <w:rFonts w:eastAsia="Calibri"/>
          <w:i/>
        </w:rPr>
        <w:t>)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Омез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3. Препарат есть в наличии: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1.1Схема лечения и длительность приема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  Внутрь, запивая небольшим количеством воды (содержимое капсулы нельзя разжевывать).  Язвенная болезнь двенадцатиперстной кишки в фазе обострения — по 1 капс. (20 мг) в сутки в течение 2–4 нед (в резистентных случаях — до 2 капс. в сутки).  Язвенная болезнь желудка в фазе обострения и эрозивно-язвенный эзофагит — по 1–2 капс. в сутки в течение 4–8 нед.  Эрозивно-язвенные поражения ЖКТ, вызванные приемом НПВС — по 1 капс. в сутки в течение 4–8 нед.  Эрадикация Helicobacter pylori — по 1 капс. 2 раза в сутки в течение 7 дней в сочетании с антибактериальными средствами.  Противорецидивное лечение язвенной болезни желудка и двенадцатиперстной кишки — по 1 капс. в сутки.  Противорецидивное лечение рефлюкс-эзофагита — по 1 капс. в сутки в течение длительного времени (до 6 мес).  Синдром Золлингера-Эллисона — доза подбирается индивидуально в зависимости от исходного уровня желудочной секреции, обычно — начиная с 60 мг/сут. При необходимости дозу увеличивают до 80–120 мг/сут, в этом случае ее делят на 2 приема.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•1.2 Специальная диета (</w:t>
      </w:r>
      <w:r>
        <w:rPr>
          <w:rFonts w:eastAsia="Calibri"/>
          <w:i/>
        </w:rPr>
        <w:t>если необходимо)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Прием одновременно с пищей не влияет на эффективность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•1.3 Мероприятия при пропуске приема препарата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Принять пропущенную дозу как можно скорее. Однако если  почти достигнуто то время, когда следует принимать следующую дозу, не стоит принимать двойную дозу, а соблюдать ранее установленный график.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•1.4 Взаимодействие с другими лекарственными препаратами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Длительное применение омепразола в дозе 20 мг 1 раз в сутки в комбинации с кофеином, теофиллином, пироксикамом, диклофенаком, напроксеном, метопрололом, пропранололом, этанолом, циклоспорином, лидокаином, хинидином и эстрадиолом не приводило к изменению их концентрации в плазме.  Не отмечено взаимодействия с одновременно принимаемыми антацидами.  Изменяет биодоступность любого препарата, всасывание которого зависит от значения рН (например солей железа).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 xml:space="preserve">•1.5. Необходимость ограничения определенных видов активности </w:t>
      </w:r>
      <w:r>
        <w:rPr>
          <w:rFonts w:eastAsia="Calibri"/>
          <w:i/>
        </w:rPr>
        <w:t>(если необходимо).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  Учитывая возможность появления нежелательных эффектов со стороны центральной нервной системы и органа зрения, в период лечения омепразолом необходимо соблюдать осторожность, при вождении автотранспорта и занятиях потенциально опасными видами деятельности, требующими повышенной концентрации внимания и быстроты психомоторных реакций.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87"/>
      <w:tmLastPosIdx w:val="336"/>
    </w:tmLastPosCaret>
    <w:tmLastPosAnchor>
      <w:tmLastPosPgfIdx w:val="0"/>
      <w:tmLastPosIdx w:val="0"/>
    </w:tmLastPosAnchor>
    <w:tmLastPosTblRect w:left="0" w:top="0" w:right="0" w:bottom="0"/>
  </w:tmLastPos>
  <w:tmAppRevision w:date="1488028577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/>
  <cp:revision>3</cp:revision>
  <dcterms:created xsi:type="dcterms:W3CDTF">2017-02-25T08:58:00Z</dcterms:created>
  <dcterms:modified xsi:type="dcterms:W3CDTF">2017-02-25T17:16:17Z</dcterms:modified>
</cp:coreProperties>
</file>