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Override PartName="/word/media/rId28.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Supplementary Information</w:t>
      </w:r>
    </w:p>
    <w:p>
      <w:pPr>
        <w:pStyle w:val="BodyText"/>
      </w:pPr>
      <w:r>
        <w:rPr>
          <w:b/>
          <w:bCs/>
        </w:rPr>
        <w:t xml:space="preserve">Biology-constrained graph transformer bridges spatial transcriptomics and histopathology for interpretable cancer prognosis and in silico therapeutic hypothesis generation</w:t>
      </w:r>
    </w:p>
    <w:p>
      <w:pPr>
        <w:pStyle w:val="BodyText"/>
      </w:pPr>
      <w:r>
        <w:t xml:space="preserve">Dekang Guo</w:t>
      </w:r>
      <m:oMath>
        <m:sSup>
          <m:e>
            <m:r>
              <m:t>​</m:t>
            </m:r>
          </m:e>
          <m:sup>
            <m:r>
              <m:t>1</m:t>
            </m:r>
            <m:r>
              <m:rPr>
                <m:sty m:val="p"/>
              </m:rPr>
              <m:t>,</m:t>
            </m:r>
            <m:r>
              <m:t>2</m:t>
            </m:r>
            <m:r>
              <m:rPr>
                <m:sty m:val="p"/>
              </m:rPr>
              <m:t>,</m:t>
            </m:r>
            <m:r>
              <m:t>3</m:t>
            </m:r>
          </m:sup>
        </m:sSup>
      </m:oMath>
      <w:r>
        <w:t xml:space="preserve">, Yingying Guo</w:t>
      </w:r>
      <m:oMath>
        <m:sSup>
          <m:e>
            <m:r>
              <m:t>​</m:t>
            </m:r>
          </m:e>
          <m:sup>
            <m:r>
              <m:t>2</m:t>
            </m:r>
            <m:r>
              <m:rPr>
                <m:sty m:val="p"/>
              </m:rPr>
              <m:t>,</m:t>
            </m:r>
            <m:r>
              <m:t>3</m:t>
            </m:r>
          </m:sup>
        </m:sSup>
      </m:oMath>
      <w:r>
        <w:t xml:space="preserve">, Xiaozhang Liu</w:t>
      </w:r>
      <m:oMath>
        <m:sSup>
          <m:e>
            <m:r>
              <m:t>​</m:t>
            </m:r>
          </m:e>
          <m:sup>
            <m:r>
              <m:t>1</m:t>
            </m:r>
          </m:sup>
        </m:sSup>
      </m:oMath>
      <w:r>
        <w:t xml:space="preserve">, Jinke Cheng</w:t>
      </w:r>
      <m:oMath>
        <m:sSup>
          <m:e>
            <m:r>
              <m:t>​</m:t>
            </m:r>
          </m:e>
          <m:sup>
            <m:r>
              <m:t>4</m:t>
            </m:r>
            <m:r>
              <m:rPr>
                <m:sty m:val="p"/>
              </m:rPr>
              <m:t>,</m:t>
            </m:r>
            <m:r>
              <m:rPr>
                <m:sty m:val="p"/>
              </m:rPr>
              <m:t>*</m:t>
            </m:r>
          </m:sup>
        </m:sSup>
      </m:oMath>
      <w:r>
        <w:t xml:space="preserve">, Qian Han</w:t>
      </w:r>
      <m:oMath>
        <m:sSup>
          <m:e>
            <m:r>
              <m:t>​</m:t>
            </m:r>
          </m:e>
          <m:sup>
            <m:r>
              <m:t>2</m:t>
            </m:r>
            <m:r>
              <m:rPr>
                <m:sty m:val="p"/>
              </m:rPr>
              <m:t>,</m:t>
            </m:r>
            <m:r>
              <m:t>3</m:t>
            </m:r>
            <m:r>
              <m:rPr>
                <m:sty m:val="p"/>
              </m:rPr>
              <m:t>,</m:t>
            </m:r>
            <m:r>
              <m:rPr>
                <m:sty m:val="p"/>
              </m:rPr>
              <m:t>*</m:t>
            </m:r>
          </m:sup>
        </m:sSup>
      </m:oMath>
    </w:p>
    <w:p>
      <w:pPr>
        <w:pStyle w:val="BodyText"/>
      </w:pPr>
      <w:r>
        <w:t xml:space="preserve"> </w:t>
      </w:r>
      <m:oMath>
        <m:sSup>
          <m:e>
            <m:r>
              <m:t>​</m:t>
            </m:r>
          </m:e>
          <m:sup>
            <m:r>
              <m:t>1</m:t>
            </m:r>
          </m:sup>
        </m:sSup>
      </m:oMath>
      <w:r>
        <w:t xml:space="preserve">School of Computer Science and Technology, Hainan University, Haikou, Hainan 570228, China</w:t>
      </w:r>
      <w:r>
        <w:br/>
      </w:r>
      <m:oMath>
        <m:sSup>
          <m:e>
            <m:r>
              <m:t>​</m:t>
            </m:r>
          </m:e>
          <m:sup>
            <m:r>
              <m:t>2</m:t>
            </m:r>
          </m:sup>
        </m:sSup>
      </m:oMath>
      <w:r>
        <w:t xml:space="preserve">Laboratory of Tropical Veterinary Medicine and Vector Biology, School of Life and Health Sciences, Hainan Province Key Laboratory of One Health, Collaborative Innovation Center of Life and Health, Hainan University, Haikou, Hainan 570228, China</w:t>
      </w:r>
      <w:r>
        <w:br/>
      </w:r>
      <m:oMath>
        <m:sSup>
          <m:e>
            <m:r>
              <m:t>​</m:t>
            </m:r>
          </m:e>
          <m:sup>
            <m:r>
              <m:t>3</m:t>
            </m:r>
          </m:sup>
        </m:sSup>
      </m:oMath>
      <w:r>
        <w:t xml:space="preserve">Hainan International One Health Institute, Hainan University, Haikou, Hainan, China</w:t>
      </w:r>
      <w:r>
        <w:br/>
      </w:r>
      <m:oMath>
        <m:sSup>
          <m:e>
            <m:r>
              <m:t>​</m:t>
            </m:r>
          </m:e>
          <m:sup>
            <m:r>
              <m:t>4</m:t>
            </m:r>
          </m:sup>
        </m:sSup>
      </m:oMath>
      <w:r>
        <w:t xml:space="preserve">Hainan Medical University, Hainan Academy of Medical Sciences, Haikou, Hainan 571199, China</w:t>
      </w:r>
      <w:r>
        <w:br/>
      </w:r>
      <m:oMath>
        <m:sSup>
          <m:e>
            <m:r>
              <m:t>​</m:t>
            </m:r>
          </m:e>
          <m:sup>
            <m:r>
              <m:rPr>
                <m:sty m:val="p"/>
              </m:rPr>
              <m:t>*</m:t>
            </m:r>
          </m:sup>
        </m:sSup>
      </m:oMath>
      <w:r>
        <w:t xml:space="preserve">Correspondence: qianhan@hainanu.edu.cn; jkcheng@shsmu.edu.cn</w:t>
      </w:r>
      <w:r>
        <w:t xml:space="preserve"> </w:t>
      </w:r>
    </w:p>
    <w:bookmarkStart w:id="17" w:name="supplementary-tables"/>
    <w:p>
      <w:pPr>
        <w:pStyle w:val="Heading1"/>
      </w:pPr>
      <w:r>
        <w:t xml:space="preserve">Supplementary Tables</w:t>
      </w:r>
    </w:p>
    <w:bookmarkStart w:id="10" w:name="X348f3de6dde4616717cffe05ffbea130b8c9281"/>
    <w:p>
      <w:pPr>
        <w:pStyle w:val="Heading2"/>
      </w:pPr>
      <w:r>
        <w:t xml:space="preserve">Supplementary Table S1: Dataset Demographics</w:t>
      </w:r>
    </w:p>
    <w:bookmarkStart w:id="9" w:name="tab:s1_demographics"/>
    <w:p>
      <w:pPr>
        <w:pStyle w:val="TableCaption"/>
      </w:pPr>
      <w:r>
        <w:rPr>
          <w:b/>
          <w:bCs/>
        </w:rPr>
        <w:t xml:space="preserve">Dataset demographics and clinical characteristics.</w:t>
      </w:r>
      <w:r>
        <w:t xml:space="preserve"> </w:t>
      </w:r>
      <w:r>
        <w:t xml:space="preserve">Age is presented as mean</w:t>
      </w:r>
      <w:r>
        <w:t xml:space="preserve"> </w:t>
      </w:r>
      <m:oMath>
        <m:r>
          <m:rPr>
            <m:sty m:val="p"/>
          </m:rPr>
          <m:t>±</m:t>
        </m:r>
      </m:oMath>
      <w:r>
        <w:t xml:space="preserve"> </w:t>
      </w:r>
      <w:r>
        <w:t xml:space="preserve">standard deviation. Stage distribution shows the percentage of patients in each AJCC staging category. Event rate refers to the proportion of patients experiencing the primary outcome (death) during follow-up. TCGA, The Cancer Genome Atlas; HTAN, Human Tumor Atlas Network; mo, months.</w:t>
      </w:r>
    </w:p>
    <w:tbl>
      <w:tblPr>
        <w:tblStyle w:val="Table"/>
        <w:tblW w:type="auto" w:w="0"/>
        <w:tblLook w:firstRow="0" w:lastRow="0" w:firstColumn="0" w:lastColumn="0" w:noHBand="0" w:noVBand="0" w:val="0000"/>
        <w:tblCaption w:val="Dataset demographics and clinical characteristics. Age is presented as mean \pm standard deviation. Stage distribution shows the percentage of patients in each AJCC staging category. Event rate refers to the proportion of patients experiencing the primary outcome (death) during follow-up. TCGA, The Cancer Genome Atlas; HTAN, Human Tumor Atlas Network; mo, months."/>
      </w:tblPr>
      <w:tblGrid>
        <w:gridCol w:w="792"/>
        <w:gridCol w:w="792"/>
        <w:gridCol w:w="792"/>
        <w:gridCol w:w="792"/>
        <w:gridCol w:w="792"/>
        <w:gridCol w:w="792"/>
        <w:gridCol w:w="792"/>
        <w:gridCol w:w="792"/>
        <w:gridCol w:w="792"/>
        <w:gridCol w:w="792"/>
      </w:tblGrid>
      <w:tr>
        <w:tc>
          <w:tcPr/>
          <w:p>
            <w:pPr>
              <w:pStyle w:val="Compact"/>
              <w:jc w:val="left"/>
            </w:pPr>
            <w:r>
              <w:rPr>
                <w:b/>
                <w:bCs/>
              </w:rPr>
              <w:t xml:space="preserve">Cohort</w:t>
            </w:r>
          </w:p>
        </w:tc>
        <w:tc>
          <w:tcPr/>
          <w:p>
            <w:pPr>
              <w:pStyle w:val="Compact"/>
              <w:jc w:val="center"/>
            </w:pPr>
            <w:r>
              <w:rPr>
                <w:b/>
                <w:bCs/>
              </w:rPr>
              <w:t xml:space="preserve">Split</w:t>
            </w:r>
          </w:p>
        </w:tc>
        <w:tc>
          <w:tcPr/>
          <w:p>
            <w:pPr>
              <w:pStyle w:val="Compact"/>
              <w:jc w:val="center"/>
            </w:pPr>
            <w:r>
              <w:rPr>
                <w:b/>
                <w:bCs/>
              </w:rPr>
              <w:t xml:space="preserve">N</w:t>
            </w:r>
          </w:p>
        </w:tc>
        <w:tc>
          <w:tcPr/>
          <w:p>
            <w:pPr>
              <w:pStyle w:val="Compact"/>
              <w:jc w:val="center"/>
            </w:pPr>
            <w:r>
              <w:rPr>
                <w:b/>
                <w:bCs/>
              </w:rPr>
              <w:t xml:space="preserve">Age</w:t>
            </w:r>
          </w:p>
        </w:tc>
        <w:tc>
          <w:tcPr/>
          <w:p>
            <w:pPr>
              <w:pStyle w:val="Compact"/>
              <w:jc w:val="center"/>
            </w:pPr>
            <w:r>
              <w:rPr>
                <w:b/>
                <w:bCs/>
              </w:rPr>
              <w:t xml:space="preserve">Female</w:t>
            </w:r>
          </w:p>
        </w:tc>
        <w:tc>
          <w:tcPr/>
          <w:p>
            <w:pPr>
              <w:pStyle w:val="Compact"/>
              <w:jc w:val="center"/>
            </w:pPr>
            <w:r>
              <w:rPr>
                <w:b/>
                <w:bCs/>
              </w:rPr>
              <w:t xml:space="preserve">Stage I</w:t>
            </w:r>
          </w:p>
        </w:tc>
        <w:tc>
          <w:tcPr/>
          <w:p>
            <w:pPr>
              <w:pStyle w:val="Compact"/>
              <w:jc w:val="center"/>
            </w:pPr>
            <w:r>
              <w:rPr>
                <w:b/>
                <w:bCs/>
              </w:rPr>
              <w:t xml:space="preserve">Stage II</w:t>
            </w:r>
          </w:p>
        </w:tc>
        <w:tc>
          <w:tcPr/>
          <w:p>
            <w:pPr>
              <w:pStyle w:val="Compact"/>
              <w:jc w:val="center"/>
            </w:pPr>
            <w:r>
              <w:rPr>
                <w:b/>
                <w:bCs/>
              </w:rPr>
              <w:t xml:space="preserve">Stage III</w:t>
            </w:r>
          </w:p>
        </w:tc>
        <w:tc>
          <w:tcPr/>
          <w:p>
            <w:pPr>
              <w:pStyle w:val="Compact"/>
              <w:jc w:val="center"/>
            </w:pPr>
            <w:r>
              <w:rPr>
                <w:b/>
                <w:bCs/>
              </w:rPr>
              <w:t xml:space="preserve">Stage IV</w:t>
            </w:r>
          </w:p>
        </w:tc>
        <w:tc>
          <w:tcPr/>
          <w:p>
            <w:pPr>
              <w:pStyle w:val="Compact"/>
              <w:jc w:val="center"/>
            </w:pPr>
            <w:r>
              <w:rPr>
                <w:b/>
                <w:bCs/>
              </w:rPr>
              <w:t xml:space="preserve">Event</w:t>
            </w:r>
          </w:p>
        </w:tc>
      </w:tr>
      <w:tr>
        <w:tc>
          <w:tcPr/>
          <w:p>
            <w:pPr>
              <w:pStyle w:val="Compact"/>
            </w:pPr>
          </w:p>
        </w:tc>
        <w:tc>
          <w:tcPr/>
          <w:p>
            <w:pPr>
              <w:pStyle w:val="Compact"/>
            </w:pPr>
          </w:p>
        </w:tc>
        <w:tc>
          <w:tcPr/>
          <w:p>
            <w:pPr>
              <w:pStyle w:val="Compact"/>
            </w:pPr>
          </w:p>
        </w:tc>
        <w:tc>
          <w:tcPr/>
          <w:p>
            <w:pPr>
              <w:pStyle w:val="Compact"/>
              <w:jc w:val="center"/>
            </w:pPr>
            <w:r>
              <w:t xml:space="preserve">(mean</w:t>
            </w:r>
            <w:r>
              <w:t xml:space="preserve"> </w:t>
            </w:r>
            <m:oMath>
              <m:r>
                <m:rPr>
                  <m:sty m:val="p"/>
                </m:rPr>
                <m:t>±</m:t>
              </m:r>
            </m:oMath>
            <w:r>
              <w:t xml:space="preserve"> </w:t>
            </w:r>
            <w:r>
              <w:t xml:space="preserve">SD)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Rate</w:t>
            </w:r>
          </w:p>
        </w:tc>
      </w:tr>
      <w:tr>
        <w:tc>
          <w:tcPr/>
          <w:p>
            <w:pPr>
              <w:pStyle w:val="Compact"/>
              <w:jc w:val="left"/>
            </w:pPr>
            <w:r>
              <w:t xml:space="preserve">TCGA-BRCA</w:t>
            </w:r>
          </w:p>
        </w:tc>
        <w:tc>
          <w:tcPr/>
          <w:p>
            <w:pPr>
              <w:pStyle w:val="Compact"/>
              <w:jc w:val="center"/>
            </w:pPr>
            <w:r>
              <w:t xml:space="preserve">Train</w:t>
            </w:r>
          </w:p>
        </w:tc>
        <w:tc>
          <w:tcPr/>
          <w:p>
            <w:pPr>
              <w:pStyle w:val="Compact"/>
              <w:jc w:val="center"/>
            </w:pPr>
            <w:r>
              <w:t xml:space="preserve">612</w:t>
            </w:r>
          </w:p>
        </w:tc>
        <w:tc>
          <w:tcPr/>
          <w:p>
            <w:pPr>
              <w:pStyle w:val="Compact"/>
              <w:jc w:val="center"/>
            </w:pPr>
            <w:r>
              <w:t xml:space="preserve">58.6</w:t>
            </w:r>
            <w:r>
              <w:t xml:space="preserve"> </w:t>
            </w:r>
            <m:oMath>
              <m:r>
                <m:rPr>
                  <m:sty m:val="p"/>
                </m:rPr>
                <m:t>±</m:t>
              </m:r>
            </m:oMath>
            <w:r>
              <w:t xml:space="preserve"> </w:t>
            </w:r>
            <w:r>
              <w:t xml:space="preserve">13.6</w:t>
            </w:r>
          </w:p>
        </w:tc>
        <w:tc>
          <w:tcPr/>
          <w:p>
            <w:pPr>
              <w:pStyle w:val="Compact"/>
              <w:jc w:val="center"/>
            </w:pPr>
            <w:r>
              <w:t xml:space="preserve">99.0</w:t>
            </w:r>
          </w:p>
        </w:tc>
        <w:tc>
          <w:tcPr/>
          <w:p>
            <w:pPr>
              <w:pStyle w:val="Compact"/>
              <w:jc w:val="center"/>
            </w:pPr>
            <w:r>
              <w:t xml:space="preserve">22</w:t>
            </w:r>
          </w:p>
        </w:tc>
        <w:tc>
          <w:tcPr/>
          <w:p>
            <w:pPr>
              <w:pStyle w:val="Compact"/>
              <w:jc w:val="center"/>
            </w:pPr>
            <w:r>
              <w:t xml:space="preserve">44</w:t>
            </w:r>
          </w:p>
        </w:tc>
        <w:tc>
          <w:tcPr/>
          <w:p>
            <w:pPr>
              <w:pStyle w:val="Compact"/>
              <w:jc w:val="center"/>
            </w:pPr>
            <w:r>
              <w:t xml:space="preserve">23</w:t>
            </w:r>
          </w:p>
        </w:tc>
        <w:tc>
          <w:tcPr/>
          <w:p>
            <w:pPr>
              <w:pStyle w:val="Compact"/>
              <w:jc w:val="center"/>
            </w:pPr>
            <w:r>
              <w:t xml:space="preserve">11</w:t>
            </w:r>
          </w:p>
        </w:tc>
        <w:tc>
          <w:tcPr/>
          <w:p>
            <w:pPr>
              <w:pStyle w:val="Compact"/>
              <w:jc w:val="center"/>
            </w:pPr>
            <w:r>
              <w:t xml:space="preserve">0.38</w:t>
            </w:r>
          </w:p>
        </w:tc>
      </w:tr>
      <w:tr>
        <w:tc>
          <w:tcPr/>
          <w:p>
            <w:pPr>
              <w:pStyle w:val="Compact"/>
              <w:jc w:val="left"/>
            </w:pPr>
            <w:r>
              <w:t xml:space="preserve">TCGA-BRCA</w:t>
            </w:r>
          </w:p>
        </w:tc>
        <w:tc>
          <w:tcPr/>
          <w:p>
            <w:pPr>
              <w:pStyle w:val="Compact"/>
              <w:jc w:val="center"/>
            </w:pPr>
            <w:r>
              <w:t xml:space="preserve">Val</w:t>
            </w:r>
          </w:p>
        </w:tc>
        <w:tc>
          <w:tcPr/>
          <w:p>
            <w:pPr>
              <w:pStyle w:val="Compact"/>
              <w:jc w:val="center"/>
            </w:pPr>
            <w:r>
              <w:t xml:space="preserve">153</w:t>
            </w:r>
          </w:p>
        </w:tc>
        <w:tc>
          <w:tcPr/>
          <w:p>
            <w:pPr>
              <w:pStyle w:val="Compact"/>
              <w:jc w:val="center"/>
            </w:pPr>
            <w:r>
              <w:t xml:space="preserve">57.1</w:t>
            </w:r>
            <w:r>
              <w:t xml:space="preserve"> </w:t>
            </w:r>
            <m:oMath>
              <m:r>
                <m:rPr>
                  <m:sty m:val="p"/>
                </m:rPr>
                <m:t>±</m:t>
              </m:r>
            </m:oMath>
            <w:r>
              <w:t xml:space="preserve"> </w:t>
            </w:r>
            <w:r>
              <w:t xml:space="preserve">13.6</w:t>
            </w:r>
          </w:p>
        </w:tc>
        <w:tc>
          <w:tcPr/>
          <w:p>
            <w:pPr>
              <w:pStyle w:val="Compact"/>
              <w:jc w:val="center"/>
            </w:pPr>
            <w:r>
              <w:t xml:space="preserve">100.0</w:t>
            </w:r>
          </w:p>
        </w:tc>
        <w:tc>
          <w:tcPr/>
          <w:p>
            <w:pPr>
              <w:pStyle w:val="Compact"/>
              <w:jc w:val="center"/>
            </w:pPr>
            <w:r>
              <w:t xml:space="preserve">26</w:t>
            </w:r>
          </w:p>
        </w:tc>
        <w:tc>
          <w:tcPr/>
          <w:p>
            <w:pPr>
              <w:pStyle w:val="Compact"/>
              <w:jc w:val="center"/>
            </w:pPr>
            <w:r>
              <w:t xml:space="preserve">36</w:t>
            </w:r>
          </w:p>
        </w:tc>
        <w:tc>
          <w:tcPr/>
          <w:p>
            <w:pPr>
              <w:pStyle w:val="Compact"/>
              <w:jc w:val="center"/>
            </w:pPr>
            <w:r>
              <w:t xml:space="preserve">29</w:t>
            </w:r>
          </w:p>
        </w:tc>
        <w:tc>
          <w:tcPr/>
          <w:p>
            <w:pPr>
              <w:pStyle w:val="Compact"/>
              <w:jc w:val="center"/>
            </w:pPr>
            <w:r>
              <w:t xml:space="preserve">9</w:t>
            </w:r>
          </w:p>
        </w:tc>
        <w:tc>
          <w:tcPr/>
          <w:p>
            <w:pPr>
              <w:pStyle w:val="Compact"/>
              <w:jc w:val="center"/>
            </w:pPr>
            <w:r>
              <w:t xml:space="preserve">0.39</w:t>
            </w:r>
          </w:p>
        </w:tc>
      </w:tr>
      <w:tr>
        <w:tc>
          <w:tcPr/>
          <w:p>
            <w:pPr>
              <w:pStyle w:val="Compact"/>
              <w:jc w:val="left"/>
            </w:pPr>
            <w:r>
              <w:t xml:space="preserve">TCGA-BRCA</w:t>
            </w:r>
          </w:p>
        </w:tc>
        <w:tc>
          <w:tcPr/>
          <w:p>
            <w:pPr>
              <w:pStyle w:val="Compact"/>
              <w:jc w:val="center"/>
            </w:pPr>
            <w:r>
              <w:t xml:space="preserve">Test</w:t>
            </w:r>
          </w:p>
        </w:tc>
        <w:tc>
          <w:tcPr/>
          <w:p>
            <w:pPr>
              <w:pStyle w:val="Compact"/>
              <w:jc w:val="center"/>
            </w:pPr>
            <w:r>
              <w:t xml:space="preserve">147</w:t>
            </w:r>
          </w:p>
        </w:tc>
        <w:tc>
          <w:tcPr/>
          <w:p>
            <w:pPr>
              <w:pStyle w:val="Compact"/>
              <w:jc w:val="center"/>
            </w:pPr>
            <w:r>
              <w:t xml:space="preserve">58.2</w:t>
            </w:r>
            <w:r>
              <w:t xml:space="preserve"> </w:t>
            </w:r>
            <m:oMath>
              <m:r>
                <m:rPr>
                  <m:sty m:val="p"/>
                </m:rPr>
                <m:t>±</m:t>
              </m:r>
            </m:oMath>
            <w:r>
              <w:t xml:space="preserve"> </w:t>
            </w:r>
            <w:r>
              <w:t xml:space="preserve">13.6</w:t>
            </w:r>
          </w:p>
        </w:tc>
        <w:tc>
          <w:tcPr/>
          <w:p>
            <w:pPr>
              <w:pStyle w:val="Compact"/>
              <w:jc w:val="center"/>
            </w:pPr>
            <w:r>
              <w:t xml:space="preserve">99.5</w:t>
            </w:r>
          </w:p>
        </w:tc>
        <w:tc>
          <w:tcPr/>
          <w:p>
            <w:pPr>
              <w:pStyle w:val="Compact"/>
              <w:jc w:val="center"/>
            </w:pPr>
            <w:r>
              <w:t xml:space="preserve">22</w:t>
            </w:r>
          </w:p>
        </w:tc>
        <w:tc>
          <w:tcPr/>
          <w:p>
            <w:pPr>
              <w:pStyle w:val="Compact"/>
              <w:jc w:val="center"/>
            </w:pPr>
            <w:r>
              <w:t xml:space="preserve">43</w:t>
            </w:r>
          </w:p>
        </w:tc>
        <w:tc>
          <w:tcPr/>
          <w:p>
            <w:pPr>
              <w:pStyle w:val="Compact"/>
              <w:jc w:val="center"/>
            </w:pPr>
            <w:r>
              <w:t xml:space="preserve">23</w:t>
            </w:r>
          </w:p>
        </w:tc>
        <w:tc>
          <w:tcPr/>
          <w:p>
            <w:pPr>
              <w:pStyle w:val="Compact"/>
              <w:jc w:val="center"/>
            </w:pPr>
            <w:r>
              <w:t xml:space="preserve">12</w:t>
            </w:r>
          </w:p>
        </w:tc>
        <w:tc>
          <w:tcPr/>
          <w:p>
            <w:pPr>
              <w:pStyle w:val="Compact"/>
              <w:jc w:val="center"/>
            </w:pPr>
            <w:r>
              <w:t xml:space="preserve">0.32</w:t>
            </w:r>
          </w:p>
        </w:tc>
      </w:tr>
      <w:tr>
        <w:tc>
          <w:tcPr/>
          <w:p>
            <w:pPr>
              <w:pStyle w:val="Compact"/>
              <w:jc w:val="left"/>
            </w:pPr>
            <w:r>
              <w:t xml:space="preserve">TCGA-LUAD</w:t>
            </w:r>
          </w:p>
        </w:tc>
        <w:tc>
          <w:tcPr/>
          <w:p>
            <w:pPr>
              <w:pStyle w:val="Compact"/>
              <w:jc w:val="center"/>
            </w:pPr>
            <w:r>
              <w:t xml:space="preserve">Train</w:t>
            </w:r>
          </w:p>
        </w:tc>
        <w:tc>
          <w:tcPr/>
          <w:p>
            <w:pPr>
              <w:pStyle w:val="Compact"/>
              <w:jc w:val="center"/>
            </w:pPr>
            <w:r>
              <w:t xml:space="preserve">356</w:t>
            </w:r>
          </w:p>
        </w:tc>
        <w:tc>
          <w:tcPr/>
          <w:p>
            <w:pPr>
              <w:pStyle w:val="Compact"/>
              <w:jc w:val="center"/>
            </w:pPr>
            <w:r>
              <w:t xml:space="preserve">65.9</w:t>
            </w:r>
            <w:r>
              <w:t xml:space="preserve"> </w:t>
            </w:r>
            <m:oMath>
              <m:r>
                <m:rPr>
                  <m:sty m:val="p"/>
                </m:rPr>
                <m:t>±</m:t>
              </m:r>
            </m:oMath>
            <w:r>
              <w:t xml:space="preserve"> </w:t>
            </w:r>
            <w:r>
              <w:t xml:space="preserve">9.9</w:t>
            </w:r>
          </w:p>
        </w:tc>
        <w:tc>
          <w:tcPr/>
          <w:p>
            <w:pPr>
              <w:pStyle w:val="Compact"/>
              <w:jc w:val="center"/>
            </w:pPr>
            <w:r>
              <w:t xml:space="preserve">53.1</w:t>
            </w:r>
          </w:p>
        </w:tc>
        <w:tc>
          <w:tcPr/>
          <w:p>
            <w:pPr>
              <w:pStyle w:val="Compact"/>
              <w:jc w:val="center"/>
            </w:pPr>
            <w:r>
              <w:t xml:space="preserve">33</w:t>
            </w:r>
          </w:p>
        </w:tc>
        <w:tc>
          <w:tcPr/>
          <w:p>
            <w:pPr>
              <w:pStyle w:val="Compact"/>
              <w:jc w:val="center"/>
            </w:pPr>
            <w:r>
              <w:t xml:space="preserve">28</w:t>
            </w:r>
          </w:p>
        </w:tc>
        <w:tc>
          <w:tcPr/>
          <w:p>
            <w:pPr>
              <w:pStyle w:val="Compact"/>
              <w:jc w:val="center"/>
            </w:pPr>
            <w:r>
              <w:t xml:space="preserve">27</w:t>
            </w:r>
          </w:p>
        </w:tc>
        <w:tc>
          <w:tcPr/>
          <w:p>
            <w:pPr>
              <w:pStyle w:val="Compact"/>
              <w:jc w:val="center"/>
            </w:pPr>
            <w:r>
              <w:t xml:space="preserve">12</w:t>
            </w:r>
          </w:p>
        </w:tc>
        <w:tc>
          <w:tcPr/>
          <w:p>
            <w:pPr>
              <w:pStyle w:val="Compact"/>
              <w:jc w:val="center"/>
            </w:pPr>
            <w:r>
              <w:t xml:space="preserve">0.42</w:t>
            </w:r>
          </w:p>
        </w:tc>
      </w:tr>
      <w:tr>
        <w:tc>
          <w:tcPr/>
          <w:p>
            <w:pPr>
              <w:pStyle w:val="Compact"/>
              <w:jc w:val="left"/>
            </w:pPr>
            <w:r>
              <w:t xml:space="preserve">TCGA-LUAD</w:t>
            </w:r>
          </w:p>
        </w:tc>
        <w:tc>
          <w:tcPr/>
          <w:p>
            <w:pPr>
              <w:pStyle w:val="Compact"/>
              <w:jc w:val="center"/>
            </w:pPr>
            <w:r>
              <w:t xml:space="preserve">Val</w:t>
            </w:r>
          </w:p>
        </w:tc>
        <w:tc>
          <w:tcPr/>
          <w:p>
            <w:pPr>
              <w:pStyle w:val="Compact"/>
              <w:jc w:val="center"/>
            </w:pPr>
            <w:r>
              <w:t xml:space="preserve">88</w:t>
            </w:r>
          </w:p>
        </w:tc>
        <w:tc>
          <w:tcPr/>
          <w:p>
            <w:pPr>
              <w:pStyle w:val="Compact"/>
              <w:jc w:val="center"/>
            </w:pPr>
            <w:r>
              <w:t xml:space="preserve">65.0</w:t>
            </w:r>
            <w:r>
              <w:t xml:space="preserve"> </w:t>
            </w:r>
            <m:oMath>
              <m:r>
                <m:rPr>
                  <m:sty m:val="p"/>
                </m:rPr>
                <m:t>±</m:t>
              </m:r>
            </m:oMath>
            <w:r>
              <w:t xml:space="preserve"> </w:t>
            </w:r>
            <w:r>
              <w:t xml:space="preserve">10.8</w:t>
            </w:r>
          </w:p>
        </w:tc>
        <w:tc>
          <w:tcPr/>
          <w:p>
            <w:pPr>
              <w:pStyle w:val="Compact"/>
              <w:jc w:val="center"/>
            </w:pPr>
            <w:r>
              <w:t xml:space="preserve">53.4</w:t>
            </w:r>
          </w:p>
        </w:tc>
        <w:tc>
          <w:tcPr/>
          <w:p>
            <w:pPr>
              <w:pStyle w:val="Compact"/>
              <w:jc w:val="center"/>
            </w:pPr>
            <w:r>
              <w:t xml:space="preserve">39</w:t>
            </w:r>
          </w:p>
        </w:tc>
        <w:tc>
          <w:tcPr/>
          <w:p>
            <w:pPr>
              <w:pStyle w:val="Compact"/>
              <w:jc w:val="center"/>
            </w:pPr>
            <w:r>
              <w:t xml:space="preserve">23</w:t>
            </w:r>
          </w:p>
        </w:tc>
        <w:tc>
          <w:tcPr/>
          <w:p>
            <w:pPr>
              <w:pStyle w:val="Compact"/>
              <w:jc w:val="center"/>
            </w:pPr>
            <w:r>
              <w:t xml:space="preserve">26</w:t>
            </w:r>
          </w:p>
        </w:tc>
        <w:tc>
          <w:tcPr/>
          <w:p>
            <w:pPr>
              <w:pStyle w:val="Compact"/>
              <w:jc w:val="center"/>
            </w:pPr>
            <w:r>
              <w:t xml:space="preserve">12</w:t>
            </w:r>
          </w:p>
        </w:tc>
        <w:tc>
          <w:tcPr/>
          <w:p>
            <w:pPr>
              <w:pStyle w:val="Compact"/>
              <w:jc w:val="center"/>
            </w:pPr>
            <w:r>
              <w:t xml:space="preserve">0.41</w:t>
            </w:r>
          </w:p>
        </w:tc>
      </w:tr>
      <w:tr>
        <w:tc>
          <w:tcPr/>
          <w:p>
            <w:pPr>
              <w:pStyle w:val="Compact"/>
              <w:jc w:val="left"/>
            </w:pPr>
            <w:r>
              <w:t xml:space="preserve">TCGA-LUAD</w:t>
            </w:r>
          </w:p>
        </w:tc>
        <w:tc>
          <w:tcPr/>
          <w:p>
            <w:pPr>
              <w:pStyle w:val="Compact"/>
              <w:jc w:val="center"/>
            </w:pPr>
            <w:r>
              <w:t xml:space="preserve">Test</w:t>
            </w:r>
          </w:p>
        </w:tc>
        <w:tc>
          <w:tcPr/>
          <w:p>
            <w:pPr>
              <w:pStyle w:val="Compact"/>
              <w:jc w:val="center"/>
            </w:pPr>
            <w:r>
              <w:t xml:space="preserve">86</w:t>
            </w:r>
          </w:p>
        </w:tc>
        <w:tc>
          <w:tcPr/>
          <w:p>
            <w:pPr>
              <w:pStyle w:val="Compact"/>
              <w:jc w:val="center"/>
            </w:pPr>
            <w:r>
              <w:t xml:space="preserve">64.8</w:t>
            </w:r>
            <w:r>
              <w:t xml:space="preserve"> </w:t>
            </w:r>
            <m:oMath>
              <m:r>
                <m:rPr>
                  <m:sty m:val="p"/>
                </m:rPr>
                <m:t>±</m:t>
              </m:r>
            </m:oMath>
            <w:r>
              <w:t xml:space="preserve"> </w:t>
            </w:r>
            <w:r>
              <w:t xml:space="preserve">10.8</w:t>
            </w:r>
          </w:p>
        </w:tc>
        <w:tc>
          <w:tcPr/>
          <w:p>
            <w:pPr>
              <w:pStyle w:val="Compact"/>
              <w:jc w:val="center"/>
            </w:pPr>
            <w:r>
              <w:t xml:space="preserve">53.8</w:t>
            </w:r>
          </w:p>
        </w:tc>
        <w:tc>
          <w:tcPr/>
          <w:p>
            <w:pPr>
              <w:pStyle w:val="Compact"/>
              <w:jc w:val="center"/>
            </w:pPr>
            <w:r>
              <w:t xml:space="preserve">38</w:t>
            </w:r>
          </w:p>
        </w:tc>
        <w:tc>
          <w:tcPr/>
          <w:p>
            <w:pPr>
              <w:pStyle w:val="Compact"/>
              <w:jc w:val="center"/>
            </w:pPr>
            <w:r>
              <w:t xml:space="preserve">23</w:t>
            </w:r>
          </w:p>
        </w:tc>
        <w:tc>
          <w:tcPr/>
          <w:p>
            <w:pPr>
              <w:pStyle w:val="Compact"/>
              <w:jc w:val="center"/>
            </w:pPr>
            <w:r>
              <w:t xml:space="preserve">28</w:t>
            </w:r>
          </w:p>
        </w:tc>
        <w:tc>
          <w:tcPr/>
          <w:p>
            <w:pPr>
              <w:pStyle w:val="Compact"/>
              <w:jc w:val="center"/>
            </w:pPr>
            <w:r>
              <w:t xml:space="preserve">11</w:t>
            </w:r>
          </w:p>
        </w:tc>
        <w:tc>
          <w:tcPr/>
          <w:p>
            <w:pPr>
              <w:pStyle w:val="Compact"/>
              <w:jc w:val="center"/>
            </w:pPr>
            <w:r>
              <w:t xml:space="preserve">0.41</w:t>
            </w:r>
          </w:p>
        </w:tc>
      </w:tr>
      <w:tr>
        <w:tc>
          <w:tcPr/>
          <w:p>
            <w:pPr>
              <w:pStyle w:val="Compact"/>
              <w:jc w:val="left"/>
            </w:pPr>
            <w:r>
              <w:t xml:space="preserve">CPTAC-BRCA</w:t>
            </w:r>
          </w:p>
        </w:tc>
        <w:tc>
          <w:tcPr/>
          <w:p>
            <w:pPr>
              <w:pStyle w:val="Compact"/>
              <w:jc w:val="center"/>
            </w:pPr>
            <w:r>
              <w:t xml:space="preserve">External</w:t>
            </w:r>
          </w:p>
        </w:tc>
        <w:tc>
          <w:tcPr/>
          <w:p>
            <w:pPr>
              <w:pStyle w:val="Compact"/>
              <w:jc w:val="center"/>
            </w:pPr>
            <w:r>
              <w:t xml:space="preserve">122</w:t>
            </w:r>
          </w:p>
        </w:tc>
        <w:tc>
          <w:tcPr/>
          <w:p>
            <w:pPr>
              <w:pStyle w:val="Compact"/>
              <w:jc w:val="center"/>
            </w:pPr>
            <w:r>
              <w:t xml:space="preserve">57.4</w:t>
            </w:r>
            <w:r>
              <w:t xml:space="preserve"> </w:t>
            </w:r>
            <m:oMath>
              <m:r>
                <m:rPr>
                  <m:sty m:val="p"/>
                </m:rPr>
                <m:t>±</m:t>
              </m:r>
            </m:oMath>
            <w:r>
              <w:t xml:space="preserve"> </w:t>
            </w:r>
            <w:r>
              <w:t xml:space="preserve">12.8</w:t>
            </w:r>
          </w:p>
        </w:tc>
        <w:tc>
          <w:tcPr/>
          <w:p>
            <w:pPr>
              <w:pStyle w:val="Compact"/>
              <w:jc w:val="center"/>
            </w:pPr>
            <w:r>
              <w:t xml:space="preserve">100.0</w:t>
            </w:r>
          </w:p>
        </w:tc>
        <w:tc>
          <w:tcPr/>
          <w:p>
            <w:pPr>
              <w:pStyle w:val="Compact"/>
              <w:jc w:val="center"/>
            </w:pPr>
            <w:r>
              <w:t xml:space="preserve">18</w:t>
            </w:r>
          </w:p>
        </w:tc>
        <w:tc>
          <w:tcPr/>
          <w:p>
            <w:pPr>
              <w:pStyle w:val="Compact"/>
              <w:jc w:val="center"/>
            </w:pPr>
            <w:r>
              <w:t xml:space="preserve">42</w:t>
            </w:r>
          </w:p>
        </w:tc>
        <w:tc>
          <w:tcPr/>
          <w:p>
            <w:pPr>
              <w:pStyle w:val="Compact"/>
              <w:jc w:val="center"/>
            </w:pPr>
            <w:r>
              <w:t xml:space="preserve">28</w:t>
            </w:r>
          </w:p>
        </w:tc>
        <w:tc>
          <w:tcPr/>
          <w:p>
            <w:pPr>
              <w:pStyle w:val="Compact"/>
              <w:jc w:val="center"/>
            </w:pPr>
            <w:r>
              <w:t xml:space="preserve">12</w:t>
            </w:r>
          </w:p>
        </w:tc>
        <w:tc>
          <w:tcPr/>
          <w:p>
            <w:pPr>
              <w:pStyle w:val="Compact"/>
              <w:jc w:val="center"/>
            </w:pPr>
            <w:r>
              <w:t xml:space="preserve">0.35</w:t>
            </w:r>
          </w:p>
        </w:tc>
      </w:tr>
      <w:tr>
        <w:tc>
          <w:tcPr/>
          <w:p>
            <w:pPr>
              <w:pStyle w:val="Compact"/>
              <w:jc w:val="left"/>
            </w:pPr>
            <w:r>
              <w:t xml:space="preserve">TCGA-TSS</w:t>
            </w:r>
          </w:p>
        </w:tc>
        <w:tc>
          <w:tcPr/>
          <w:p>
            <w:pPr>
              <w:pStyle w:val="Compact"/>
              <w:jc w:val="center"/>
            </w:pPr>
            <w:r>
              <w:t xml:space="preserve">External</w:t>
            </w:r>
          </w:p>
        </w:tc>
        <w:tc>
          <w:tcPr/>
          <w:p>
            <w:pPr>
              <w:pStyle w:val="Compact"/>
              <w:jc w:val="center"/>
            </w:pPr>
            <w:r>
              <w:t xml:space="preserve">285</w:t>
            </w:r>
          </w:p>
        </w:tc>
        <w:tc>
          <w:tcPr/>
          <w:p>
            <w:pPr>
              <w:pStyle w:val="Compact"/>
              <w:jc w:val="center"/>
            </w:pPr>
            <w:r>
              <w:t xml:space="preserve">58.6</w:t>
            </w:r>
            <w:r>
              <w:t xml:space="preserve"> </w:t>
            </w:r>
            <m:oMath>
              <m:r>
                <m:rPr>
                  <m:sty m:val="p"/>
                </m:rPr>
                <m:t>±</m:t>
              </m:r>
            </m:oMath>
            <w:r>
              <w:t xml:space="preserve"> </w:t>
            </w:r>
            <w:r>
              <w:t xml:space="preserve">13.2</w:t>
            </w:r>
          </w:p>
        </w:tc>
        <w:tc>
          <w:tcPr/>
          <w:p>
            <w:pPr>
              <w:pStyle w:val="Compact"/>
              <w:jc w:val="center"/>
            </w:pPr>
            <w:r>
              <w:t xml:space="preserve">99.3</w:t>
            </w:r>
          </w:p>
        </w:tc>
        <w:tc>
          <w:tcPr/>
          <w:p>
            <w:pPr>
              <w:pStyle w:val="Compact"/>
              <w:jc w:val="center"/>
            </w:pPr>
            <w:r>
              <w:t xml:space="preserve">24</w:t>
            </w:r>
          </w:p>
        </w:tc>
        <w:tc>
          <w:tcPr/>
          <w:p>
            <w:pPr>
              <w:pStyle w:val="Compact"/>
              <w:jc w:val="center"/>
            </w:pPr>
            <w:r>
              <w:t xml:space="preserve">40</w:t>
            </w:r>
          </w:p>
        </w:tc>
        <w:tc>
          <w:tcPr/>
          <w:p>
            <w:pPr>
              <w:pStyle w:val="Compact"/>
              <w:jc w:val="center"/>
            </w:pPr>
            <w:r>
              <w:t xml:space="preserve">25</w:t>
            </w:r>
          </w:p>
        </w:tc>
        <w:tc>
          <w:tcPr/>
          <w:p>
            <w:pPr>
              <w:pStyle w:val="Compact"/>
              <w:jc w:val="center"/>
            </w:pPr>
            <w:r>
              <w:t xml:space="preserve">11</w:t>
            </w:r>
          </w:p>
        </w:tc>
        <w:tc>
          <w:tcPr/>
          <w:p>
            <w:pPr>
              <w:pStyle w:val="Compact"/>
              <w:jc w:val="center"/>
            </w:pPr>
            <w:r>
              <w:t xml:space="preserve">0.38</w:t>
            </w:r>
          </w:p>
        </w:tc>
      </w:tr>
      <w:tr>
        <w:tc>
          <w:tcPr/>
          <w:p>
            <w:pPr>
              <w:pStyle w:val="Compact"/>
              <w:jc w:val="left"/>
            </w:pPr>
            <w:r>
              <w:t xml:space="preserve">HTAN-BRCA</w:t>
            </w:r>
          </w:p>
        </w:tc>
        <w:tc>
          <w:tcPr/>
          <w:p>
            <w:pPr>
              <w:pStyle w:val="Compact"/>
              <w:jc w:val="center"/>
            </w:pPr>
            <w:r>
              <w:t xml:space="preserve">Pretrain</w:t>
            </w:r>
          </w:p>
        </w:tc>
        <w:tc>
          <w:tcPr/>
          <w:p>
            <w:pPr>
              <w:pStyle w:val="Compact"/>
              <w:jc w:val="center"/>
            </w:pPr>
            <w:r>
              <w:t xml:space="preserve">48</w:t>
            </w:r>
          </w:p>
        </w:tc>
        <w:tc>
          <w:tcPr/>
          <w:p>
            <w:pPr>
              <w:pStyle w:val="Compact"/>
              <w:jc w:val="center"/>
            </w:pPr>
            <w:r>
              <w:t xml:space="preserve">53.3</w:t>
            </w:r>
            <w:r>
              <w:t xml:space="preserve"> </w:t>
            </w:r>
            <m:oMath>
              <m:r>
                <m:rPr>
                  <m:sty m:val="p"/>
                </m:rPr>
                <m:t>±</m:t>
              </m:r>
            </m:oMath>
            <w:r>
              <w:t xml:space="preserve"> </w:t>
            </w:r>
            <w:r>
              <w:t xml:space="preserve">11.4</w:t>
            </w:r>
          </w:p>
        </w:tc>
        <w:tc>
          <w:tcPr/>
          <w:p>
            <w:pPr>
              <w:pStyle w:val="Compact"/>
              <w:jc w:val="center"/>
            </w:pPr>
            <w:r>
              <w:t xml:space="preserve">100.0</w:t>
            </w:r>
          </w:p>
        </w:tc>
        <w:tc>
          <w:tcPr/>
          <w:p>
            <w:pPr>
              <w:pStyle w:val="Compact"/>
              <w:jc w:val="center"/>
            </w:pPr>
            <w:r>
              <w:t xml:space="preserve">34</w:t>
            </w:r>
          </w:p>
        </w:tc>
        <w:tc>
          <w:tcPr/>
          <w:p>
            <w:pPr>
              <w:pStyle w:val="Compact"/>
              <w:jc w:val="center"/>
            </w:pPr>
            <w:r>
              <w:t xml:space="preserve">41</w:t>
            </w:r>
          </w:p>
        </w:tc>
        <w:tc>
          <w:tcPr/>
          <w:p>
            <w:pPr>
              <w:pStyle w:val="Compact"/>
              <w:jc w:val="center"/>
            </w:pPr>
            <w:r>
              <w:t xml:space="preserve">18</w:t>
            </w:r>
          </w:p>
        </w:tc>
        <w:tc>
          <w:tcPr/>
          <w:p>
            <w:pPr>
              <w:pStyle w:val="Compact"/>
              <w:jc w:val="center"/>
            </w:pPr>
            <w:r>
              <w:t xml:space="preserve">7</w:t>
            </w:r>
          </w:p>
        </w:tc>
        <w:tc>
          <w:tcPr/>
          <w:p>
            <w:pPr>
              <w:pStyle w:val="Compact"/>
              <w:jc w:val="center"/>
            </w:pPr>
            <w:r>
              <w:t xml:space="preserve">0.25</w:t>
            </w:r>
          </w:p>
        </w:tc>
      </w:tr>
    </w:tbl>
    <w:bookmarkEnd w:id="9"/>
    <w:bookmarkEnd w:id="10"/>
    <w:bookmarkStart w:id="12" w:name="Xbcae5516f6cf69394a0306a9843e0f9c1af93ad"/>
    <w:p>
      <w:pPr>
        <w:pStyle w:val="Heading2"/>
      </w:pPr>
      <w:r>
        <w:t xml:space="preserve">Supplementary Table S2: Cross-Validation Results</w:t>
      </w:r>
    </w:p>
    <w:bookmarkStart w:id="11" w:name="tab:s2_cv_results"/>
    <w:p>
      <w:pPr>
        <w:pStyle w:val="TableCaption"/>
      </w:pPr>
      <w:r>
        <w:rPr>
          <w:b/>
          <w:bCs/>
        </w:rPr>
        <w:t xml:space="preserve">Cross-validation performance across 5 folds.</w:t>
      </w:r>
      <w:r>
        <w:t xml:space="preserve"> </w:t>
      </w:r>
      <w:r>
        <w:t xml:space="preserve">C-index values are presented as mean</w:t>
      </w:r>
      <w:r>
        <w:t xml:space="preserve"> </w:t>
      </w:r>
      <m:oMath>
        <m:r>
          <m:rPr>
            <m:sty m:val="p"/>
          </m:rPr>
          <m:t>±</m:t>
        </m:r>
      </m:oMath>
      <w:r>
        <w:t xml:space="preserve"> </w:t>
      </w:r>
      <w:r>
        <w:t xml:space="preserve">standard deviation across folds. 95% confidence intervals (CI) are computed from pooled predictions. Methods compared include Bio-STFM (ours), MCAT (Multimodal Co-Attention Transformer), Porpoise (Pathology-Omics Research Platform), TransMIL (Transformer-based Multiple Instance Learning), and ABMIL (Attention-based Multiple Instance Learning).</w:t>
      </w:r>
    </w:p>
    <w:tbl>
      <w:tblPr>
        <w:tblStyle w:val="Table"/>
        <w:tblW w:type="auto" w:w="0"/>
        <w:tblLook w:firstRow="1" w:lastRow="0" w:firstColumn="0" w:lastColumn="0" w:noHBand="0" w:noVBand="0" w:val="0020"/>
        <w:tblCaption w:val="Cross-validation performance across 5 folds. C-index values are presented as mean \pm standard deviation across folds. 95% confidence intervals (CI) are computed from pooled predictions. Methods compared include Bio-STFM (ours), MCAT (Multimodal Co-Attention Transformer), Porpoise (Pathology-Omics Research Platform), TransMIL (Transformer-based Multiple Instance Learning), and ABMIL (Attention-based Multiple Instance Learning)."/>
      </w:tblPr>
      <w:tblGrid>
        <w:gridCol w:w="1980"/>
        <w:gridCol w:w="1980"/>
        <w:gridCol w:w="1980"/>
        <w:gridCol w:w="1980"/>
      </w:tblGrid>
      <w:tr>
        <w:trPr>
          <w:tblHeader w:val="on"/>
        </w:trPr>
        <w:tc>
          <w:tcPr/>
          <w:p>
            <w:pPr>
              <w:pStyle w:val="Compact"/>
              <w:jc w:val="left"/>
            </w:pPr>
            <w:r>
              <w:rPr>
                <w:b/>
                <w:bCs/>
              </w:rPr>
              <w:t xml:space="preserve">Cancer Type</w:t>
            </w:r>
          </w:p>
        </w:tc>
        <w:tc>
          <w:tcPr/>
          <w:p>
            <w:pPr>
              <w:pStyle w:val="Compact"/>
              <w:jc w:val="left"/>
            </w:pPr>
            <w:r>
              <w:rPr>
                <w:b/>
                <w:bCs/>
              </w:rPr>
              <w:t xml:space="preserve">Method</w:t>
            </w:r>
          </w:p>
        </w:tc>
        <w:tc>
          <w:tcPr/>
          <w:p>
            <w:pPr>
              <w:pStyle w:val="Compact"/>
              <w:jc w:val="center"/>
            </w:pPr>
            <w:r>
              <w:rPr>
                <w:b/>
                <w:bCs/>
              </w:rPr>
              <w:t xml:space="preserve">C-index (mean</w:t>
            </w:r>
            <w:r>
              <w:rPr>
                <w:b/>
                <w:bCs/>
              </w:rPr>
              <w:t xml:space="preserve"> </w:t>
            </w:r>
            <m:oMath>
              <m:r>
                <m:rPr>
                  <m:sty m:val="p"/>
                </m:rPr>
                <m:t>±</m:t>
              </m:r>
            </m:oMath>
            <w:r>
              <w:rPr>
                <w:b/>
                <w:bCs/>
              </w:rPr>
              <w:t xml:space="preserve"> </w:t>
            </w:r>
            <w:r>
              <w:rPr>
                <w:b/>
                <w:bCs/>
              </w:rPr>
              <w:t xml:space="preserve">SD)</w:t>
            </w:r>
          </w:p>
        </w:tc>
        <w:tc>
          <w:tcPr/>
          <w:p>
            <w:pPr>
              <w:pStyle w:val="Compact"/>
              <w:jc w:val="center"/>
            </w:pPr>
            <w:r>
              <w:rPr>
                <w:b/>
                <w:bCs/>
              </w:rPr>
              <w:t xml:space="preserve">95% CI</w:t>
            </w:r>
          </w:p>
        </w:tc>
      </w:tr>
      <w:tr>
        <w:tc>
          <w:tcPr/>
          <w:p>
            <w:pPr>
              <w:pStyle w:val="Compact"/>
              <w:jc w:val="left"/>
            </w:pPr>
            <w:r>
              <w:t xml:space="preserve">BRCA</w:t>
            </w:r>
          </w:p>
        </w:tc>
        <w:tc>
          <w:tcPr/>
          <w:p>
            <w:pPr>
              <w:pStyle w:val="Compact"/>
              <w:jc w:val="left"/>
            </w:pPr>
            <w:r>
              <w:t xml:space="preserve">Bio-STFM</w:t>
            </w:r>
          </w:p>
        </w:tc>
        <w:tc>
          <w:tcPr/>
          <w:p>
            <w:pPr>
              <w:pStyle w:val="Compact"/>
              <w:jc w:val="center"/>
            </w:pPr>
            <w:r>
              <w:t xml:space="preserve">0.760</w:t>
            </w:r>
            <w:r>
              <w:t xml:space="preserve"> </w:t>
            </w:r>
            <m:oMath>
              <m:r>
                <m:rPr>
                  <m:sty m:val="p"/>
                </m:rPr>
                <m:t>±</m:t>
              </m:r>
            </m:oMath>
            <w:r>
              <w:t xml:space="preserve"> </w:t>
            </w:r>
            <w:r>
              <w:t xml:space="preserve">0.025</w:t>
            </w:r>
          </w:p>
        </w:tc>
        <w:tc>
          <w:tcPr/>
          <w:p>
            <w:pPr>
              <w:pStyle w:val="Compact"/>
              <w:jc w:val="center"/>
            </w:pPr>
            <w:r>
              <w:t xml:space="preserve">(0.729, 0.790)</w:t>
            </w:r>
          </w:p>
        </w:tc>
      </w:tr>
      <w:tr>
        <w:tc>
          <w:tcPr/>
          <w:p>
            <w:pPr>
              <w:pStyle w:val="Compact"/>
              <w:jc w:val="left"/>
            </w:pPr>
            <w:r>
              <w:t xml:space="preserve">BRCA</w:t>
            </w:r>
          </w:p>
        </w:tc>
        <w:tc>
          <w:tcPr/>
          <w:p>
            <w:pPr>
              <w:pStyle w:val="Compact"/>
              <w:jc w:val="left"/>
            </w:pPr>
            <w:r>
              <w:t xml:space="preserve">MCAT</w:t>
            </w:r>
          </w:p>
        </w:tc>
        <w:tc>
          <w:tcPr/>
          <w:p>
            <w:pPr>
              <w:pStyle w:val="Compact"/>
              <w:jc w:val="center"/>
            </w:pPr>
            <w:r>
              <w:t xml:space="preserve">0.715</w:t>
            </w:r>
            <w:r>
              <w:t xml:space="preserve"> </w:t>
            </w:r>
            <m:oMath>
              <m:r>
                <m:rPr>
                  <m:sty m:val="p"/>
                </m:rPr>
                <m:t>±</m:t>
              </m:r>
            </m:oMath>
            <w:r>
              <w:t xml:space="preserve"> </w:t>
            </w:r>
            <w:r>
              <w:t xml:space="preserve">0.028</w:t>
            </w:r>
          </w:p>
        </w:tc>
        <w:tc>
          <w:tcPr/>
          <w:p>
            <w:pPr>
              <w:pStyle w:val="Compact"/>
              <w:jc w:val="center"/>
            </w:pPr>
            <w:r>
              <w:t xml:space="preserve">(0.686, 0.744)</w:t>
            </w:r>
          </w:p>
        </w:tc>
      </w:tr>
      <w:tr>
        <w:tc>
          <w:tcPr/>
          <w:p>
            <w:pPr>
              <w:pStyle w:val="Compact"/>
              <w:jc w:val="left"/>
            </w:pPr>
            <w:r>
              <w:t xml:space="preserve">BRCA</w:t>
            </w:r>
          </w:p>
        </w:tc>
        <w:tc>
          <w:tcPr/>
          <w:p>
            <w:pPr>
              <w:pStyle w:val="Compact"/>
              <w:jc w:val="left"/>
            </w:pPr>
            <w:r>
              <w:t xml:space="preserve">Porpoise</w:t>
            </w:r>
          </w:p>
        </w:tc>
        <w:tc>
          <w:tcPr/>
          <w:p>
            <w:pPr>
              <w:pStyle w:val="Compact"/>
              <w:jc w:val="center"/>
            </w:pPr>
            <w:r>
              <w:t xml:space="preserve">0.704</w:t>
            </w:r>
            <w:r>
              <w:t xml:space="preserve"> </w:t>
            </w:r>
            <m:oMath>
              <m:r>
                <m:rPr>
                  <m:sty m:val="p"/>
                </m:rPr>
                <m:t>±</m:t>
              </m:r>
            </m:oMath>
            <w:r>
              <w:t xml:space="preserve"> </w:t>
            </w:r>
            <w:r>
              <w:t xml:space="preserve">0.019</w:t>
            </w:r>
          </w:p>
        </w:tc>
        <w:tc>
          <w:tcPr/>
          <w:p>
            <w:pPr>
              <w:pStyle w:val="Compact"/>
              <w:jc w:val="center"/>
            </w:pPr>
            <w:r>
              <w:t xml:space="preserve">(0.676, 0.732)</w:t>
            </w:r>
          </w:p>
        </w:tc>
      </w:tr>
      <w:tr>
        <w:tc>
          <w:tcPr/>
          <w:p>
            <w:pPr>
              <w:pStyle w:val="Compact"/>
              <w:jc w:val="left"/>
            </w:pPr>
            <w:r>
              <w:t xml:space="preserve">BRCA</w:t>
            </w:r>
          </w:p>
        </w:tc>
        <w:tc>
          <w:tcPr/>
          <w:p>
            <w:pPr>
              <w:pStyle w:val="Compact"/>
              <w:jc w:val="left"/>
            </w:pPr>
            <w:r>
              <w:t xml:space="preserve">TransMIL</w:t>
            </w:r>
          </w:p>
        </w:tc>
        <w:tc>
          <w:tcPr/>
          <w:p>
            <w:pPr>
              <w:pStyle w:val="Compact"/>
              <w:jc w:val="center"/>
            </w:pPr>
            <w:r>
              <w:t xml:space="preserve">0.677</w:t>
            </w:r>
            <w:r>
              <w:t xml:space="preserve"> </w:t>
            </w:r>
            <m:oMath>
              <m:r>
                <m:rPr>
                  <m:sty m:val="p"/>
                </m:rPr>
                <m:t>±</m:t>
              </m:r>
            </m:oMath>
            <w:r>
              <w:t xml:space="preserve"> </w:t>
            </w:r>
            <w:r>
              <w:t xml:space="preserve">0.012</w:t>
            </w:r>
          </w:p>
        </w:tc>
        <w:tc>
          <w:tcPr/>
          <w:p>
            <w:pPr>
              <w:pStyle w:val="Compact"/>
              <w:jc w:val="center"/>
            </w:pPr>
            <w:r>
              <w:t xml:space="preserve">(0.645, 0.709)</w:t>
            </w:r>
          </w:p>
        </w:tc>
      </w:tr>
      <w:tr>
        <w:tc>
          <w:tcPr/>
          <w:p>
            <w:pPr>
              <w:pStyle w:val="Compact"/>
              <w:jc w:val="left"/>
            </w:pPr>
            <w:r>
              <w:t xml:space="preserve">BRCA</w:t>
            </w:r>
          </w:p>
        </w:tc>
        <w:tc>
          <w:tcPr/>
          <w:p>
            <w:pPr>
              <w:pStyle w:val="Compact"/>
              <w:jc w:val="left"/>
            </w:pPr>
            <w:r>
              <w:t xml:space="preserve">ABMIL</w:t>
            </w:r>
          </w:p>
        </w:tc>
        <w:tc>
          <w:tcPr/>
          <w:p>
            <w:pPr>
              <w:pStyle w:val="Compact"/>
              <w:jc w:val="center"/>
            </w:pPr>
            <w:r>
              <w:t xml:space="preserve">0.663</w:t>
            </w:r>
            <w:r>
              <w:t xml:space="preserve"> </w:t>
            </w:r>
            <m:oMath>
              <m:r>
                <m:rPr>
                  <m:sty m:val="p"/>
                </m:rPr>
                <m:t>±</m:t>
              </m:r>
            </m:oMath>
            <w:r>
              <w:t xml:space="preserve"> </w:t>
            </w:r>
            <w:r>
              <w:t xml:space="preserve">0.018</w:t>
            </w:r>
          </w:p>
        </w:tc>
        <w:tc>
          <w:tcPr/>
          <w:p>
            <w:pPr>
              <w:pStyle w:val="Compact"/>
              <w:jc w:val="center"/>
            </w:pPr>
            <w:r>
              <w:t xml:space="preserve">(0.633, 0.692)</w:t>
            </w:r>
          </w:p>
        </w:tc>
      </w:tr>
      <w:tr>
        <w:tc>
          <w:tcPr/>
          <w:p>
            <w:pPr>
              <w:pStyle w:val="Compact"/>
              <w:jc w:val="left"/>
            </w:pPr>
            <w:r>
              <w:t xml:space="preserve">COAD</w:t>
            </w:r>
          </w:p>
        </w:tc>
        <w:tc>
          <w:tcPr/>
          <w:p>
            <w:pPr>
              <w:pStyle w:val="Compact"/>
              <w:jc w:val="left"/>
            </w:pPr>
            <w:r>
              <w:t xml:space="preserve">Bio-STFM</w:t>
            </w:r>
          </w:p>
        </w:tc>
        <w:tc>
          <w:tcPr/>
          <w:p>
            <w:pPr>
              <w:pStyle w:val="Compact"/>
              <w:jc w:val="center"/>
            </w:pPr>
            <w:r>
              <w:t xml:space="preserve">0.757</w:t>
            </w:r>
            <w:r>
              <w:t xml:space="preserve"> </w:t>
            </w:r>
            <m:oMath>
              <m:r>
                <m:rPr>
                  <m:sty m:val="p"/>
                </m:rPr>
                <m:t>±</m:t>
              </m:r>
            </m:oMath>
            <w:r>
              <w:t xml:space="preserve"> </w:t>
            </w:r>
            <w:r>
              <w:t xml:space="preserve">0.045</w:t>
            </w:r>
          </w:p>
        </w:tc>
        <w:tc>
          <w:tcPr/>
          <w:p>
            <w:pPr>
              <w:pStyle w:val="Compact"/>
              <w:jc w:val="center"/>
            </w:pPr>
            <w:r>
              <w:t xml:space="preserve">(0.726, 0.788)</w:t>
            </w:r>
          </w:p>
        </w:tc>
      </w:tr>
      <w:tr>
        <w:tc>
          <w:tcPr/>
          <w:p>
            <w:pPr>
              <w:pStyle w:val="Compact"/>
              <w:jc w:val="left"/>
            </w:pPr>
            <w:r>
              <w:t xml:space="preserve">COAD</w:t>
            </w:r>
          </w:p>
        </w:tc>
        <w:tc>
          <w:tcPr/>
          <w:p>
            <w:pPr>
              <w:pStyle w:val="Compact"/>
              <w:jc w:val="left"/>
            </w:pPr>
            <w:r>
              <w:t xml:space="preserve">MCAT</w:t>
            </w:r>
          </w:p>
        </w:tc>
        <w:tc>
          <w:tcPr/>
          <w:p>
            <w:pPr>
              <w:pStyle w:val="Compact"/>
              <w:jc w:val="center"/>
            </w:pPr>
            <w:r>
              <w:t xml:space="preserve">0.731</w:t>
            </w:r>
            <w:r>
              <w:t xml:space="preserve"> </w:t>
            </w:r>
            <m:oMath>
              <m:r>
                <m:rPr>
                  <m:sty m:val="p"/>
                </m:rPr>
                <m:t>±</m:t>
              </m:r>
            </m:oMath>
            <w:r>
              <w:t xml:space="preserve"> </w:t>
            </w:r>
            <w:r>
              <w:t xml:space="preserve">0.041</w:t>
            </w:r>
          </w:p>
        </w:tc>
        <w:tc>
          <w:tcPr/>
          <w:p>
            <w:pPr>
              <w:pStyle w:val="Compact"/>
              <w:jc w:val="center"/>
            </w:pPr>
            <w:r>
              <w:t xml:space="preserve">(0.698, 0.763)</w:t>
            </w:r>
          </w:p>
        </w:tc>
      </w:tr>
      <w:tr>
        <w:tc>
          <w:tcPr/>
          <w:p>
            <w:pPr>
              <w:pStyle w:val="Compact"/>
              <w:jc w:val="left"/>
            </w:pPr>
            <w:r>
              <w:t xml:space="preserve">COAD</w:t>
            </w:r>
          </w:p>
        </w:tc>
        <w:tc>
          <w:tcPr/>
          <w:p>
            <w:pPr>
              <w:pStyle w:val="Compact"/>
              <w:jc w:val="left"/>
            </w:pPr>
            <w:r>
              <w:t xml:space="preserve">Porpoise</w:t>
            </w:r>
          </w:p>
        </w:tc>
        <w:tc>
          <w:tcPr/>
          <w:p>
            <w:pPr>
              <w:pStyle w:val="Compact"/>
              <w:jc w:val="center"/>
            </w:pPr>
            <w:r>
              <w:t xml:space="preserve">0.724</w:t>
            </w:r>
            <w:r>
              <w:t xml:space="preserve"> </w:t>
            </w:r>
            <m:oMath>
              <m:r>
                <m:rPr>
                  <m:sty m:val="p"/>
                </m:rPr>
                <m:t>±</m:t>
              </m:r>
            </m:oMath>
            <w:r>
              <w:t xml:space="preserve"> </w:t>
            </w:r>
            <w:r>
              <w:t xml:space="preserve">0.033</w:t>
            </w:r>
          </w:p>
        </w:tc>
        <w:tc>
          <w:tcPr/>
          <w:p>
            <w:pPr>
              <w:pStyle w:val="Compact"/>
              <w:jc w:val="center"/>
            </w:pPr>
            <w:r>
              <w:t xml:space="preserve">(0.695, 0.753)</w:t>
            </w:r>
          </w:p>
        </w:tc>
      </w:tr>
      <w:tr>
        <w:tc>
          <w:tcPr/>
          <w:p>
            <w:pPr>
              <w:pStyle w:val="Compact"/>
              <w:jc w:val="left"/>
            </w:pPr>
            <w:r>
              <w:t xml:space="preserve">COAD</w:t>
            </w:r>
          </w:p>
        </w:tc>
        <w:tc>
          <w:tcPr/>
          <w:p>
            <w:pPr>
              <w:pStyle w:val="Compact"/>
              <w:jc w:val="left"/>
            </w:pPr>
            <w:r>
              <w:t xml:space="preserve">TransMIL</w:t>
            </w:r>
          </w:p>
        </w:tc>
        <w:tc>
          <w:tcPr/>
          <w:p>
            <w:pPr>
              <w:pStyle w:val="Compact"/>
              <w:jc w:val="center"/>
            </w:pPr>
            <w:r>
              <w:t xml:space="preserve">0.700</w:t>
            </w:r>
            <w:r>
              <w:t xml:space="preserve"> </w:t>
            </w:r>
            <m:oMath>
              <m:r>
                <m:rPr>
                  <m:sty m:val="p"/>
                </m:rPr>
                <m:t>±</m:t>
              </m:r>
            </m:oMath>
            <w:r>
              <w:t xml:space="preserve"> </w:t>
            </w:r>
            <w:r>
              <w:t xml:space="preserve">0.039</w:t>
            </w:r>
          </w:p>
        </w:tc>
        <w:tc>
          <w:tcPr/>
          <w:p>
            <w:pPr>
              <w:pStyle w:val="Compact"/>
              <w:jc w:val="center"/>
            </w:pPr>
            <w:r>
              <w:t xml:space="preserve">(0.672, 0.729)</w:t>
            </w:r>
          </w:p>
        </w:tc>
      </w:tr>
      <w:tr>
        <w:tc>
          <w:tcPr/>
          <w:p>
            <w:pPr>
              <w:pStyle w:val="Compact"/>
              <w:jc w:val="left"/>
            </w:pPr>
            <w:r>
              <w:t xml:space="preserve">COAD</w:t>
            </w:r>
          </w:p>
        </w:tc>
        <w:tc>
          <w:tcPr/>
          <w:p>
            <w:pPr>
              <w:pStyle w:val="Compact"/>
              <w:jc w:val="left"/>
            </w:pPr>
            <w:r>
              <w:t xml:space="preserve">ABMIL</w:t>
            </w:r>
          </w:p>
        </w:tc>
        <w:tc>
          <w:tcPr/>
          <w:p>
            <w:pPr>
              <w:pStyle w:val="Compact"/>
              <w:jc w:val="center"/>
            </w:pPr>
            <w:r>
              <w:t xml:space="preserve">0.681</w:t>
            </w:r>
            <w:r>
              <w:t xml:space="preserve"> </w:t>
            </w:r>
            <m:oMath>
              <m:r>
                <m:rPr>
                  <m:sty m:val="p"/>
                </m:rPr>
                <m:t>±</m:t>
              </m:r>
            </m:oMath>
            <w:r>
              <w:t xml:space="preserve"> </w:t>
            </w:r>
            <w:r>
              <w:t xml:space="preserve">0.064</w:t>
            </w:r>
          </w:p>
        </w:tc>
        <w:tc>
          <w:tcPr/>
          <w:p>
            <w:pPr>
              <w:pStyle w:val="Compact"/>
              <w:jc w:val="center"/>
            </w:pPr>
            <w:r>
              <w:t xml:space="preserve">(0.651, 0.712)</w:t>
            </w:r>
          </w:p>
        </w:tc>
      </w:tr>
      <w:tr>
        <w:tc>
          <w:tcPr/>
          <w:p>
            <w:pPr>
              <w:pStyle w:val="Compact"/>
              <w:jc w:val="left"/>
            </w:pPr>
            <w:r>
              <w:t xml:space="preserve">KIRC</w:t>
            </w:r>
          </w:p>
        </w:tc>
        <w:tc>
          <w:tcPr/>
          <w:p>
            <w:pPr>
              <w:pStyle w:val="Compact"/>
              <w:jc w:val="left"/>
            </w:pPr>
            <w:r>
              <w:t xml:space="preserve">Bio-STFM</w:t>
            </w:r>
          </w:p>
        </w:tc>
        <w:tc>
          <w:tcPr/>
          <w:p>
            <w:pPr>
              <w:pStyle w:val="Compact"/>
              <w:jc w:val="center"/>
            </w:pPr>
            <w:r>
              <w:t xml:space="preserve">0.776</w:t>
            </w:r>
            <w:r>
              <w:t xml:space="preserve"> </w:t>
            </w:r>
            <m:oMath>
              <m:r>
                <m:rPr>
                  <m:sty m:val="p"/>
                </m:rPr>
                <m:t>±</m:t>
              </m:r>
            </m:oMath>
            <w:r>
              <w:t xml:space="preserve"> </w:t>
            </w:r>
            <w:r>
              <w:t xml:space="preserve">0.039</w:t>
            </w:r>
          </w:p>
        </w:tc>
        <w:tc>
          <w:tcPr/>
          <w:p>
            <w:pPr>
              <w:pStyle w:val="Compact"/>
              <w:jc w:val="center"/>
            </w:pPr>
            <w:r>
              <w:t xml:space="preserve">(0.748, 0.804)</w:t>
            </w:r>
          </w:p>
        </w:tc>
      </w:tr>
      <w:tr>
        <w:tc>
          <w:tcPr/>
          <w:p>
            <w:pPr>
              <w:pStyle w:val="Compact"/>
              <w:jc w:val="left"/>
            </w:pPr>
            <w:r>
              <w:t xml:space="preserve">KIRC</w:t>
            </w:r>
          </w:p>
        </w:tc>
        <w:tc>
          <w:tcPr/>
          <w:p>
            <w:pPr>
              <w:pStyle w:val="Compact"/>
              <w:jc w:val="left"/>
            </w:pPr>
            <w:r>
              <w:t xml:space="preserve">MCAT</w:t>
            </w:r>
          </w:p>
        </w:tc>
        <w:tc>
          <w:tcPr/>
          <w:p>
            <w:pPr>
              <w:pStyle w:val="Compact"/>
              <w:jc w:val="center"/>
            </w:pPr>
            <w:r>
              <w:t xml:space="preserve">0.734</w:t>
            </w:r>
            <w:r>
              <w:t xml:space="preserve"> </w:t>
            </w:r>
            <m:oMath>
              <m:r>
                <m:rPr>
                  <m:sty m:val="p"/>
                </m:rPr>
                <m:t>±</m:t>
              </m:r>
            </m:oMath>
            <w:r>
              <w:t xml:space="preserve"> </w:t>
            </w:r>
            <w:r>
              <w:t xml:space="preserve">0.045</w:t>
            </w:r>
          </w:p>
        </w:tc>
        <w:tc>
          <w:tcPr/>
          <w:p>
            <w:pPr>
              <w:pStyle w:val="Compact"/>
              <w:jc w:val="center"/>
            </w:pPr>
            <w:r>
              <w:t xml:space="preserve">(0.703, 0.764)</w:t>
            </w:r>
          </w:p>
        </w:tc>
      </w:tr>
      <w:tr>
        <w:tc>
          <w:tcPr/>
          <w:p>
            <w:pPr>
              <w:pStyle w:val="Compact"/>
              <w:jc w:val="left"/>
            </w:pPr>
            <w:r>
              <w:t xml:space="preserve">KIRC</w:t>
            </w:r>
          </w:p>
        </w:tc>
        <w:tc>
          <w:tcPr/>
          <w:p>
            <w:pPr>
              <w:pStyle w:val="Compact"/>
              <w:jc w:val="left"/>
            </w:pPr>
            <w:r>
              <w:t xml:space="preserve">Porpoise</w:t>
            </w:r>
          </w:p>
        </w:tc>
        <w:tc>
          <w:tcPr/>
          <w:p>
            <w:pPr>
              <w:pStyle w:val="Compact"/>
              <w:jc w:val="center"/>
            </w:pPr>
            <w:r>
              <w:t xml:space="preserve">0.714</w:t>
            </w:r>
            <w:r>
              <w:t xml:space="preserve"> </w:t>
            </w:r>
            <m:oMath>
              <m:r>
                <m:rPr>
                  <m:sty m:val="p"/>
                </m:rPr>
                <m:t>±</m:t>
              </m:r>
            </m:oMath>
            <w:r>
              <w:t xml:space="preserve"> </w:t>
            </w:r>
            <w:r>
              <w:t xml:space="preserve">0.028</w:t>
            </w:r>
          </w:p>
        </w:tc>
        <w:tc>
          <w:tcPr/>
          <w:p>
            <w:pPr>
              <w:pStyle w:val="Compact"/>
              <w:jc w:val="center"/>
            </w:pPr>
            <w:r>
              <w:t xml:space="preserve">(0.684, 0.744)</w:t>
            </w:r>
          </w:p>
        </w:tc>
      </w:tr>
      <w:tr>
        <w:tc>
          <w:tcPr/>
          <w:p>
            <w:pPr>
              <w:pStyle w:val="Compact"/>
              <w:jc w:val="left"/>
            </w:pPr>
            <w:r>
              <w:t xml:space="preserve">KIRC</w:t>
            </w:r>
          </w:p>
        </w:tc>
        <w:tc>
          <w:tcPr/>
          <w:p>
            <w:pPr>
              <w:pStyle w:val="Compact"/>
              <w:jc w:val="left"/>
            </w:pPr>
            <w:r>
              <w:t xml:space="preserve">ABMIL</w:t>
            </w:r>
          </w:p>
        </w:tc>
        <w:tc>
          <w:tcPr/>
          <w:p>
            <w:pPr>
              <w:pStyle w:val="Compact"/>
              <w:jc w:val="center"/>
            </w:pPr>
            <w:r>
              <w:t xml:space="preserve">0.698</w:t>
            </w:r>
            <w:r>
              <w:t xml:space="preserve"> </w:t>
            </w:r>
            <m:oMath>
              <m:r>
                <m:rPr>
                  <m:sty m:val="p"/>
                </m:rPr>
                <m:t>±</m:t>
              </m:r>
            </m:oMath>
            <w:r>
              <w:t xml:space="preserve"> </w:t>
            </w:r>
            <w:r>
              <w:t xml:space="preserve">0.039</w:t>
            </w:r>
          </w:p>
        </w:tc>
        <w:tc>
          <w:tcPr/>
          <w:p>
            <w:pPr>
              <w:pStyle w:val="Compact"/>
              <w:jc w:val="center"/>
            </w:pPr>
            <w:r>
              <w:t xml:space="preserve">(0.669, 0.727)</w:t>
            </w:r>
          </w:p>
        </w:tc>
      </w:tr>
      <w:tr>
        <w:tc>
          <w:tcPr/>
          <w:p>
            <w:pPr>
              <w:pStyle w:val="Compact"/>
              <w:jc w:val="left"/>
            </w:pPr>
            <w:r>
              <w:t xml:space="preserve">KIRC</w:t>
            </w:r>
          </w:p>
        </w:tc>
        <w:tc>
          <w:tcPr/>
          <w:p>
            <w:pPr>
              <w:pStyle w:val="Compact"/>
              <w:jc w:val="left"/>
            </w:pPr>
            <w:r>
              <w:t xml:space="preserve">TransMIL</w:t>
            </w:r>
          </w:p>
        </w:tc>
        <w:tc>
          <w:tcPr/>
          <w:p>
            <w:pPr>
              <w:pStyle w:val="Compact"/>
              <w:jc w:val="center"/>
            </w:pPr>
            <w:r>
              <w:t xml:space="preserve">0.696</w:t>
            </w:r>
            <w:r>
              <w:t xml:space="preserve"> </w:t>
            </w:r>
            <m:oMath>
              <m:r>
                <m:rPr>
                  <m:sty m:val="p"/>
                </m:rPr>
                <m:t>±</m:t>
              </m:r>
            </m:oMath>
            <w:r>
              <w:t xml:space="preserve"> </w:t>
            </w:r>
            <w:r>
              <w:t xml:space="preserve">0.037</w:t>
            </w:r>
          </w:p>
        </w:tc>
        <w:tc>
          <w:tcPr/>
          <w:p>
            <w:pPr>
              <w:pStyle w:val="Compact"/>
              <w:jc w:val="center"/>
            </w:pPr>
            <w:r>
              <w:t xml:space="preserve">(0.666, 0.726)</w:t>
            </w:r>
          </w:p>
        </w:tc>
      </w:tr>
      <w:tr>
        <w:tc>
          <w:tcPr/>
          <w:p>
            <w:pPr>
              <w:pStyle w:val="Compact"/>
              <w:jc w:val="left"/>
            </w:pPr>
            <w:r>
              <w:t xml:space="preserve">LIHC</w:t>
            </w:r>
          </w:p>
        </w:tc>
        <w:tc>
          <w:tcPr/>
          <w:p>
            <w:pPr>
              <w:pStyle w:val="Compact"/>
              <w:jc w:val="left"/>
            </w:pPr>
            <w:r>
              <w:t xml:space="preserve">Bio-STFM</w:t>
            </w:r>
          </w:p>
        </w:tc>
        <w:tc>
          <w:tcPr/>
          <w:p>
            <w:pPr>
              <w:pStyle w:val="Compact"/>
              <w:jc w:val="center"/>
            </w:pPr>
            <w:r>
              <w:t xml:space="preserve">0.742</w:t>
            </w:r>
            <w:r>
              <w:t xml:space="preserve"> </w:t>
            </w:r>
            <m:oMath>
              <m:r>
                <m:rPr>
                  <m:sty m:val="p"/>
                </m:rPr>
                <m:t>±</m:t>
              </m:r>
            </m:oMath>
            <w:r>
              <w:t xml:space="preserve"> </w:t>
            </w:r>
            <w:r>
              <w:t xml:space="preserve">0.037</w:t>
            </w:r>
          </w:p>
        </w:tc>
        <w:tc>
          <w:tcPr/>
          <w:p>
            <w:pPr>
              <w:pStyle w:val="Compact"/>
              <w:jc w:val="center"/>
            </w:pPr>
            <w:r>
              <w:t xml:space="preserve">(0.712, 0.773)</w:t>
            </w:r>
          </w:p>
        </w:tc>
      </w:tr>
      <w:tr>
        <w:tc>
          <w:tcPr/>
          <w:p>
            <w:pPr>
              <w:pStyle w:val="Compact"/>
              <w:jc w:val="left"/>
            </w:pPr>
            <w:r>
              <w:t xml:space="preserve">LIHC</w:t>
            </w:r>
          </w:p>
        </w:tc>
        <w:tc>
          <w:tcPr/>
          <w:p>
            <w:pPr>
              <w:pStyle w:val="Compact"/>
              <w:jc w:val="left"/>
            </w:pPr>
            <w:r>
              <w:t xml:space="preserve">MCAT</w:t>
            </w:r>
          </w:p>
        </w:tc>
        <w:tc>
          <w:tcPr/>
          <w:p>
            <w:pPr>
              <w:pStyle w:val="Compact"/>
              <w:jc w:val="center"/>
            </w:pPr>
            <w:r>
              <w:t xml:space="preserve">0.700</w:t>
            </w:r>
            <w:r>
              <w:t xml:space="preserve"> </w:t>
            </w:r>
            <m:oMath>
              <m:r>
                <m:rPr>
                  <m:sty m:val="p"/>
                </m:rPr>
                <m:t>±</m:t>
              </m:r>
            </m:oMath>
            <w:r>
              <w:t xml:space="preserve"> </w:t>
            </w:r>
            <w:r>
              <w:t xml:space="preserve">0.035</w:t>
            </w:r>
          </w:p>
        </w:tc>
        <w:tc>
          <w:tcPr/>
          <w:p>
            <w:pPr>
              <w:pStyle w:val="Compact"/>
              <w:jc w:val="center"/>
            </w:pPr>
            <w:r>
              <w:t xml:space="preserve">(0.671, 0.729)</w:t>
            </w:r>
          </w:p>
        </w:tc>
      </w:tr>
      <w:tr>
        <w:tc>
          <w:tcPr/>
          <w:p>
            <w:pPr>
              <w:pStyle w:val="Compact"/>
              <w:jc w:val="left"/>
            </w:pPr>
            <w:r>
              <w:t xml:space="preserve">LIHC</w:t>
            </w:r>
          </w:p>
        </w:tc>
        <w:tc>
          <w:tcPr/>
          <w:p>
            <w:pPr>
              <w:pStyle w:val="Compact"/>
              <w:jc w:val="left"/>
            </w:pPr>
            <w:r>
              <w:t xml:space="preserve">Porpoise</w:t>
            </w:r>
          </w:p>
        </w:tc>
        <w:tc>
          <w:tcPr/>
          <w:p>
            <w:pPr>
              <w:pStyle w:val="Compact"/>
              <w:jc w:val="center"/>
            </w:pPr>
            <w:r>
              <w:t xml:space="preserve">0.683</w:t>
            </w:r>
            <w:r>
              <w:t xml:space="preserve"> </w:t>
            </w:r>
            <m:oMath>
              <m:r>
                <m:rPr>
                  <m:sty m:val="p"/>
                </m:rPr>
                <m:t>±</m:t>
              </m:r>
            </m:oMath>
            <w:r>
              <w:t xml:space="preserve"> </w:t>
            </w:r>
            <w:r>
              <w:t xml:space="preserve">0.012</w:t>
            </w:r>
          </w:p>
        </w:tc>
        <w:tc>
          <w:tcPr/>
          <w:p>
            <w:pPr>
              <w:pStyle w:val="Compact"/>
              <w:jc w:val="center"/>
            </w:pPr>
            <w:r>
              <w:t xml:space="preserve">(0.653, 0.714)</w:t>
            </w:r>
          </w:p>
        </w:tc>
      </w:tr>
      <w:tr>
        <w:tc>
          <w:tcPr/>
          <w:p>
            <w:pPr>
              <w:pStyle w:val="Compact"/>
              <w:jc w:val="left"/>
            </w:pPr>
            <w:r>
              <w:t xml:space="preserve">LIHC</w:t>
            </w:r>
          </w:p>
        </w:tc>
        <w:tc>
          <w:tcPr/>
          <w:p>
            <w:pPr>
              <w:pStyle w:val="Compact"/>
              <w:jc w:val="left"/>
            </w:pPr>
            <w:r>
              <w:t xml:space="preserve">TransMIL</w:t>
            </w:r>
          </w:p>
        </w:tc>
        <w:tc>
          <w:tcPr/>
          <w:p>
            <w:pPr>
              <w:pStyle w:val="Compact"/>
              <w:jc w:val="center"/>
            </w:pPr>
            <w:r>
              <w:t xml:space="preserve">0.671</w:t>
            </w:r>
            <w:r>
              <w:t xml:space="preserve"> </w:t>
            </w:r>
            <m:oMath>
              <m:r>
                <m:rPr>
                  <m:sty m:val="p"/>
                </m:rPr>
                <m:t>±</m:t>
              </m:r>
            </m:oMath>
            <w:r>
              <w:t xml:space="preserve"> </w:t>
            </w:r>
            <w:r>
              <w:t xml:space="preserve">0.033</w:t>
            </w:r>
          </w:p>
        </w:tc>
        <w:tc>
          <w:tcPr/>
          <w:p>
            <w:pPr>
              <w:pStyle w:val="Compact"/>
              <w:jc w:val="center"/>
            </w:pPr>
            <w:r>
              <w:t xml:space="preserve">(0.641, 0.700)</w:t>
            </w:r>
          </w:p>
        </w:tc>
      </w:tr>
      <w:tr>
        <w:tc>
          <w:tcPr/>
          <w:p>
            <w:pPr>
              <w:pStyle w:val="Compact"/>
              <w:jc w:val="left"/>
            </w:pPr>
            <w:r>
              <w:t xml:space="preserve">LIHC</w:t>
            </w:r>
          </w:p>
        </w:tc>
        <w:tc>
          <w:tcPr/>
          <w:p>
            <w:pPr>
              <w:pStyle w:val="Compact"/>
              <w:jc w:val="left"/>
            </w:pPr>
            <w:r>
              <w:t xml:space="preserve">ABMIL</w:t>
            </w:r>
          </w:p>
        </w:tc>
        <w:tc>
          <w:tcPr/>
          <w:p>
            <w:pPr>
              <w:pStyle w:val="Compact"/>
              <w:jc w:val="center"/>
            </w:pPr>
            <w:r>
              <w:t xml:space="preserve">0.650</w:t>
            </w:r>
            <w:r>
              <w:t xml:space="preserve"> </w:t>
            </w:r>
            <m:oMath>
              <m:r>
                <m:rPr>
                  <m:sty m:val="p"/>
                </m:rPr>
                <m:t>±</m:t>
              </m:r>
            </m:oMath>
            <w:r>
              <w:t xml:space="preserve"> </w:t>
            </w:r>
            <w:r>
              <w:t xml:space="preserve">0.023</w:t>
            </w:r>
          </w:p>
        </w:tc>
        <w:tc>
          <w:tcPr/>
          <w:p>
            <w:pPr>
              <w:pStyle w:val="Compact"/>
              <w:jc w:val="center"/>
            </w:pPr>
            <w:r>
              <w:t xml:space="preserve">(0.620, 0.679)</w:t>
            </w:r>
          </w:p>
        </w:tc>
      </w:tr>
      <w:tr>
        <w:tc>
          <w:tcPr/>
          <w:p>
            <w:pPr>
              <w:pStyle w:val="Compact"/>
              <w:jc w:val="left"/>
            </w:pPr>
            <w:r>
              <w:t xml:space="preserve">LUAD</w:t>
            </w:r>
          </w:p>
        </w:tc>
        <w:tc>
          <w:tcPr/>
          <w:p>
            <w:pPr>
              <w:pStyle w:val="Compact"/>
              <w:jc w:val="left"/>
            </w:pPr>
            <w:r>
              <w:t xml:space="preserve">Bio-STFM</w:t>
            </w:r>
          </w:p>
        </w:tc>
        <w:tc>
          <w:tcPr/>
          <w:p>
            <w:pPr>
              <w:pStyle w:val="Compact"/>
              <w:jc w:val="center"/>
            </w:pPr>
            <w:r>
              <w:t xml:space="preserve">0.740</w:t>
            </w:r>
            <w:r>
              <w:t xml:space="preserve"> </w:t>
            </w:r>
            <m:oMath>
              <m:r>
                <m:rPr>
                  <m:sty m:val="p"/>
                </m:rPr>
                <m:t>±</m:t>
              </m:r>
            </m:oMath>
            <w:r>
              <w:t xml:space="preserve"> </w:t>
            </w:r>
            <w:r>
              <w:t xml:space="preserve">0.050</w:t>
            </w:r>
          </w:p>
        </w:tc>
        <w:tc>
          <w:tcPr/>
          <w:p>
            <w:pPr>
              <w:pStyle w:val="Compact"/>
              <w:jc w:val="center"/>
            </w:pPr>
            <w:r>
              <w:t xml:space="preserve">(0.710, 0.770)</w:t>
            </w:r>
          </w:p>
        </w:tc>
      </w:tr>
      <w:tr>
        <w:tc>
          <w:tcPr/>
          <w:p>
            <w:pPr>
              <w:pStyle w:val="Compact"/>
              <w:jc w:val="left"/>
            </w:pPr>
            <w:r>
              <w:t xml:space="preserve">LUAD</w:t>
            </w:r>
          </w:p>
        </w:tc>
        <w:tc>
          <w:tcPr/>
          <w:p>
            <w:pPr>
              <w:pStyle w:val="Compact"/>
              <w:jc w:val="left"/>
            </w:pPr>
            <w:r>
              <w:t xml:space="preserve">MCAT</w:t>
            </w:r>
          </w:p>
        </w:tc>
        <w:tc>
          <w:tcPr/>
          <w:p>
            <w:pPr>
              <w:pStyle w:val="Compact"/>
              <w:jc w:val="center"/>
            </w:pPr>
            <w:r>
              <w:t xml:space="preserve">0.706</w:t>
            </w:r>
            <w:r>
              <w:t xml:space="preserve"> </w:t>
            </w:r>
            <m:oMath>
              <m:r>
                <m:rPr>
                  <m:sty m:val="p"/>
                </m:rPr>
                <m:t>±</m:t>
              </m:r>
            </m:oMath>
            <w:r>
              <w:t xml:space="preserve"> </w:t>
            </w:r>
            <w:r>
              <w:t xml:space="preserve">0.033</w:t>
            </w:r>
          </w:p>
        </w:tc>
        <w:tc>
          <w:tcPr/>
          <w:p>
            <w:pPr>
              <w:pStyle w:val="Compact"/>
              <w:jc w:val="center"/>
            </w:pPr>
            <w:r>
              <w:t xml:space="preserve">(0.674, 0.737)</w:t>
            </w:r>
          </w:p>
        </w:tc>
      </w:tr>
      <w:tr>
        <w:tc>
          <w:tcPr/>
          <w:p>
            <w:pPr>
              <w:pStyle w:val="Compact"/>
              <w:jc w:val="left"/>
            </w:pPr>
            <w:r>
              <w:t xml:space="preserve">LUAD</w:t>
            </w:r>
          </w:p>
        </w:tc>
        <w:tc>
          <w:tcPr/>
          <w:p>
            <w:pPr>
              <w:pStyle w:val="Compact"/>
              <w:jc w:val="left"/>
            </w:pPr>
            <w:r>
              <w:t xml:space="preserve">TransMIL</w:t>
            </w:r>
          </w:p>
        </w:tc>
        <w:tc>
          <w:tcPr/>
          <w:p>
            <w:pPr>
              <w:pStyle w:val="Compact"/>
              <w:jc w:val="center"/>
            </w:pPr>
            <w:r>
              <w:t xml:space="preserve">0.678</w:t>
            </w:r>
            <w:r>
              <w:t xml:space="preserve"> </w:t>
            </w:r>
            <m:oMath>
              <m:r>
                <m:rPr>
                  <m:sty m:val="p"/>
                </m:rPr>
                <m:t>±</m:t>
              </m:r>
            </m:oMath>
            <w:r>
              <w:t xml:space="preserve"> </w:t>
            </w:r>
            <w:r>
              <w:t xml:space="preserve">0.035</w:t>
            </w:r>
          </w:p>
        </w:tc>
        <w:tc>
          <w:tcPr/>
          <w:p>
            <w:pPr>
              <w:pStyle w:val="Compact"/>
              <w:jc w:val="center"/>
            </w:pPr>
            <w:r>
              <w:t xml:space="preserve">(0.648, 0.708)</w:t>
            </w:r>
          </w:p>
        </w:tc>
      </w:tr>
      <w:tr>
        <w:tc>
          <w:tcPr/>
          <w:p>
            <w:pPr>
              <w:pStyle w:val="Compact"/>
              <w:jc w:val="left"/>
            </w:pPr>
            <w:r>
              <w:t xml:space="preserve">LUAD</w:t>
            </w:r>
          </w:p>
        </w:tc>
        <w:tc>
          <w:tcPr/>
          <w:p>
            <w:pPr>
              <w:pStyle w:val="Compact"/>
              <w:jc w:val="left"/>
            </w:pPr>
            <w:r>
              <w:t xml:space="preserve">Porpoise</w:t>
            </w:r>
          </w:p>
        </w:tc>
        <w:tc>
          <w:tcPr/>
          <w:p>
            <w:pPr>
              <w:pStyle w:val="Compact"/>
              <w:jc w:val="center"/>
            </w:pPr>
            <w:r>
              <w:t xml:space="preserve">0.665</w:t>
            </w:r>
            <w:r>
              <w:t xml:space="preserve"> </w:t>
            </w:r>
            <m:oMath>
              <m:r>
                <m:rPr>
                  <m:sty m:val="p"/>
                </m:rPr>
                <m:t>±</m:t>
              </m:r>
            </m:oMath>
            <w:r>
              <w:t xml:space="preserve"> </w:t>
            </w:r>
            <w:r>
              <w:t xml:space="preserve">0.038</w:t>
            </w:r>
          </w:p>
        </w:tc>
        <w:tc>
          <w:tcPr/>
          <w:p>
            <w:pPr>
              <w:pStyle w:val="Compact"/>
              <w:jc w:val="center"/>
            </w:pPr>
            <w:r>
              <w:t xml:space="preserve">(0.635, 0.696)</w:t>
            </w:r>
          </w:p>
        </w:tc>
      </w:tr>
      <w:tr>
        <w:tc>
          <w:tcPr/>
          <w:p>
            <w:pPr>
              <w:pStyle w:val="Compact"/>
              <w:jc w:val="left"/>
            </w:pPr>
            <w:r>
              <w:t xml:space="preserve">LUAD</w:t>
            </w:r>
          </w:p>
        </w:tc>
        <w:tc>
          <w:tcPr/>
          <w:p>
            <w:pPr>
              <w:pStyle w:val="Compact"/>
              <w:jc w:val="left"/>
            </w:pPr>
            <w:r>
              <w:t xml:space="preserve">ABMIL</w:t>
            </w:r>
          </w:p>
        </w:tc>
        <w:tc>
          <w:tcPr/>
          <w:p>
            <w:pPr>
              <w:pStyle w:val="Compact"/>
              <w:jc w:val="center"/>
            </w:pPr>
            <w:r>
              <w:t xml:space="preserve">0.646</w:t>
            </w:r>
            <w:r>
              <w:t xml:space="preserve"> </w:t>
            </w:r>
            <m:oMath>
              <m:r>
                <m:rPr>
                  <m:sty m:val="p"/>
                </m:rPr>
                <m:t>±</m:t>
              </m:r>
            </m:oMath>
            <w:r>
              <w:t xml:space="preserve"> </w:t>
            </w:r>
            <w:r>
              <w:t xml:space="preserve">0.023</w:t>
            </w:r>
          </w:p>
        </w:tc>
        <w:tc>
          <w:tcPr/>
          <w:p>
            <w:pPr>
              <w:pStyle w:val="Compact"/>
              <w:jc w:val="center"/>
            </w:pPr>
            <w:r>
              <w:t xml:space="preserve">(0.615, 0.676)</w:t>
            </w:r>
          </w:p>
        </w:tc>
      </w:tr>
    </w:tbl>
    <w:bookmarkEnd w:id="11"/>
    <w:bookmarkEnd w:id="12"/>
    <w:bookmarkStart w:id="14" w:name="Xd8b73a4372b07ee8d0c10ac1b0772e100c804d6"/>
    <w:p>
      <w:pPr>
        <w:pStyle w:val="Heading2"/>
      </w:pPr>
      <w:r>
        <w:t xml:space="preserve">Supplementary Table S3: Statistical Tests Summary</w:t>
      </w:r>
    </w:p>
    <w:bookmarkStart w:id="13" w:name="tab:s3_statistics"/>
    <w:p>
      <w:pPr>
        <w:pStyle w:val="TableCaption"/>
      </w:pPr>
      <w:r>
        <w:rPr>
          <w:b/>
          <w:bCs/>
        </w:rPr>
        <w:t xml:space="preserve">Summary of statistical tests performed.</w:t>
      </w:r>
      <w:r>
        <w:t xml:space="preserve"> </w:t>
      </w:r>
      <w:r>
        <w:t xml:space="preserve">Effect sizes are reported as Cohen’s d for paired t-tests. Significance threshold:</w:t>
      </w:r>
      <w:r>
        <w:t xml:space="preserve"> </w:t>
      </w:r>
      <m:oMath>
        <m:r>
          <m:t>α</m:t>
        </m:r>
        <m:r>
          <m:rPr>
            <m:sty m:val="p"/>
          </m:rPr>
          <m:t>=</m:t>
        </m:r>
        <m:r>
          <m:t>0.05</m:t>
        </m:r>
      </m:oMath>
      <w:r>
        <w:t xml:space="preserve"> </w:t>
      </w:r>
      <w:r>
        <w:t xml:space="preserve">with Bonferroni correction for multiple comparisons. Log-rank tests were used for survival curve comparisons. BRCA, breast invasive carcinoma; CPTAC, Clinical Proteomic Tumor Analysis Consortium; TSS, TCGA tissue source site external validation cohort.</w:t>
      </w:r>
    </w:p>
    <w:tbl>
      <w:tblPr>
        <w:tblStyle w:val="Table"/>
        <w:tblW w:type="auto" w:w="0"/>
        <w:tblLook w:firstRow="1" w:lastRow="0" w:firstColumn="0" w:lastColumn="0" w:noHBand="0" w:noVBand="0" w:val="0020"/>
        <w:tblCaption w:val="Summary of statistical tests performed. Effect sizes are reported as Cohen’s d for paired t-tests. Significance threshold: \alpha = 0.05 with Bonferroni correction for multiple comparisons. Log-rank tests were used for survival curve comparisons. BRCA, breast invasive carcinoma; CPTAC, Clinical Proteomic Tumor Analysis Consortium; TSS, TCGA tissue source site external validation cohort."/>
      </w:tblPr>
      <w:tblGrid>
        <w:gridCol w:w="1320"/>
        <w:gridCol w:w="1320"/>
        <w:gridCol w:w="1320"/>
        <w:gridCol w:w="1320"/>
        <w:gridCol w:w="1320"/>
        <w:gridCol w:w="1320"/>
      </w:tblGrid>
      <w:tr>
        <w:trPr>
          <w:tblHeader w:val="on"/>
        </w:trPr>
        <w:tc>
          <w:tcPr/>
          <w:p>
            <w:pPr>
              <w:pStyle w:val="Compact"/>
              <w:jc w:val="left"/>
            </w:pPr>
            <w:r>
              <w:rPr>
                <w:b/>
                <w:bCs/>
              </w:rPr>
              <w:t xml:space="preserve">Comparison</w:t>
            </w:r>
          </w:p>
        </w:tc>
        <w:tc>
          <w:tcPr/>
          <w:p>
            <w:pPr>
              <w:pStyle w:val="Compact"/>
              <w:jc w:val="center"/>
            </w:pPr>
            <w:r>
              <w:rPr>
                <w:b/>
                <w:bCs/>
              </w:rPr>
              <w:t xml:space="preserve">Test</w:t>
            </w:r>
          </w:p>
        </w:tc>
        <w:tc>
          <w:tcPr/>
          <w:p>
            <w:pPr>
              <w:pStyle w:val="Compact"/>
              <w:jc w:val="center"/>
            </w:pPr>
            <w:r>
              <w:rPr>
                <w:b/>
                <w:bCs/>
              </w:rPr>
              <w:t xml:space="preserve">Statistic</w:t>
            </w:r>
          </w:p>
        </w:tc>
        <w:tc>
          <w:tcPr/>
          <w:p>
            <w:pPr>
              <w:pStyle w:val="Compact"/>
              <w:jc w:val="center"/>
            </w:pPr>
            <w:r>
              <w:rPr>
                <w:b/>
                <w:bCs/>
              </w:rPr>
              <w:t xml:space="preserve">P-value</w:t>
            </w:r>
          </w:p>
        </w:tc>
        <w:tc>
          <w:tcPr/>
          <w:p>
            <w:pPr>
              <w:pStyle w:val="Compact"/>
              <w:jc w:val="center"/>
            </w:pPr>
            <w:r>
              <w:rPr>
                <w:b/>
                <w:bCs/>
              </w:rPr>
              <w:t xml:space="preserve">Effect Size</w:t>
            </w:r>
          </w:p>
        </w:tc>
        <w:tc>
          <w:tcPr/>
          <w:p>
            <w:pPr>
              <w:pStyle w:val="Compact"/>
              <w:jc w:val="left"/>
            </w:pPr>
            <w:r>
              <w:rPr>
                <w:b/>
                <w:bCs/>
              </w:rPr>
              <w:t xml:space="preserve">Significant</w:t>
            </w:r>
          </w:p>
        </w:tc>
      </w:tr>
      <w:tr>
        <w:tc>
          <w:tcPr/>
          <w:p>
            <w:pPr>
              <w:pStyle w:val="Compact"/>
              <w:jc w:val="left"/>
            </w:pPr>
            <w:r>
              <w:t xml:space="preserve">Bio-STFM vs MCAT</w:t>
            </w:r>
          </w:p>
        </w:tc>
        <w:tc>
          <w:tcPr/>
          <w:p>
            <w:pPr>
              <w:pStyle w:val="Compact"/>
              <w:jc w:val="center"/>
            </w:pPr>
            <w:r>
              <w:t xml:space="preserve">Paired</w:t>
            </w:r>
            <w:r>
              <w:t xml:space="preserve"> </w:t>
            </w:r>
            <m:oMath>
              <m:r>
                <m:t>t</m:t>
              </m:r>
            </m:oMath>
          </w:p>
        </w:tc>
        <w:tc>
          <w:tcPr/>
          <w:p>
            <w:pPr>
              <w:pStyle w:val="Compact"/>
              <w:jc w:val="center"/>
            </w:pPr>
            <w:r>
              <w:t xml:space="preserve">6.12</w:t>
            </w:r>
          </w:p>
        </w:tc>
        <w:tc>
          <w:tcPr/>
          <w:p>
            <w:pPr>
              <w:pStyle w:val="Compact"/>
              <w:jc w:val="center"/>
            </w:pPr>
            <w:r>
              <w:t xml:space="preserve">0.0002</w:t>
            </w:r>
          </w:p>
        </w:tc>
        <w:tc>
          <w:tcPr/>
          <w:p>
            <w:pPr>
              <w:pStyle w:val="Compact"/>
              <w:jc w:val="center"/>
            </w:pPr>
            <w:r>
              <w:t xml:space="preserve">1.94</w:t>
            </w:r>
          </w:p>
        </w:tc>
        <w:tc>
          <w:tcPr/>
          <w:p>
            <w:pPr>
              <w:pStyle w:val="Compact"/>
              <w:jc w:val="left"/>
            </w:pPr>
            <w:r>
              <w:t xml:space="preserve">Yes</w:t>
            </w:r>
          </w:p>
        </w:tc>
      </w:tr>
      <w:tr>
        <w:tc>
          <w:tcPr/>
          <w:p>
            <w:pPr>
              <w:pStyle w:val="Compact"/>
              <w:jc w:val="left"/>
            </w:pPr>
            <w:r>
              <w:t xml:space="preserve">Bio-STFM vs Porpoise</w:t>
            </w:r>
          </w:p>
        </w:tc>
        <w:tc>
          <w:tcPr/>
          <w:p>
            <w:pPr>
              <w:pStyle w:val="Compact"/>
              <w:jc w:val="center"/>
            </w:pPr>
            <w:r>
              <w:t xml:space="preserve">Paired</w:t>
            </w:r>
            <w:r>
              <w:t xml:space="preserve"> </w:t>
            </w:r>
            <m:oMath>
              <m:r>
                <m:t>t</m:t>
              </m:r>
            </m:oMath>
          </w:p>
        </w:tc>
        <w:tc>
          <w:tcPr/>
          <w:p>
            <w:pPr>
              <w:pStyle w:val="Compact"/>
              <w:jc w:val="center"/>
            </w:pPr>
            <w:r>
              <w:t xml:space="preserve">3.13</w:t>
            </w:r>
          </w:p>
        </w:tc>
        <w:tc>
          <w:tcPr/>
          <w:p>
            <w:pPr>
              <w:pStyle w:val="Compact"/>
              <w:jc w:val="center"/>
            </w:pPr>
            <w:r>
              <w:t xml:space="preserve">0.012</w:t>
            </w:r>
          </w:p>
        </w:tc>
        <w:tc>
          <w:tcPr/>
          <w:p>
            <w:pPr>
              <w:pStyle w:val="Compact"/>
              <w:jc w:val="center"/>
            </w:pPr>
            <w:r>
              <w:t xml:space="preserve">0.99</w:t>
            </w:r>
          </w:p>
        </w:tc>
        <w:tc>
          <w:tcPr/>
          <w:p>
            <w:pPr>
              <w:pStyle w:val="Compact"/>
              <w:jc w:val="left"/>
            </w:pPr>
            <w:r>
              <w:t xml:space="preserve">Yes</w:t>
            </w:r>
          </w:p>
        </w:tc>
      </w:tr>
      <w:tr>
        <w:tc>
          <w:tcPr/>
          <w:p>
            <w:pPr>
              <w:pStyle w:val="Compact"/>
              <w:jc w:val="left"/>
            </w:pPr>
            <w:r>
              <w:t xml:space="preserve">Bio-STFM vs TransMIL</w:t>
            </w:r>
          </w:p>
        </w:tc>
        <w:tc>
          <w:tcPr/>
          <w:p>
            <w:pPr>
              <w:pStyle w:val="Compact"/>
              <w:jc w:val="center"/>
            </w:pPr>
            <w:r>
              <w:t xml:space="preserve">Paired</w:t>
            </w:r>
            <w:r>
              <w:t xml:space="preserve"> </w:t>
            </w:r>
            <m:oMath>
              <m:r>
                <m:t>t</m:t>
              </m:r>
            </m:oMath>
          </w:p>
        </w:tc>
        <w:tc>
          <w:tcPr/>
          <w:p>
            <w:pPr>
              <w:pStyle w:val="Compact"/>
              <w:jc w:val="center"/>
            </w:pPr>
            <w:r>
              <w:t xml:space="preserve">5.30</w:t>
            </w:r>
          </w:p>
        </w:tc>
        <w:tc>
          <w:tcPr/>
          <w:p>
            <w:pPr>
              <w:pStyle w:val="Compact"/>
              <w:jc w:val="center"/>
            </w:pPr>
            <w:r>
              <w:t xml:space="preserve">0.0005</w:t>
            </w:r>
          </w:p>
        </w:tc>
        <w:tc>
          <w:tcPr/>
          <w:p>
            <w:pPr>
              <w:pStyle w:val="Compact"/>
              <w:jc w:val="center"/>
            </w:pPr>
            <w:r>
              <w:t xml:space="preserve">1.68</w:t>
            </w:r>
          </w:p>
        </w:tc>
        <w:tc>
          <w:tcPr/>
          <w:p>
            <w:pPr>
              <w:pStyle w:val="Compact"/>
              <w:jc w:val="left"/>
            </w:pPr>
            <w:r>
              <w:t xml:space="preserve">Yes</w:t>
            </w:r>
          </w:p>
        </w:tc>
      </w:tr>
      <w:tr>
        <w:tc>
          <w:tcPr/>
          <w:p>
            <w:pPr>
              <w:pStyle w:val="Compact"/>
              <w:jc w:val="left"/>
            </w:pPr>
            <w:r>
              <w:t xml:space="preserve">Bio-STFM vs ABMIL</w:t>
            </w:r>
          </w:p>
        </w:tc>
        <w:tc>
          <w:tcPr/>
          <w:p>
            <w:pPr>
              <w:pStyle w:val="Compact"/>
              <w:jc w:val="center"/>
            </w:pPr>
            <w:r>
              <w:t xml:space="preserve">Paired</w:t>
            </w:r>
            <w:r>
              <w:t xml:space="preserve"> </w:t>
            </w:r>
            <m:oMath>
              <m:r>
                <m:t>t</m:t>
              </m:r>
            </m:oMath>
          </w:p>
        </w:tc>
        <w:tc>
          <w:tcPr/>
          <w:p>
            <w:pPr>
              <w:pStyle w:val="Compact"/>
              <w:jc w:val="center"/>
            </w:pPr>
            <w:r>
              <w:t xml:space="preserve">6.17</w:t>
            </w:r>
          </w:p>
        </w:tc>
        <w:tc>
          <w:tcPr/>
          <w:p>
            <w:pPr>
              <w:pStyle w:val="Compact"/>
              <w:jc w:val="center"/>
            </w:pPr>
            <w:r>
              <w:t xml:space="preserve">0.0002</w:t>
            </w:r>
          </w:p>
        </w:tc>
        <w:tc>
          <w:tcPr/>
          <w:p>
            <w:pPr>
              <w:pStyle w:val="Compact"/>
              <w:jc w:val="center"/>
            </w:pPr>
            <w:r>
              <w:t xml:space="preserve">1.95</w:t>
            </w:r>
          </w:p>
        </w:tc>
        <w:tc>
          <w:tcPr/>
          <w:p>
            <w:pPr>
              <w:pStyle w:val="Compact"/>
              <w:jc w:val="left"/>
            </w:pPr>
            <w:r>
              <w:t xml:space="preserve">Yes</w:t>
            </w:r>
          </w:p>
        </w:tc>
      </w:tr>
      <w:tr>
        <w:tc>
          <w:tcPr/>
          <w:p>
            <w:pPr>
              <w:pStyle w:val="Compact"/>
              <w:jc w:val="left"/>
            </w:pPr>
            <w:r>
              <w:t xml:space="preserve">High vs Low Risk (BRCA)</w:t>
            </w:r>
          </w:p>
        </w:tc>
        <w:tc>
          <w:tcPr/>
          <w:p>
            <w:pPr>
              <w:pStyle w:val="Compact"/>
              <w:jc w:val="center"/>
            </w:pPr>
            <w:r>
              <w:t xml:space="preserve">Log-rank</w:t>
            </w:r>
          </w:p>
        </w:tc>
        <w:tc>
          <w:tcPr/>
          <w:p>
            <w:pPr>
              <w:pStyle w:val="Compact"/>
              <w:jc w:val="center"/>
            </w:pPr>
            <w:r>
              <w:t xml:space="preserve">163.83</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r>
        <w:tc>
          <w:tcPr/>
          <w:p>
            <w:pPr>
              <w:pStyle w:val="Compact"/>
              <w:jc w:val="left"/>
            </w:pPr>
            <w:r>
              <w:t xml:space="preserve">High vs Low Risk (CPTAC)</w:t>
            </w:r>
          </w:p>
        </w:tc>
        <w:tc>
          <w:tcPr/>
          <w:p>
            <w:pPr>
              <w:pStyle w:val="Compact"/>
              <w:jc w:val="center"/>
            </w:pPr>
            <w:r>
              <w:t xml:space="preserve">Log-rank</w:t>
            </w:r>
          </w:p>
        </w:tc>
        <w:tc>
          <w:tcPr/>
          <w:p>
            <w:pPr>
              <w:pStyle w:val="Compact"/>
              <w:jc w:val="center"/>
            </w:pPr>
            <w:r>
              <w:t xml:space="preserve">77.81</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r>
        <w:tc>
          <w:tcPr/>
          <w:p>
            <w:pPr>
              <w:pStyle w:val="Compact"/>
              <w:jc w:val="left"/>
            </w:pPr>
            <w:r>
              <w:t xml:space="preserve">High vs Low Risk (TCGA-TSS)</w:t>
            </w:r>
          </w:p>
        </w:tc>
        <w:tc>
          <w:tcPr/>
          <w:p>
            <w:pPr>
              <w:pStyle w:val="Compact"/>
              <w:jc w:val="center"/>
            </w:pPr>
            <w:r>
              <w:t xml:space="preserve">Log-rank</w:t>
            </w:r>
          </w:p>
        </w:tc>
        <w:tc>
          <w:tcPr/>
          <w:p>
            <w:pPr>
              <w:pStyle w:val="Compact"/>
              <w:jc w:val="center"/>
            </w:pPr>
            <w:r>
              <w:t xml:space="preserve">40.26</w:t>
            </w:r>
          </w:p>
        </w:tc>
        <w:tc>
          <w:tcPr/>
          <w:p>
            <w:pPr>
              <w:pStyle w:val="Compact"/>
              <w:jc w:val="center"/>
            </w:pPr>
            <m:oMath>
              <m:r>
                <m:rPr>
                  <m:sty m:val="p"/>
                </m:rPr>
                <m:t>&lt;</m:t>
              </m:r>
            </m:oMath>
            <w:r>
              <w:t xml:space="preserve"> </w:t>
            </w:r>
            <w:r>
              <w:t xml:space="preserve">0.0001</w:t>
            </w:r>
          </w:p>
        </w:tc>
        <w:tc>
          <w:tcPr/>
          <w:p>
            <w:pPr>
              <w:pStyle w:val="Compact"/>
              <w:jc w:val="center"/>
            </w:pPr>
            <w:r>
              <w:t xml:space="preserve">—</w:t>
            </w:r>
          </w:p>
        </w:tc>
        <w:tc>
          <w:tcPr/>
          <w:p>
            <w:pPr>
              <w:pStyle w:val="Compact"/>
              <w:jc w:val="left"/>
            </w:pPr>
            <w:r>
              <w:t xml:space="preserve">Yes</w:t>
            </w:r>
          </w:p>
        </w:tc>
      </w:tr>
    </w:tbl>
    <w:bookmarkEnd w:id="13"/>
    <w:bookmarkEnd w:id="14"/>
    <w:bookmarkStart w:id="16" w:name="X32a558cdac3b427cdbb979286e74a24cb60b513"/>
    <w:p>
      <w:pPr>
        <w:pStyle w:val="Heading2"/>
      </w:pPr>
      <w:r>
        <w:t xml:space="preserve">Supplementary Table S4: External Validation of Predicted Targets</w:t>
      </w:r>
    </w:p>
    <w:bookmarkStart w:id="15" w:name="tab:s4_external_validation"/>
    <w:p>
      <w:pPr>
        <w:pStyle w:val="TableCaption"/>
      </w:pPr>
      <w:r>
        <w:rPr>
          <w:b/>
          <w:bCs/>
        </w:rPr>
        <w:t xml:space="preserve">External validation of computationally predicted therapeutic targets.</w:t>
      </w:r>
      <w:r>
        <w:t xml:space="preserve"> </w:t>
      </w:r>
      <w:r>
        <w:t xml:space="preserve">CRISPR DepMap indicates gene essentiality from the Cancer Dependency Map (score</w:t>
      </w:r>
      <w:r>
        <w:t xml:space="preserve"> </w:t>
      </w:r>
      <m:oMath>
        <m:r>
          <m:rPr>
            <m:sty m:val="p"/>
          </m:rPr>
          <m:t>&lt;</m:t>
        </m:r>
      </m:oMath>
      <w:r>
        <w:t xml:space="preserve"> </w:t>
      </w:r>
      <m:oMath>
        <m:r>
          <m:rPr>
            <m:sty m:val="p"/>
          </m:rPr>
          <m:t>−</m:t>
        </m:r>
      </m:oMath>
      <w:r>
        <w:t xml:space="preserve">0.5 indicates essentiality). Drug sensitivity was assessed from GDSC/CCLE databases. Clinical trial status reflects the most advanced stage for the corresponding drug. Overlap P-value computed using Fisher’s exact test comparing our predictions with established targets. Check marks () indicate validation; dashes (—) indicate no data available. PMID, PubMed identifier.</w:t>
      </w:r>
    </w:p>
    <w:tbl>
      <w:tblPr>
        <w:tblStyle w:val="Table"/>
        <w:tblW w:type="auto" w:w="0"/>
        <w:tblLook w:firstRow="1" w:lastRow="0" w:firstColumn="0" w:lastColumn="0" w:noHBand="0" w:noVBand="0" w:val="0020"/>
        <w:tblCaption w:val="External validation of computationally predicted therapeutic targets. CRISPR DepMap indicates gene essentiality from the Cancer Dependency Map (score &lt; -0.5 indicates essentiality). Drug sensitivity was assessed from GDSC/CCLE databases. Clinical trial status reflects the most advanced stage for the corresponding drug. Overlap P-value computed using Fisher’s exact test comparing our predictions with established targets. Check marks () indicate validation; dashes (—) indicate no data available. PMID, PubMed identifier."/>
      </w:tblPr>
      <w:tblGrid>
        <w:gridCol w:w="990"/>
        <w:gridCol w:w="990"/>
        <w:gridCol w:w="990"/>
        <w:gridCol w:w="990"/>
        <w:gridCol w:w="990"/>
        <w:gridCol w:w="990"/>
        <w:gridCol w:w="990"/>
        <w:gridCol w:w="990"/>
      </w:tblGrid>
      <w:tr>
        <w:trPr>
          <w:tblHeader w:val="on"/>
        </w:trPr>
        <w:tc>
          <w:tcPr/>
          <w:p>
            <w:pPr>
              <w:pStyle w:val="Compact"/>
              <w:jc w:val="left"/>
            </w:pPr>
            <w:r>
              <w:rPr>
                <w:b/>
                <w:bCs/>
              </w:rPr>
              <w:t xml:space="preserve">Target</w:t>
            </w:r>
          </w:p>
        </w:tc>
        <w:tc>
          <w:tcPr/>
          <w:p>
            <w:pPr>
              <w:pStyle w:val="Compact"/>
              <w:jc w:val="left"/>
            </w:pPr>
            <w:r>
              <w:rPr>
                <w:b/>
                <w:bCs/>
              </w:rPr>
              <w:t xml:space="preserve">Genes</w:t>
            </w:r>
          </w:p>
        </w:tc>
        <w:tc>
          <w:tcPr/>
          <w:p>
            <w:pPr>
              <w:pStyle w:val="Compact"/>
              <w:jc w:val="center"/>
            </w:pPr>
            <w:r>
              <w:rPr>
                <w:b/>
                <w:bCs/>
              </w:rPr>
              <w:t xml:space="preserve">CRISPR</w:t>
            </w:r>
          </w:p>
        </w:tc>
        <w:tc>
          <w:tcPr/>
          <w:p>
            <w:pPr>
              <w:pStyle w:val="Compact"/>
              <w:jc w:val="center"/>
            </w:pPr>
            <w:r>
              <w:rPr>
                <w:b/>
                <w:bCs/>
              </w:rPr>
              <w:t xml:space="preserve">Score</w:t>
            </w:r>
          </w:p>
        </w:tc>
        <w:tc>
          <w:tcPr/>
          <w:p>
            <w:pPr>
              <w:pStyle w:val="Compact"/>
              <w:jc w:val="center"/>
            </w:pPr>
            <w:r>
              <w:rPr>
                <w:b/>
                <w:bCs/>
              </w:rPr>
              <w:t xml:space="preserve">Drug</w:t>
            </w:r>
          </w:p>
        </w:tc>
        <w:tc>
          <w:tcPr/>
          <w:p>
            <w:pPr>
              <w:pStyle w:val="Compact"/>
              <w:jc w:val="center"/>
            </w:pPr>
            <w:r>
              <w:rPr>
                <w:b/>
                <w:bCs/>
              </w:rPr>
              <w:t xml:space="preserve">Drug Name</w:t>
            </w:r>
          </w:p>
        </w:tc>
        <w:tc>
          <w:tcPr/>
          <w:p>
            <w:pPr>
              <w:pStyle w:val="Compact"/>
              <w:jc w:val="center"/>
            </w:pPr>
            <w:r>
              <w:rPr>
                <w:b/>
                <w:bCs/>
              </w:rPr>
              <w:t xml:space="preserve">Trial</w:t>
            </w:r>
          </w:p>
        </w:tc>
        <w:tc>
          <w:tcPr/>
          <w:p>
            <w:pPr>
              <w:pStyle w:val="Compact"/>
              <w:jc w:val="center"/>
            </w:pPr>
            <w:r>
              <w:rPr>
                <w:b/>
                <w:bCs/>
              </w:rPr>
              <w:t xml:space="preserve">P-value</w:t>
            </w:r>
          </w:p>
        </w:tc>
      </w:tr>
      <w:tr>
        <w:tc>
          <w:tcPr/>
          <w:p>
            <w:pPr>
              <w:pStyle w:val="Compact"/>
              <w:jc w:val="left"/>
            </w:pPr>
            <w:r>
              <w:t xml:space="preserve">PD1-PDL1</w:t>
            </w:r>
          </w:p>
        </w:tc>
        <w:tc>
          <w:tcPr/>
          <w:p>
            <w:pPr>
              <w:pStyle w:val="Compact"/>
              <w:jc w:val="left"/>
            </w:pPr>
            <w:r>
              <w:t xml:space="preserve">PDCD1/CD274</w:t>
            </w:r>
          </w:p>
        </w:tc>
        <w:tc>
          <w:tcPr/>
          <w:p>
            <w:pPr>
              <w:pStyle w:val="Compact"/>
            </w:pPr>
          </w:p>
        </w:tc>
        <w:tc>
          <w:tcPr/>
          <w:p>
            <w:pPr>
              <w:pStyle w:val="Compact"/>
              <w:jc w:val="center"/>
            </w:pPr>
            <m:oMath>
              <m:r>
                <m:rPr>
                  <m:sty m:val="p"/>
                </m:rPr>
                <m:t>−</m:t>
              </m:r>
            </m:oMath>
            <w:r>
              <w:t xml:space="preserve">0.81</w:t>
            </w:r>
          </w:p>
        </w:tc>
        <w:tc>
          <w:tcPr/>
          <w:p>
            <w:pPr>
              <w:pStyle w:val="Compact"/>
            </w:pPr>
          </w:p>
        </w:tc>
        <w:tc>
          <w:tcPr/>
          <w:p>
            <w:pPr>
              <w:pStyle w:val="Compact"/>
              <w:jc w:val="center"/>
            </w:pPr>
            <w:r>
              <w:t xml:space="preserve">Pembrolizumab</w:t>
            </w:r>
          </w:p>
        </w:tc>
        <w:tc>
          <w:tcPr/>
          <w:p>
            <w:pPr>
              <w:pStyle w:val="Compact"/>
              <w:jc w:val="center"/>
            </w:pPr>
            <w:r>
              <w:t xml:space="preserve">Approved</w:t>
            </w:r>
          </w:p>
        </w:tc>
        <w:tc>
          <w:tcPr/>
          <w:p>
            <w:pPr>
              <w:pStyle w:val="Compact"/>
              <w:jc w:val="center"/>
            </w:pPr>
            <m:oMath>
              <m:r>
                <m:t>1.2</m:t>
              </m:r>
              <m:r>
                <m:rPr>
                  <m:sty m:val="p"/>
                </m:rPr>
                <m:t>×</m:t>
              </m:r>
              <m:sSup>
                <m:e>
                  <m:r>
                    <m:t>10</m:t>
                  </m:r>
                </m:e>
                <m:sup>
                  <m:r>
                    <m:rPr>
                      <m:sty m:val="p"/>
                    </m:rPr>
                    <m:t>−</m:t>
                  </m:r>
                  <m:r>
                    <m:t>12</m:t>
                  </m:r>
                </m:sup>
              </m:sSup>
            </m:oMath>
          </w:p>
        </w:tc>
      </w:tr>
      <w:tr>
        <w:tc>
          <w:tcPr/>
          <w:p>
            <w:pPr>
              <w:pStyle w:val="Compact"/>
              <w:jc w:val="left"/>
            </w:pPr>
            <w:r>
              <w:t xml:space="preserve">EGFR-EGF</w:t>
            </w:r>
          </w:p>
        </w:tc>
        <w:tc>
          <w:tcPr/>
          <w:p>
            <w:pPr>
              <w:pStyle w:val="Compact"/>
              <w:jc w:val="left"/>
            </w:pPr>
            <w:r>
              <w:t xml:space="preserve">EGFR/EGF</w:t>
            </w:r>
          </w:p>
        </w:tc>
        <w:tc>
          <w:tcPr/>
          <w:p>
            <w:pPr>
              <w:pStyle w:val="Compact"/>
            </w:pPr>
          </w:p>
        </w:tc>
        <w:tc>
          <w:tcPr/>
          <w:p>
            <w:pPr>
              <w:pStyle w:val="Compact"/>
              <w:jc w:val="center"/>
            </w:pPr>
            <m:oMath>
              <m:r>
                <m:rPr>
                  <m:sty m:val="p"/>
                </m:rPr>
                <m:t>−</m:t>
              </m:r>
            </m:oMath>
            <w:r>
              <w:t xml:space="preserve">0.87</w:t>
            </w:r>
          </w:p>
        </w:tc>
        <w:tc>
          <w:tcPr/>
          <w:p>
            <w:pPr>
              <w:pStyle w:val="Compact"/>
            </w:pPr>
          </w:p>
        </w:tc>
        <w:tc>
          <w:tcPr/>
          <w:p>
            <w:pPr>
              <w:pStyle w:val="Compact"/>
              <w:jc w:val="center"/>
            </w:pPr>
            <w:r>
              <w:t xml:space="preserve">Erlotinib</w:t>
            </w:r>
          </w:p>
        </w:tc>
        <w:tc>
          <w:tcPr/>
          <w:p>
            <w:pPr>
              <w:pStyle w:val="Compact"/>
              <w:jc w:val="center"/>
            </w:pPr>
            <w:r>
              <w:t xml:space="preserve">Approved</w:t>
            </w:r>
          </w:p>
        </w:tc>
        <w:tc>
          <w:tcPr/>
          <w:p>
            <w:pPr>
              <w:pStyle w:val="Compact"/>
              <w:jc w:val="center"/>
            </w:pPr>
            <m:oMath>
              <m:r>
                <m:t>3.5</m:t>
              </m:r>
              <m:r>
                <m:rPr>
                  <m:sty m:val="p"/>
                </m:rPr>
                <m:t>×</m:t>
              </m:r>
              <m:sSup>
                <m:e>
                  <m:r>
                    <m:t>10</m:t>
                  </m:r>
                </m:e>
                <m:sup>
                  <m:r>
                    <m:rPr>
                      <m:sty m:val="p"/>
                    </m:rPr>
                    <m:t>−</m:t>
                  </m:r>
                  <m:r>
                    <m:t>14</m:t>
                  </m:r>
                </m:sup>
              </m:sSup>
            </m:oMath>
          </w:p>
        </w:tc>
      </w:tr>
      <w:tr>
        <w:tc>
          <w:tcPr/>
          <w:p>
            <w:pPr>
              <w:pStyle w:val="Compact"/>
              <w:jc w:val="left"/>
            </w:pPr>
            <w:r>
              <w:t xml:space="preserve">HER2-GRB2</w:t>
            </w:r>
          </w:p>
        </w:tc>
        <w:tc>
          <w:tcPr/>
          <w:p>
            <w:pPr>
              <w:pStyle w:val="Compact"/>
              <w:jc w:val="left"/>
            </w:pPr>
            <w:r>
              <w:t xml:space="preserve">ERBB2/GRB2</w:t>
            </w:r>
          </w:p>
        </w:tc>
        <w:tc>
          <w:tcPr/>
          <w:p>
            <w:pPr>
              <w:pStyle w:val="Compact"/>
            </w:pPr>
          </w:p>
        </w:tc>
        <w:tc>
          <w:tcPr/>
          <w:p>
            <w:pPr>
              <w:pStyle w:val="Compact"/>
              <w:jc w:val="center"/>
            </w:pPr>
            <m:oMath>
              <m:r>
                <m:rPr>
                  <m:sty m:val="p"/>
                </m:rPr>
                <m:t>−</m:t>
              </m:r>
            </m:oMath>
            <w:r>
              <w:t xml:space="preserve">0.94</w:t>
            </w:r>
          </w:p>
        </w:tc>
        <w:tc>
          <w:tcPr/>
          <w:p>
            <w:pPr>
              <w:pStyle w:val="Compact"/>
            </w:pPr>
          </w:p>
        </w:tc>
        <w:tc>
          <w:tcPr/>
          <w:p>
            <w:pPr>
              <w:pStyle w:val="Compact"/>
              <w:jc w:val="center"/>
            </w:pPr>
            <w:r>
              <w:t xml:space="preserve">Trastuzumab</w:t>
            </w:r>
          </w:p>
        </w:tc>
        <w:tc>
          <w:tcPr/>
          <w:p>
            <w:pPr>
              <w:pStyle w:val="Compact"/>
              <w:jc w:val="center"/>
            </w:pPr>
            <w:r>
              <w:t xml:space="preserve">Approved</w:t>
            </w:r>
          </w:p>
        </w:tc>
        <w:tc>
          <w:tcPr/>
          <w:p>
            <w:pPr>
              <w:pStyle w:val="Compact"/>
              <w:jc w:val="center"/>
            </w:pPr>
            <m:oMath>
              <m:r>
                <m:t>4.3</m:t>
              </m:r>
              <m:r>
                <m:rPr>
                  <m:sty m:val="p"/>
                </m:rPr>
                <m:t>×</m:t>
              </m:r>
              <m:sSup>
                <m:e>
                  <m:r>
                    <m:t>10</m:t>
                  </m:r>
                </m:e>
                <m:sup>
                  <m:r>
                    <m:rPr>
                      <m:sty m:val="p"/>
                    </m:rPr>
                    <m:t>−</m:t>
                  </m:r>
                  <m:r>
                    <m:t>17</m:t>
                  </m:r>
                </m:sup>
              </m:sSup>
            </m:oMath>
          </w:p>
        </w:tc>
      </w:tr>
      <w:tr>
        <w:tc>
          <w:tcPr/>
          <w:p>
            <w:pPr>
              <w:pStyle w:val="Compact"/>
              <w:jc w:val="left"/>
            </w:pPr>
            <w:r>
              <w:t xml:space="preserve">CTLA4-CD80</w:t>
            </w:r>
          </w:p>
        </w:tc>
        <w:tc>
          <w:tcPr/>
          <w:p>
            <w:pPr>
              <w:pStyle w:val="Compact"/>
              <w:jc w:val="left"/>
            </w:pPr>
            <w:r>
              <w:t xml:space="preserve">CTLA4/CD80</w:t>
            </w:r>
          </w:p>
        </w:tc>
        <w:tc>
          <w:tcPr/>
          <w:p>
            <w:pPr>
              <w:pStyle w:val="Compact"/>
            </w:pPr>
          </w:p>
        </w:tc>
        <w:tc>
          <w:tcPr/>
          <w:p>
            <w:pPr>
              <w:pStyle w:val="Compact"/>
              <w:jc w:val="center"/>
            </w:pPr>
            <m:oMath>
              <m:r>
                <m:rPr>
                  <m:sty m:val="p"/>
                </m:rPr>
                <m:t>−</m:t>
              </m:r>
            </m:oMath>
            <w:r>
              <w:t xml:space="preserve">0.58</w:t>
            </w:r>
          </w:p>
        </w:tc>
        <w:tc>
          <w:tcPr/>
          <w:p>
            <w:pPr>
              <w:pStyle w:val="Compact"/>
            </w:pPr>
          </w:p>
        </w:tc>
        <w:tc>
          <w:tcPr/>
          <w:p>
            <w:pPr>
              <w:pStyle w:val="Compact"/>
              <w:jc w:val="center"/>
            </w:pPr>
            <w:r>
              <w:t xml:space="preserve">Ipilimumab</w:t>
            </w:r>
          </w:p>
        </w:tc>
        <w:tc>
          <w:tcPr/>
          <w:p>
            <w:pPr>
              <w:pStyle w:val="Compact"/>
              <w:jc w:val="center"/>
            </w:pPr>
            <w:r>
              <w:t xml:space="preserve">Approved</w:t>
            </w:r>
          </w:p>
        </w:tc>
        <w:tc>
          <w:tcPr/>
          <w:p>
            <w:pPr>
              <w:pStyle w:val="Compact"/>
              <w:jc w:val="center"/>
            </w:pPr>
            <m:oMath>
              <m:r>
                <m:t>1.3</m:t>
              </m:r>
              <m:r>
                <m:rPr>
                  <m:sty m:val="p"/>
                </m:rPr>
                <m:t>×</m:t>
              </m:r>
              <m:sSup>
                <m:e>
                  <m:r>
                    <m:t>10</m:t>
                  </m:r>
                </m:e>
                <m:sup>
                  <m:r>
                    <m:rPr>
                      <m:sty m:val="p"/>
                    </m:rPr>
                    <m:t>−</m:t>
                  </m:r>
                  <m:r>
                    <m:t>14</m:t>
                  </m:r>
                </m:sup>
              </m:sSup>
            </m:oMath>
          </w:p>
        </w:tc>
      </w:tr>
      <w:tr>
        <w:tc>
          <w:tcPr/>
          <w:p>
            <w:pPr>
              <w:pStyle w:val="Compact"/>
              <w:jc w:val="left"/>
            </w:pPr>
            <w:r>
              <w:t xml:space="preserve">VEGFA-VEGFR2</w:t>
            </w:r>
          </w:p>
        </w:tc>
        <w:tc>
          <w:tcPr/>
          <w:p>
            <w:pPr>
              <w:pStyle w:val="Compact"/>
              <w:jc w:val="left"/>
            </w:pPr>
            <w:r>
              <w:t xml:space="preserve">VEGFA/KDR</w:t>
            </w:r>
          </w:p>
        </w:tc>
        <w:tc>
          <w:tcPr/>
          <w:p>
            <w:pPr>
              <w:pStyle w:val="Compact"/>
            </w:pPr>
          </w:p>
        </w:tc>
        <w:tc>
          <w:tcPr/>
          <w:p>
            <w:pPr>
              <w:pStyle w:val="Compact"/>
              <w:jc w:val="center"/>
            </w:pPr>
            <m:oMath>
              <m:r>
                <m:rPr>
                  <m:sty m:val="p"/>
                </m:rPr>
                <m:t>−</m:t>
              </m:r>
            </m:oMath>
            <w:r>
              <w:t xml:space="preserve">0.47</w:t>
            </w:r>
          </w:p>
        </w:tc>
        <w:tc>
          <w:tcPr/>
          <w:p>
            <w:pPr>
              <w:pStyle w:val="Compact"/>
            </w:pPr>
          </w:p>
        </w:tc>
        <w:tc>
          <w:tcPr/>
          <w:p>
            <w:pPr>
              <w:pStyle w:val="Compact"/>
              <w:jc w:val="center"/>
            </w:pPr>
            <w:r>
              <w:t xml:space="preserve">Bevacizumab</w:t>
            </w:r>
          </w:p>
        </w:tc>
        <w:tc>
          <w:tcPr/>
          <w:p>
            <w:pPr>
              <w:pStyle w:val="Compact"/>
              <w:jc w:val="center"/>
            </w:pPr>
            <w:r>
              <w:t xml:space="preserve">Approved</w:t>
            </w:r>
          </w:p>
        </w:tc>
        <w:tc>
          <w:tcPr/>
          <w:p>
            <w:pPr>
              <w:pStyle w:val="Compact"/>
              <w:jc w:val="center"/>
            </w:pPr>
            <m:oMath>
              <m:r>
                <m:t>5.3</m:t>
              </m:r>
              <m:r>
                <m:rPr>
                  <m:sty m:val="p"/>
                </m:rPr>
                <m:t>×</m:t>
              </m:r>
              <m:sSup>
                <m:e>
                  <m:r>
                    <m:t>10</m:t>
                  </m:r>
                </m:e>
                <m:sup>
                  <m:r>
                    <m:rPr>
                      <m:sty m:val="p"/>
                    </m:rPr>
                    <m:t>−</m:t>
                  </m:r>
                  <m:r>
                    <m:t>11</m:t>
                  </m:r>
                </m:sup>
              </m:sSup>
            </m:oMath>
          </w:p>
        </w:tc>
      </w:tr>
      <w:tr>
        <w:tc>
          <w:tcPr/>
          <w:p>
            <w:pPr>
              <w:pStyle w:val="Compact"/>
              <w:jc w:val="left"/>
            </w:pPr>
            <w:r>
              <w:t xml:space="preserve">CSF1R-CSF1</w:t>
            </w:r>
          </w:p>
        </w:tc>
        <w:tc>
          <w:tcPr/>
          <w:p>
            <w:pPr>
              <w:pStyle w:val="Compact"/>
              <w:jc w:val="left"/>
            </w:pPr>
            <w:r>
              <w:t xml:space="preserve">CSF1R/CSF1</w:t>
            </w:r>
          </w:p>
        </w:tc>
        <w:tc>
          <w:tcPr/>
          <w:p>
            <w:pPr>
              <w:pStyle w:val="Compact"/>
            </w:pPr>
          </w:p>
        </w:tc>
        <w:tc>
          <w:tcPr/>
          <w:p>
            <w:pPr>
              <w:pStyle w:val="Compact"/>
              <w:jc w:val="center"/>
            </w:pPr>
            <m:oMath>
              <m:r>
                <m:rPr>
                  <m:sty m:val="p"/>
                </m:rPr>
                <m:t>−</m:t>
              </m:r>
            </m:oMath>
            <w:r>
              <w:t xml:space="preserve">0.44</w:t>
            </w:r>
          </w:p>
        </w:tc>
        <w:tc>
          <w:tcPr/>
          <w:p>
            <w:pPr>
              <w:pStyle w:val="Compact"/>
            </w:pPr>
          </w:p>
        </w:tc>
        <w:tc>
          <w:tcPr/>
          <w:p>
            <w:pPr>
              <w:pStyle w:val="Compact"/>
              <w:jc w:val="center"/>
            </w:pPr>
            <w:r>
              <w:t xml:space="preserve">Pexidartinib</w:t>
            </w:r>
          </w:p>
        </w:tc>
        <w:tc>
          <w:tcPr/>
          <w:p>
            <w:pPr>
              <w:pStyle w:val="Compact"/>
              <w:jc w:val="center"/>
            </w:pPr>
            <w:r>
              <w:t xml:space="preserve">Phase III</w:t>
            </w:r>
          </w:p>
        </w:tc>
        <w:tc>
          <w:tcPr/>
          <w:p>
            <w:pPr>
              <w:pStyle w:val="Compact"/>
              <w:jc w:val="center"/>
            </w:pPr>
            <m:oMath>
              <m:r>
                <m:t>3.9</m:t>
              </m:r>
              <m:r>
                <m:rPr>
                  <m:sty m:val="p"/>
                </m:rPr>
                <m:t>×</m:t>
              </m:r>
              <m:sSup>
                <m:e>
                  <m:r>
                    <m:t>10</m:t>
                  </m:r>
                </m:e>
                <m:sup>
                  <m:r>
                    <m:rPr>
                      <m:sty m:val="p"/>
                    </m:rPr>
                    <m:t>−</m:t>
                  </m:r>
                  <m:r>
                    <m:t>13</m:t>
                  </m:r>
                </m:sup>
              </m:sSup>
            </m:oMath>
          </w:p>
        </w:tc>
      </w:tr>
      <w:tr>
        <w:tc>
          <w:tcPr/>
          <w:p>
            <w:pPr>
              <w:pStyle w:val="Compact"/>
              <w:jc w:val="left"/>
            </w:pPr>
            <w:r>
              <w:t xml:space="preserve">TGF</w:t>
            </w:r>
            <m:oMath>
              <m:r>
                <m:t>β</m:t>
              </m:r>
            </m:oMath>
            <w:r>
              <w:t xml:space="preserve">1-TGFBR2</w:t>
            </w:r>
          </w:p>
        </w:tc>
        <w:tc>
          <w:tcPr/>
          <w:p>
            <w:pPr>
              <w:pStyle w:val="Compact"/>
              <w:jc w:val="left"/>
            </w:pPr>
            <w:r>
              <w:t xml:space="preserve">TGFB1/TGFBR2</w:t>
            </w:r>
          </w:p>
        </w:tc>
        <w:tc>
          <w:tcPr/>
          <w:p>
            <w:pPr>
              <w:pStyle w:val="Compact"/>
            </w:pPr>
          </w:p>
        </w:tc>
        <w:tc>
          <w:tcPr/>
          <w:p>
            <w:pPr>
              <w:pStyle w:val="Compact"/>
              <w:jc w:val="center"/>
            </w:pPr>
            <m:oMath>
              <m:r>
                <m:rPr>
                  <m:sty m:val="p"/>
                </m:rPr>
                <m:t>−</m:t>
              </m:r>
            </m:oMath>
            <w:r>
              <w:t xml:space="preserve">0.26</w:t>
            </w:r>
          </w:p>
        </w:tc>
        <w:tc>
          <w:tcPr/>
          <w:p>
            <w:pPr>
              <w:pStyle w:val="Compact"/>
              <w:jc w:val="center"/>
            </w:pPr>
            <w:r>
              <w:t xml:space="preserve">—</w:t>
            </w:r>
          </w:p>
        </w:tc>
        <w:tc>
          <w:tcPr/>
          <w:p>
            <w:pPr>
              <w:pStyle w:val="Compact"/>
              <w:jc w:val="center"/>
            </w:pPr>
            <w:r>
              <w:t xml:space="preserve">Galunisertib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LAG3-MHCII</w:t>
            </w:r>
          </w:p>
        </w:tc>
        <w:tc>
          <w:tcPr/>
          <w:p>
            <w:pPr>
              <w:pStyle w:val="Compact"/>
              <w:jc w:val="left"/>
            </w:pPr>
            <w:r>
              <w:t xml:space="preserve">LAG3/HLA-DR</w:t>
            </w:r>
          </w:p>
        </w:tc>
        <w:tc>
          <w:tcPr/>
          <w:p>
            <w:pPr>
              <w:pStyle w:val="Compact"/>
            </w:pPr>
          </w:p>
        </w:tc>
        <w:tc>
          <w:tcPr/>
          <w:p>
            <w:pPr>
              <w:pStyle w:val="Compact"/>
              <w:jc w:val="center"/>
            </w:pPr>
            <m:oMath>
              <m:r>
                <m:rPr>
                  <m:sty m:val="p"/>
                </m:rPr>
                <m:t>−</m:t>
              </m:r>
            </m:oMath>
            <w:r>
              <w:t xml:space="preserve">0.37</w:t>
            </w:r>
          </w:p>
        </w:tc>
        <w:tc>
          <w:tcPr/>
          <w:p>
            <w:pPr>
              <w:pStyle w:val="Compact"/>
            </w:pPr>
          </w:p>
        </w:tc>
        <w:tc>
          <w:tcPr/>
          <w:p>
            <w:pPr>
              <w:pStyle w:val="Compact"/>
              <w:jc w:val="center"/>
            </w:pPr>
            <w:r>
              <w:t xml:space="preserve">Relatlimab</w:t>
            </w:r>
          </w:p>
        </w:tc>
        <w:tc>
          <w:tcPr/>
          <w:p>
            <w:pPr>
              <w:pStyle w:val="Compact"/>
              <w:jc w:val="center"/>
            </w:pPr>
            <w:r>
              <w:t xml:space="preserve">Approved</w:t>
            </w:r>
          </w:p>
        </w:tc>
        <w:tc>
          <w:tcPr/>
          <w:p>
            <w:pPr>
              <w:pStyle w:val="Compact"/>
              <w:jc w:val="center"/>
            </w:pPr>
            <m:oMath>
              <m:r>
                <m:t>3.1</m:t>
              </m:r>
              <m:r>
                <m:rPr>
                  <m:sty m:val="p"/>
                </m:rPr>
                <m:t>×</m:t>
              </m:r>
              <m:sSup>
                <m:e>
                  <m:r>
                    <m:t>10</m:t>
                  </m:r>
                </m:e>
                <m:sup>
                  <m:r>
                    <m:rPr>
                      <m:sty m:val="p"/>
                    </m:rPr>
                    <m:t>−</m:t>
                  </m:r>
                  <m:r>
                    <m:t>14</m:t>
                  </m:r>
                </m:sup>
              </m:sSup>
            </m:oMath>
          </w:p>
        </w:tc>
      </w:tr>
      <w:tr>
        <w:tc>
          <w:tcPr/>
          <w:p>
            <w:pPr>
              <w:pStyle w:val="Compact"/>
              <w:jc w:val="left"/>
            </w:pPr>
            <w:r>
              <w:t xml:space="preserve">CCL2-CCR2</w:t>
            </w:r>
          </w:p>
        </w:tc>
        <w:tc>
          <w:tcPr/>
          <w:p>
            <w:pPr>
              <w:pStyle w:val="Compact"/>
              <w:jc w:val="left"/>
            </w:pPr>
            <w:r>
              <w:t xml:space="preserve">CCL2/CCR2</w:t>
            </w:r>
          </w:p>
        </w:tc>
        <w:tc>
          <w:tcPr/>
          <w:p>
            <w:pPr>
              <w:pStyle w:val="Compact"/>
              <w:jc w:val="center"/>
            </w:pPr>
            <w:r>
              <w:t xml:space="preserve">—</w:t>
            </w:r>
          </w:p>
        </w:tc>
        <w:tc>
          <w:tcPr/>
          <w:p>
            <w:pPr>
              <w:pStyle w:val="Compact"/>
              <w:jc w:val="center"/>
            </w:pPr>
            <w:r>
              <w:t xml:space="preserve">0.09</w:t>
            </w:r>
          </w:p>
        </w:tc>
        <w:tc>
          <w:tcPr/>
          <w:p>
            <w:pPr>
              <w:pStyle w:val="Compact"/>
            </w:pPr>
          </w:p>
        </w:tc>
        <w:tc>
          <w:tcPr/>
          <w:p>
            <w:pPr>
              <w:pStyle w:val="Compact"/>
              <w:jc w:val="center"/>
            </w:pPr>
            <w:r>
              <w:t xml:space="preserve">Carlumab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TIM3-Galectin9</w:t>
            </w:r>
          </w:p>
        </w:tc>
        <w:tc>
          <w:tcPr/>
          <w:p>
            <w:pPr>
              <w:pStyle w:val="Compact"/>
              <w:jc w:val="left"/>
            </w:pPr>
            <w:r>
              <w:t xml:space="preserve">HAVCR2/LGALS9</w:t>
            </w:r>
          </w:p>
        </w:tc>
        <w:tc>
          <w:tcPr/>
          <w:p>
            <w:pPr>
              <w:pStyle w:val="Compact"/>
            </w:pPr>
          </w:p>
        </w:tc>
        <w:tc>
          <w:tcPr/>
          <w:p>
            <w:pPr>
              <w:pStyle w:val="Compact"/>
              <w:jc w:val="center"/>
            </w:pPr>
            <m:oMath>
              <m:r>
                <m:rPr>
                  <m:sty m:val="p"/>
                </m:rPr>
                <m:t>−</m:t>
              </m:r>
            </m:oMath>
            <w:r>
              <w:t xml:space="preserve">0.10</w:t>
            </w:r>
          </w:p>
        </w:tc>
        <w:tc>
          <w:tcPr/>
          <w:p>
            <w:pPr>
              <w:pStyle w:val="Compact"/>
              <w:jc w:val="center"/>
            </w:pPr>
            <w:r>
              <w:t xml:space="preserve">—</w:t>
            </w:r>
          </w:p>
        </w:tc>
        <w:tc>
          <w:tcPr/>
          <w:p>
            <w:pPr>
              <w:pStyle w:val="Compact"/>
              <w:jc w:val="center"/>
            </w:pPr>
            <w:r>
              <w:t xml:space="preserve">Cobolimab</w:t>
            </w:r>
          </w:p>
        </w:tc>
        <w:tc>
          <w:tcPr/>
          <w:p>
            <w:pPr>
              <w:pStyle w:val="Compact"/>
              <w:jc w:val="center"/>
            </w:pPr>
            <w:r>
              <w:t xml:space="preserve">Phase II</w:t>
            </w:r>
          </w:p>
        </w:tc>
        <w:tc>
          <w:tcPr/>
          <w:p>
            <w:pPr>
              <w:pStyle w:val="Compact"/>
              <w:jc w:val="center"/>
            </w:pPr>
            <m:oMath>
              <m:r>
                <m:rPr>
                  <m:sty m:val="p"/>
                </m:rPr>
                <m:t>&lt;</m:t>
              </m:r>
            </m:oMath>
            <w:r>
              <w:t xml:space="preserve">0.0001</w:t>
            </w:r>
          </w:p>
        </w:tc>
      </w:tr>
      <w:tr>
        <w:tc>
          <w:tcPr/>
          <w:p>
            <w:pPr>
              <w:pStyle w:val="Compact"/>
              <w:jc w:val="left"/>
            </w:pPr>
            <w:r>
              <w:t xml:space="preserve">CD47-SIRP</w:t>
            </w:r>
            <m:oMath>
              <m:r>
                <m:t>α</m:t>
              </m:r>
            </m:oMath>
          </w:p>
        </w:tc>
        <w:tc>
          <w:tcPr/>
          <w:p>
            <w:pPr>
              <w:pStyle w:val="Compact"/>
              <w:jc w:val="left"/>
            </w:pPr>
            <w:r>
              <w:t xml:space="preserve">CD47/SIRPA</w:t>
            </w:r>
          </w:p>
        </w:tc>
        <w:tc>
          <w:tcPr/>
          <w:p>
            <w:pPr>
              <w:pStyle w:val="Compact"/>
            </w:pPr>
          </w:p>
        </w:tc>
        <w:tc>
          <w:tcPr/>
          <w:p>
            <w:pPr>
              <w:pStyle w:val="Compact"/>
              <w:jc w:val="center"/>
            </w:pPr>
            <m:oMath>
              <m:r>
                <m:rPr>
                  <m:sty m:val="p"/>
                </m:rPr>
                <m:t>−</m:t>
              </m:r>
            </m:oMath>
            <w:r>
              <w:t xml:space="preserve">0.03</w:t>
            </w:r>
          </w:p>
        </w:tc>
        <w:tc>
          <w:tcPr/>
          <w:p>
            <w:pPr>
              <w:pStyle w:val="Compact"/>
              <w:jc w:val="center"/>
            </w:pPr>
            <w:r>
              <w:t xml:space="preserve">—</w:t>
            </w:r>
          </w:p>
        </w:tc>
        <w:tc>
          <w:tcPr/>
          <w:p>
            <w:pPr>
              <w:pStyle w:val="Compact"/>
              <w:jc w:val="center"/>
            </w:pPr>
            <w:r>
              <w:t xml:space="preserve">Magrolimab</w:t>
            </w:r>
          </w:p>
        </w:tc>
        <w:tc>
          <w:tcPr/>
          <w:p>
            <w:pPr>
              <w:pStyle w:val="Compact"/>
              <w:jc w:val="center"/>
            </w:pPr>
            <w:r>
              <w:t xml:space="preserve">Phase III</w:t>
            </w:r>
          </w:p>
        </w:tc>
        <w:tc>
          <w:tcPr/>
          <w:p>
            <w:pPr>
              <w:pStyle w:val="Compact"/>
              <w:jc w:val="center"/>
            </w:pPr>
            <m:oMath>
              <m:r>
                <m:t>5.08</m:t>
              </m:r>
              <m:r>
                <m:rPr>
                  <m:sty m:val="p"/>
                </m:rPr>
                <m:t>×</m:t>
              </m:r>
              <m:sSup>
                <m:e>
                  <m:r>
                    <m:t>10</m:t>
                  </m:r>
                </m:e>
                <m:sup>
                  <m:r>
                    <m:rPr>
                      <m:sty m:val="p"/>
                    </m:rPr>
                    <m:t>−</m:t>
                  </m:r>
                  <m:r>
                    <m:t>4</m:t>
                  </m:r>
                </m:sup>
              </m:sSup>
            </m:oMath>
          </w:p>
        </w:tc>
      </w:tr>
      <w:tr>
        <w:tc>
          <w:tcPr/>
          <w:p>
            <w:pPr>
              <w:pStyle w:val="Compact"/>
              <w:jc w:val="left"/>
            </w:pPr>
            <w:r>
              <w:t xml:space="preserve">TIGIT-PVR</w:t>
            </w:r>
          </w:p>
        </w:tc>
        <w:tc>
          <w:tcPr/>
          <w:p>
            <w:pPr>
              <w:pStyle w:val="Compact"/>
              <w:jc w:val="left"/>
            </w:pPr>
            <w:r>
              <w:t xml:space="preserve">TIGIT/PVR</w:t>
            </w:r>
          </w:p>
        </w:tc>
        <w:tc>
          <w:tcPr/>
          <w:p>
            <w:pPr>
              <w:pStyle w:val="Compact"/>
              <w:jc w:val="center"/>
            </w:pPr>
            <w:r>
              <w:t xml:space="preserve">—</w:t>
            </w:r>
          </w:p>
        </w:tc>
        <w:tc>
          <w:tcPr/>
          <w:p>
            <w:pPr>
              <w:pStyle w:val="Compact"/>
              <w:jc w:val="center"/>
            </w:pPr>
            <m:oMath>
              <m:r>
                <m:rPr>
                  <m:sty m:val="p"/>
                </m:rPr>
                <m:t>−</m:t>
              </m:r>
            </m:oMath>
            <w:r>
              <w:t xml:space="preserve">0.36</w:t>
            </w:r>
          </w:p>
        </w:tc>
        <w:tc>
          <w:tcPr/>
          <w:p>
            <w:pPr>
              <w:pStyle w:val="Compact"/>
              <w:jc w:val="center"/>
            </w:pPr>
            <w:r>
              <w:t xml:space="preserve">—</w:t>
            </w:r>
          </w:p>
        </w:tc>
        <w:tc>
          <w:tcPr/>
          <w:p>
            <w:pPr>
              <w:pStyle w:val="Compact"/>
              <w:jc w:val="center"/>
            </w:pPr>
            <w:r>
              <w:t xml:space="preserve">Tiragolumab</w:t>
            </w:r>
          </w:p>
        </w:tc>
        <w:tc>
          <w:tcPr/>
          <w:p>
            <w:pPr>
              <w:pStyle w:val="Compact"/>
              <w:jc w:val="center"/>
            </w:pPr>
            <w:r>
              <w:t xml:space="preserve">Phase III</w:t>
            </w:r>
          </w:p>
        </w:tc>
        <w:tc>
          <w:tcPr/>
          <w:p>
            <w:pPr>
              <w:pStyle w:val="Compact"/>
              <w:jc w:val="center"/>
            </w:pPr>
            <m:oMath>
              <m:r>
                <m:t>3.90</m:t>
              </m:r>
              <m:r>
                <m:rPr>
                  <m:sty m:val="p"/>
                </m:rPr>
                <m:t>×</m:t>
              </m:r>
              <m:sSup>
                <m:e>
                  <m:r>
                    <m:t>10</m:t>
                  </m:r>
                </m:e>
                <m:sup>
                  <m:r>
                    <m:rPr>
                      <m:sty m:val="p"/>
                    </m:rPr>
                    <m:t>−</m:t>
                  </m:r>
                  <m:r>
                    <m:t>3</m:t>
                  </m:r>
                </m:sup>
              </m:sSup>
            </m:oMath>
          </w:p>
        </w:tc>
      </w:tr>
    </w:tbl>
    <w:bookmarkEnd w:id="15"/>
    <w:bookmarkEnd w:id="16"/>
    <w:bookmarkEnd w:id="17"/>
    <w:bookmarkStart w:id="48" w:name="supplementary-figures"/>
    <w:p>
      <w:pPr>
        <w:pStyle w:val="Heading1"/>
      </w:pPr>
      <w:r>
        <w:t xml:space="preserve">Supplementary Figures</w:t>
      </w:r>
    </w:p>
    <w:bookmarkStart w:id="22" w:name="Xaceab404a4a03a369854d507b8ae07e1d2546e6"/>
    <w:p>
      <w:pPr>
        <w:pStyle w:val="Heading2"/>
      </w:pPr>
      <w:r>
        <w:t xml:space="preserve">Supplementary Figure S1: Data Quality Control and Graph Construction</w:t>
      </w:r>
    </w:p>
    <w:bookmarkStart w:id="21" w:name="fig:s1"/>
    <w:p>
      <w:pPr>
        <w:pStyle w:val="CaptionedFigure"/>
      </w:pPr>
      <w:r>
        <w:drawing>
          <wp:inline>
            <wp:extent cx="5334000" cy="4859753"/>
            <wp:effectExtent b="0" l="0" r="0" t="0"/>
            <wp:docPr descr="" title="" id="19" name="Picture"/>
            <a:graphic>
              <a:graphicData uri="http://schemas.openxmlformats.org/drawingml/2006/picture">
                <pic:pic>
                  <pic:nvPicPr>
                    <pic:cNvPr descr="supplementary/figures/Supp Fig S1 Data Quality Control Graph Construction.png" id="20" name="Picture"/>
                    <pic:cNvPicPr>
                      <a:picLocks noChangeArrowheads="1" noChangeAspect="1"/>
                    </pic:cNvPicPr>
                  </pic:nvPicPr>
                  <pic:blipFill>
                    <a:blip r:embed="rId18"/>
                    <a:stretch>
                      <a:fillRect/>
                    </a:stretch>
                  </pic:blipFill>
                  <pic:spPr bwMode="auto">
                    <a:xfrm>
                      <a:off x="0" y="0"/>
                      <a:ext cx="5334000" cy="4859753"/>
                    </a:xfrm>
                    <a:prstGeom prst="rect">
                      <a:avLst/>
                    </a:prstGeom>
                    <a:noFill/>
                    <a:ln w="9525">
                      <a:noFill/>
                      <a:headEnd/>
                      <a:tailEnd/>
                    </a:ln>
                  </pic:spPr>
                </pic:pic>
              </a:graphicData>
            </a:graphic>
          </wp:inline>
        </w:drawing>
      </w:r>
    </w:p>
    <w:p>
      <w:pPr>
        <w:pStyle w:val="ImageCaption"/>
      </w:pPr>
      <w:r>
        <w:rPr>
          <w:b/>
          <w:bCs/>
        </w:rPr>
        <w:t xml:space="preserve">Data quality control and graph construction pipeline.</w:t>
      </w:r>
      <w:r>
        <w:t xml:space="preserve"> </w:t>
      </w:r>
      <w:r>
        <w:rPr>
          <w:b/>
          <w:bCs/>
        </w:rPr>
        <w:t xml:space="preserve">a,</w:t>
      </w:r>
      <w:r>
        <w:t xml:space="preserve"> </w:t>
      </w:r>
      <w:r>
        <w:t xml:space="preserve">Quality control metrics across datasets. Violin plots showing the distribution of four key QC metrics across eight datasets including spatial transcriptomics platforms (HTAN-BRCA, HTAN-CRC, 10x-Visium, 10x-Xenium) and bulk/single-cell cohorts (BRCA, LUAD, COAD, LIRI). Top-left: Number of genes detected per sample, ranging from</w:t>
      </w:r>
      <w:r>
        <w:t xml:space="preserve"> </w:t>
      </w:r>
      <m:oMath>
        <m:r>
          <m:rPr>
            <m:sty m:val="p"/>
          </m:rPr>
          <m:t>∼</m:t>
        </m:r>
      </m:oMath>
      <w:r>
        <w:t xml:space="preserve">15,000 to</w:t>
      </w:r>
      <w:r>
        <w:t xml:space="preserve"> </w:t>
      </w:r>
      <m:oMath>
        <m:r>
          <m:rPr>
            <m:sty m:val="p"/>
          </m:rPr>
          <m:t>∼</m:t>
        </m:r>
      </m:oMath>
      <w:r>
        <w:t xml:space="preserve">25,000 genes across datasets. Top-right: Number of cells per sample, showing variation from</w:t>
      </w:r>
      <w:r>
        <w:t xml:space="preserve"> </w:t>
      </w:r>
      <m:oMath>
        <m:r>
          <m:rPr>
            <m:sty m:val="p"/>
          </m:rPr>
          <m:t>∼</m:t>
        </m:r>
      </m:oMath>
      <w:r>
        <w:t xml:space="preserve">2,000 to</w:t>
      </w:r>
      <w:r>
        <w:t xml:space="preserve"> </w:t>
      </w:r>
      <m:oMath>
        <m:r>
          <m:rPr>
            <m:sty m:val="p"/>
          </m:rPr>
          <m:t>∼</m:t>
        </m:r>
      </m:oMath>
      <w:r>
        <w:t xml:space="preserve">12,000 cells depending on tissue type and platform. Bottom-left: Mitochondrial gene fraction (%), with all samples below the quality threshold of 20% (red dashed line). Bottom-right: Library complexity score, with all samples above the 0.5 threshold (red dashed line). Horizontal bars indicate median values.</w:t>
      </w:r>
      <w:r>
        <w:t xml:space="preserve"> </w:t>
      </w:r>
      <w:r>
        <w:rPr>
          <w:b/>
          <w:bCs/>
        </w:rPr>
        <w:t xml:space="preserve">b,</w:t>
      </w:r>
      <w:r>
        <w:t xml:space="preserve"> </w:t>
      </w:r>
      <w:r>
        <w:t xml:space="preserve">Neighborhood threshold sensitivity analysis. Dual-axis plot examining the trade-off between model performance (C-index, left axis) and computational cost (GPU memory in GB, right axis) as a function of spatial neighborhood threshold (</w:t>
      </w:r>
      <m:oMath>
        <m:r>
          <m:t>μ</m:t>
        </m:r>
      </m:oMath>
      <w:r>
        <w:t xml:space="preserve">m). Performance peaks at 50</w:t>
      </w:r>
      <w:r>
        <w:t xml:space="preserve"> </w:t>
      </w:r>
      <m:oMath>
        <m:r>
          <m:t>μ</m:t>
        </m:r>
      </m:oMath>
      <w:r>
        <w:t xml:space="preserve">m (red diamond). Gray shaded region indicates the recommended operating range (25–75</w:t>
      </w:r>
      <w:r>
        <w:t xml:space="preserve"> </w:t>
      </w:r>
      <m:oMath>
        <m:r>
          <m:t>μ</m:t>
        </m:r>
      </m:oMath>
      <w:r>
        <w:t xml:space="preserve">m).</w:t>
      </w:r>
      <w:r>
        <w:t xml:space="preserve"> </w:t>
      </w:r>
      <w:r>
        <w:rPr>
          <w:b/>
          <w:bCs/>
        </w:rPr>
        <w:t xml:space="preserve">c,</w:t>
      </w:r>
      <w:r>
        <w:t xml:space="preserve"> </w:t>
      </w:r>
      <w:r>
        <w:t xml:space="preserve">Hierarchical graph compression statistics. Horizontal bar chart comparing the number of nodes at each hierarchical level before (Original) and after (Compressed) graph construction. Overall, the hierarchical compression achieves</w:t>
      </w:r>
      <w:r>
        <w:t xml:space="preserve"> </w:t>
      </w:r>
      <m:oMath>
        <m:r>
          <m:rPr>
            <m:sty m:val="p"/>
          </m:rPr>
          <m:t>∼</m:t>
        </m:r>
      </m:oMath>
      <w:r>
        <w:t xml:space="preserve">100</w:t>
      </w:r>
      <m:oMath>
        <m:r>
          <m:rPr>
            <m:sty m:val="p"/>
          </m:rPr>
          <m:t>×</m:t>
        </m:r>
      </m:oMath>
      <w:r>
        <w:t xml:space="preserve"> </w:t>
      </w:r>
      <w:r>
        <w:t xml:space="preserve">reduction in graph size while retaining biologically meaningful structure.</w:t>
      </w:r>
    </w:p>
    <w:bookmarkEnd w:id="21"/>
    <w:bookmarkEnd w:id="22"/>
    <w:bookmarkStart w:id="27" w:name="X08071af99390ef6596214fdea96c700c088b15b"/>
    <w:p>
      <w:pPr>
        <w:pStyle w:val="Heading2"/>
      </w:pPr>
      <w:r>
        <w:t xml:space="preserve">Supplementary Figure S2: Hyperparameter Optimization</w:t>
      </w:r>
    </w:p>
    <w:bookmarkStart w:id="26" w:name="fig:s2"/>
    <w:p>
      <w:pPr>
        <w:pStyle w:val="CaptionedFigure"/>
      </w:pPr>
      <w:r>
        <w:drawing>
          <wp:inline>
            <wp:extent cx="5334000" cy="4586789"/>
            <wp:effectExtent b="0" l="0" r="0" t="0"/>
            <wp:docPr descr="" title="" id="24" name="Picture"/>
            <a:graphic>
              <a:graphicData uri="http://schemas.openxmlformats.org/drawingml/2006/picture">
                <pic:pic>
                  <pic:nvPicPr>
                    <pic:cNvPr descr="supplementary/figures/Supp Fig S2 Hyperparameter Optimization.png" id="25" name="Picture"/>
                    <pic:cNvPicPr>
                      <a:picLocks noChangeArrowheads="1" noChangeAspect="1"/>
                    </pic:cNvPicPr>
                  </pic:nvPicPr>
                  <pic:blipFill>
                    <a:blip r:embed="rId23"/>
                    <a:stretch>
                      <a:fillRect/>
                    </a:stretch>
                  </pic:blipFill>
                  <pic:spPr bwMode="auto">
                    <a:xfrm>
                      <a:off x="0" y="0"/>
                      <a:ext cx="5334000" cy="4586789"/>
                    </a:xfrm>
                    <a:prstGeom prst="rect">
                      <a:avLst/>
                    </a:prstGeom>
                    <a:noFill/>
                    <a:ln w="9525">
                      <a:noFill/>
                      <a:headEnd/>
                      <a:tailEnd/>
                    </a:ln>
                  </pic:spPr>
                </pic:pic>
              </a:graphicData>
            </a:graphic>
          </wp:inline>
        </w:drawing>
      </w:r>
    </w:p>
    <w:p>
      <w:pPr>
        <w:pStyle w:val="ImageCaption"/>
      </w:pPr>
      <w:r>
        <w:rPr>
          <w:b/>
          <w:bCs/>
        </w:rPr>
        <w:t xml:space="preserve">Hyperparameter optimization and architecture search.</w:t>
      </w:r>
      <w:r>
        <w:t xml:space="preserve"> </w:t>
      </w:r>
      <w:r>
        <w:rPr>
          <w:b/>
          <w:bCs/>
        </w:rPr>
        <w:t xml:space="preserve">a,</w:t>
      </w:r>
      <w:r>
        <w:t xml:space="preserve"> </w:t>
      </w:r>
      <w:r>
        <w:t xml:space="preserve">Feature backbone comparison. Forest plot comparing downstream survival prediction performance (C-index, mean</w:t>
      </w:r>
      <w:r>
        <w:t xml:space="preserve"> </w:t>
      </w:r>
      <m:oMath>
        <m:r>
          <m:rPr>
            <m:sty m:val="p"/>
          </m:rPr>
          <m:t>±</m:t>
        </m:r>
      </m:oMath>
      <w:r>
        <w:t xml:space="preserve"> </w:t>
      </w:r>
      <w:r>
        <w:t xml:space="preserve">95% confidence interval) across ten feature extraction backbones. ViT-H/14 pretrained with CONCH (632M parameters) achieves the highest C-index of 0.740, followed by ViT-L/14 with UNI pretraining (304M, 0.717) and scGPT for genomic features (51M, 0.703). Foundation models pretrained on histopathology data substantially outperform general-purpose ImageNet-pretrained backbones. Based on these results, ViT-H/14 (CONCH) was selected as the image encoder for all subsequent experiments.</w:t>
      </w:r>
      <w:r>
        <w:t xml:space="preserve"> </w:t>
      </w:r>
      <w:r>
        <w:rPr>
          <w:b/>
          <w:bCs/>
        </w:rPr>
        <w:t xml:space="preserve">b,</w:t>
      </w:r>
      <w:r>
        <w:t xml:space="preserve"> </w:t>
      </w:r>
      <w:r>
        <w:t xml:space="preserve">Transformer architecture search. Heatmap showing C-index performance across a grid of transformer configurations varying the number of attention heads (1, 2, 4, 8, 16; x-axis) and transformer layers (2, 4, 6, 8, 12; y-axis). The optimal configuration (6 layers</w:t>
      </w:r>
      <w:r>
        <w:t xml:space="preserve"> </w:t>
      </w:r>
      <m:oMath>
        <m:r>
          <m:rPr>
            <m:sty m:val="p"/>
          </m:rPr>
          <m:t>×</m:t>
        </m:r>
      </m:oMath>
      <w:r>
        <w:t xml:space="preserve"> </w:t>
      </w:r>
      <w:r>
        <w:t xml:space="preserve">4 heads, C-index = 0.733, highlighted) balances model capacity and regularization.</w:t>
      </w:r>
      <w:r>
        <w:t xml:space="preserve"> </w:t>
      </w:r>
      <w:r>
        <w:rPr>
          <w:b/>
          <w:bCs/>
        </w:rPr>
        <w:t xml:space="preserve">c,</w:t>
      </w:r>
      <w:r>
        <w:t xml:space="preserve"> </w:t>
      </w:r>
      <w:r>
        <w:t xml:space="preserve">Masked tissue modeling (MTM) masking ratio optimization. Dual-axis plot examining the effect of masking ratio during self-supervised pretraining on downstream performance (C-index, left axis) and pretraining reconstruction loss (right axis). Performance peaks at 30% masking ratio (red diamond). The teal shaded region (30–50%) indicates the optimal operating range.</w:t>
      </w:r>
    </w:p>
    <w:bookmarkEnd w:id="26"/>
    <w:bookmarkEnd w:id="27"/>
    <w:bookmarkStart w:id="32" w:name="Xf320bc14a81b072701dac00ceb1f0596f284f46"/>
    <w:p>
      <w:pPr>
        <w:pStyle w:val="Heading2"/>
      </w:pPr>
      <w:r>
        <w:t xml:space="preserve">Supplementary Figure S3: Pan-cancer Detailed Analysis</w:t>
      </w:r>
    </w:p>
    <w:bookmarkStart w:id="31" w:name="fig:s3"/>
    <w:p>
      <w:pPr>
        <w:pStyle w:val="CaptionedFigure"/>
      </w:pPr>
      <w:r>
        <w:drawing>
          <wp:inline>
            <wp:extent cx="4915667" cy="3283248"/>
            <wp:effectExtent b="0" l="0" r="0" t="0"/>
            <wp:docPr descr="" title="" id="29" name="Picture"/>
            <a:graphic>
              <a:graphicData uri="http://schemas.openxmlformats.org/drawingml/2006/picture">
                <pic:pic>
                  <pic:nvPicPr>
                    <pic:cNvPr descr="supplementary/figures/Supp Fig S3 Pan-cancer Detailed Analysis.png" id="30" name="Picture"/>
                    <pic:cNvPicPr>
                      <a:picLocks noChangeArrowheads="1" noChangeAspect="1"/>
                    </pic:cNvPicPr>
                  </pic:nvPicPr>
                  <pic:blipFill>
                    <a:blip r:embed="rId28"/>
                    <a:stretch>
                      <a:fillRect/>
                    </a:stretch>
                  </pic:blipFill>
                  <pic:spPr bwMode="auto">
                    <a:xfrm>
                      <a:off x="0" y="0"/>
                      <a:ext cx="4915667" cy="3283248"/>
                    </a:xfrm>
                    <a:prstGeom prst="rect">
                      <a:avLst/>
                    </a:prstGeom>
                    <a:noFill/>
                    <a:ln w="9525">
                      <a:noFill/>
                      <a:headEnd/>
                      <a:tailEnd/>
                    </a:ln>
                  </pic:spPr>
                </pic:pic>
              </a:graphicData>
            </a:graphic>
          </wp:inline>
        </w:drawing>
      </w:r>
    </w:p>
    <w:p>
      <w:pPr>
        <w:pStyle w:val="ImageCaption"/>
      </w:pPr>
      <w:r>
        <w:rPr>
          <w:b/>
          <w:bCs/>
        </w:rPr>
        <w:t xml:space="preserve">Pan-cancer detailed performance analysis.</w:t>
      </w:r>
      <w:r>
        <w:t xml:space="preserve"> </w:t>
      </w:r>
      <w:r>
        <w:t xml:space="preserve">Performance by cancer type. Heatmap displaying C-index performance for seven survival prediction methods (rows) across ten TCGA cancer types (columns). Color scale ranges from 0.50 (dark blue, near-random performance) to 0.80 (orange, excellent discrimination). Methods evaluated (top to bottom): Bio-STFM (ours), MCAT, Porpoise, TransMIL, CLAM-SB, ABMIL, and Mean-Pool baseline. Cancer types evaluated (left to right): BLCA (bladder), BRCA (breast), COAD (colon), HNSC (head and neck), KIRC (kidney clear cell), LIHC (liver), LUAD (lung adenocarcinoma), LUSC (lung squamous cell), OV (ovarian), STAD (stomach). Bio-STFM achieves the highest or near-highest C-index across all ten cancer types, with particularly strong performance in COAD (0.80), LIHC (0.80), and LUAD (0.80). The consistent cross-cancer advantage supports the model’s generalizability across diverse tumor microenvironments.</w:t>
      </w:r>
    </w:p>
    <w:bookmarkEnd w:id="31"/>
    <w:bookmarkEnd w:id="32"/>
    <w:bookmarkStart w:id="37" w:name="X8fc1143c5897b9b38f2f87595a8130bdd8613ac"/>
    <w:p>
      <w:pPr>
        <w:pStyle w:val="Heading2"/>
      </w:pPr>
      <w:r>
        <w:t xml:space="preserve">Supplementary Figure S4: Spatial Mechanism Supplements</w:t>
      </w:r>
    </w:p>
    <w:bookmarkStart w:id="36" w:name="fig:s4"/>
    <w:p>
      <w:pPr>
        <w:pStyle w:val="CaptionedFigure"/>
      </w:pPr>
      <w:r>
        <w:drawing>
          <wp:inline>
            <wp:extent cx="5334000" cy="3962891"/>
            <wp:effectExtent b="0" l="0" r="0" t="0"/>
            <wp:docPr descr="" title="" id="34" name="Picture"/>
            <a:graphic>
              <a:graphicData uri="http://schemas.openxmlformats.org/drawingml/2006/picture">
                <pic:pic>
                  <pic:nvPicPr>
                    <pic:cNvPr descr="supplementary/figures/Supp Fig S4 Spatial Mechanism Supplements.png" id="35" name="Picture"/>
                    <pic:cNvPicPr>
                      <a:picLocks noChangeArrowheads="1" noChangeAspect="1"/>
                    </pic:cNvPicPr>
                  </pic:nvPicPr>
                  <pic:blipFill>
                    <a:blip r:embed="rId33"/>
                    <a:stretch>
                      <a:fillRect/>
                    </a:stretch>
                  </pic:blipFill>
                  <pic:spPr bwMode="auto">
                    <a:xfrm>
                      <a:off x="0" y="0"/>
                      <a:ext cx="5334000" cy="3962891"/>
                    </a:xfrm>
                    <a:prstGeom prst="rect">
                      <a:avLst/>
                    </a:prstGeom>
                    <a:noFill/>
                    <a:ln w="9525">
                      <a:noFill/>
                      <a:headEnd/>
                      <a:tailEnd/>
                    </a:ln>
                  </pic:spPr>
                </pic:pic>
              </a:graphicData>
            </a:graphic>
          </wp:inline>
        </w:drawing>
      </w:r>
    </w:p>
    <w:p>
      <w:pPr>
        <w:pStyle w:val="ImageCaption"/>
      </w:pPr>
      <w:r>
        <w:rPr>
          <w:b/>
          <w:bCs/>
        </w:rPr>
        <w:t xml:space="preserve">Spatial mechanism supplements and cell-cell interaction analysis.</w:t>
      </w:r>
      <w:r>
        <w:t xml:space="preserve"> </w:t>
      </w:r>
      <w:r>
        <w:rPr>
          <w:b/>
          <w:bCs/>
        </w:rPr>
        <w:t xml:space="preserve">a,</w:t>
      </w:r>
      <w:r>
        <w:t xml:space="preserve"> </w:t>
      </w:r>
      <w:r>
        <w:t xml:space="preserve">Spatial cell-cell interactions associated with survival. Table and schematic showing the top-ranked protective spatial motifs identified by the model. Identified protective interactions: CD8T–Tumor (</w:t>
      </w:r>
      <m:oMath>
        <m:r>
          <m:t>z</m:t>
        </m:r>
        <m:r>
          <m:rPr>
            <m:sty m:val="p"/>
          </m:rPr>
          <m:t>=</m:t>
        </m:r>
        <m:r>
          <m:rPr>
            <m:sty m:val="p"/>
          </m:rPr>
          <m:t>−</m:t>
        </m:r>
        <m:r>
          <m:t>8.3</m:t>
        </m:r>
      </m:oMath>
      <w:r>
        <w:t xml:space="preserve">, HR = 0.28, 95% CI: 0.18–0.42); Macrophages–Tumor (</w:t>
      </w:r>
      <m:oMath>
        <m:r>
          <m:t>z</m:t>
        </m:r>
        <m:r>
          <m:rPr>
            <m:sty m:val="p"/>
          </m:rPr>
          <m:t>=</m:t>
        </m:r>
        <m:r>
          <m:rPr>
            <m:sty m:val="p"/>
          </m:rPr>
          <m:t>−</m:t>
        </m:r>
        <m:r>
          <m:t>8.0</m:t>
        </m:r>
      </m:oMath>
      <w:r>
        <w:t xml:space="preserve">, HR = 0.31, 95% CI: 0.21–0.46); DC–Tumor (</w:t>
      </w:r>
      <m:oMath>
        <m:r>
          <m:t>z</m:t>
        </m:r>
        <m:r>
          <m:rPr>
            <m:sty m:val="p"/>
          </m:rPr>
          <m:t>=</m:t>
        </m:r>
        <m:r>
          <m:rPr>
            <m:sty m:val="p"/>
          </m:rPr>
          <m:t>−</m:t>
        </m:r>
        <m:r>
          <m:t>6.6</m:t>
        </m:r>
      </m:oMath>
      <w:r>
        <w:t xml:space="preserve">, HR = 0.35, 95% CI: 0.23–0.53); CD4T–Macrophages (</w:t>
      </w:r>
      <m:oMath>
        <m:r>
          <m:t>z</m:t>
        </m:r>
        <m:r>
          <m:rPr>
            <m:sty m:val="p"/>
          </m:rPr>
          <m:t>=</m:t>
        </m:r>
        <m:r>
          <m:rPr>
            <m:sty m:val="p"/>
          </m:rPr>
          <m:t>−</m:t>
        </m:r>
        <m:r>
          <m:t>6.5</m:t>
        </m:r>
      </m:oMath>
      <w:r>
        <w:t xml:space="preserve">, HR = 0.33, 95% CI: 0.22–0.50). All four motifs exhibit strong negative z-scores and low hazard ratios, confirming their protective association with patient outcomes.</w:t>
      </w:r>
      <w:r>
        <w:t xml:space="preserve"> </w:t>
      </w:r>
      <w:r>
        <w:rPr>
          <w:b/>
          <w:bCs/>
        </w:rPr>
        <w:t xml:space="preserve">b,</w:t>
      </w:r>
      <w:r>
        <w:t xml:space="preserve"> </w:t>
      </w:r>
      <w:r>
        <w:t xml:space="preserve">Risk score distribution. Histogram showing the distribution of model-predicted risk scores across the patient cohort, ranging from 0.50 to 0.70 with relatively uniform distribution.</w:t>
      </w:r>
      <w:r>
        <w:t xml:space="preserve"> </w:t>
      </w:r>
      <w:r>
        <w:rPr>
          <w:b/>
          <w:bCs/>
        </w:rPr>
        <w:t xml:space="preserve">c,</w:t>
      </w:r>
      <w:r>
        <w:t xml:space="preserve"> </w:t>
      </w:r>
      <w:r>
        <w:t xml:space="preserve">Attention-risk correlation. Scatter plot examining the relationship between mean attention weight (x-axis) and predicted risk score (y-axis) at the patient level. A weak negative correlation is observed (Pearson</w:t>
      </w:r>
      <w:r>
        <w:t xml:space="preserve"> </w:t>
      </w:r>
      <m:oMath>
        <m:r>
          <m:t>r</m:t>
        </m:r>
        <m:r>
          <m:rPr>
            <m:sty m:val="p"/>
          </m:rPr>
          <m:t>=</m:t>
        </m:r>
        <m:r>
          <m:rPr>
            <m:sty m:val="p"/>
          </m:rPr>
          <m:t>−</m:t>
        </m:r>
        <m:r>
          <m:t>0.234</m:t>
        </m:r>
      </m:oMath>
      <w:r>
        <w:t xml:space="preserve">,</w:t>
      </w:r>
      <w:r>
        <w:t xml:space="preserve"> </w:t>
      </w:r>
      <m:oMath>
        <m:r>
          <m:t>P</m:t>
        </m:r>
        <m:r>
          <m:rPr>
            <m:sty m:val="p"/>
          </m:rPr>
          <m:t>=</m:t>
        </m:r>
        <m:r>
          <m:t>0.018</m:t>
        </m:r>
      </m:oMath>
      <w:r>
        <w:t xml:space="preserve">), reflecting that patients with higher average attention weights on immune-infiltrated regions tend to have marginally lower predicted risk.</w:t>
      </w:r>
    </w:p>
    <w:bookmarkEnd w:id="36"/>
    <w:bookmarkEnd w:id="37"/>
    <w:bookmarkStart w:id="42" w:name="Xf46dbc3a078d4d21c99b089cdc5ab6e0b44bbe6"/>
    <w:p>
      <w:pPr>
        <w:pStyle w:val="Heading2"/>
      </w:pPr>
      <w:r>
        <w:t xml:space="preserve">Supplementary Figure S5: Virtual Trial Supplements</w:t>
      </w:r>
    </w:p>
    <w:bookmarkStart w:id="41" w:name="fig:s5"/>
    <w:p>
      <w:pPr>
        <w:pStyle w:val="CaptionedFigure"/>
      </w:pPr>
      <w:r>
        <w:drawing>
          <wp:inline>
            <wp:extent cx="5334000" cy="5205055"/>
            <wp:effectExtent b="0" l="0" r="0" t="0"/>
            <wp:docPr descr="" title="" id="39" name="Picture"/>
            <a:graphic>
              <a:graphicData uri="http://schemas.openxmlformats.org/drawingml/2006/picture">
                <pic:pic>
                  <pic:nvPicPr>
                    <pic:cNvPr descr="supplementary/figures/Supp Fig S5 Virtual Trial Supplements.png" id="40" name="Picture"/>
                    <pic:cNvPicPr>
                      <a:picLocks noChangeArrowheads="1" noChangeAspect="1"/>
                    </pic:cNvPicPr>
                  </pic:nvPicPr>
                  <pic:blipFill>
                    <a:blip r:embed="rId38"/>
                    <a:stretch>
                      <a:fillRect/>
                    </a:stretch>
                  </pic:blipFill>
                  <pic:spPr bwMode="auto">
                    <a:xfrm>
                      <a:off x="0" y="0"/>
                      <a:ext cx="5334000" cy="5205055"/>
                    </a:xfrm>
                    <a:prstGeom prst="rect">
                      <a:avLst/>
                    </a:prstGeom>
                    <a:noFill/>
                    <a:ln w="9525">
                      <a:noFill/>
                      <a:headEnd/>
                      <a:tailEnd/>
                    </a:ln>
                  </pic:spPr>
                </pic:pic>
              </a:graphicData>
            </a:graphic>
          </wp:inline>
        </w:drawing>
      </w:r>
    </w:p>
    <w:p>
      <w:pPr>
        <w:pStyle w:val="ImageCaption"/>
      </w:pPr>
      <w:r>
        <w:rPr>
          <w:b/>
          <w:bCs/>
        </w:rPr>
        <w:t xml:space="preserve">In silico perturbation supplements and sensitivity analysis.</w:t>
      </w:r>
      <w:r>
        <w:t xml:space="preserve"> </w:t>
      </w:r>
      <w:r>
        <w:rPr>
          <w:b/>
          <w:bCs/>
        </w:rPr>
        <w:t xml:space="preserve">a,</w:t>
      </w:r>
      <w:r>
        <w:t xml:space="preserve"> </w:t>
      </w:r>
      <w:r>
        <w:t xml:space="preserve">Perturbation effect versus null distribution. Histogram comparing the distribution of</w:t>
      </w:r>
      <w:r>
        <w:t xml:space="preserve"> </w:t>
      </w:r>
      <m:oMath>
        <m:r>
          <m:rPr>
            <m:sty m:val="p"/>
          </m:rPr>
          <m:t>Δ</m:t>
        </m:r>
      </m:oMath>
      <w:r>
        <w:t xml:space="preserve">Risk values from random permutations (null distribution, light teal) against the effects of top-ranked target perturbations (orange vertical lines). The null distribution is centered near zero (</w:t>
      </w:r>
      <m:oMath>
        <m:r>
          <m:t>μ</m:t>
        </m:r>
        <m:r>
          <m:rPr>
            <m:sty m:val="p"/>
          </m:rPr>
          <m:t>=</m:t>
        </m:r>
        <m:r>
          <m:t>0.0003</m:t>
        </m:r>
      </m:oMath>
      <w:r>
        <w:t xml:space="preserve">,</w:t>
      </w:r>
      <w:r>
        <w:t xml:space="preserve"> </w:t>
      </w:r>
      <m:oMath>
        <m:r>
          <m:t>σ</m:t>
        </m:r>
        <m:r>
          <m:rPr>
            <m:sty m:val="p"/>
          </m:rPr>
          <m:t>=</m:t>
        </m:r>
        <m:r>
          <m:t>0.0206</m:t>
        </m:r>
      </m:oMath>
      <w:r>
        <w:t xml:space="preserve">). The dashed vertical line indicates the 95th percentile threshold (</w:t>
      </w:r>
      <m:oMath>
        <m:r>
          <m:rPr>
            <m:sty m:val="p"/>
          </m:rPr>
          <m:t>∼</m:t>
        </m:r>
      </m:oMath>
      <w:r>
        <w:t xml:space="preserve">0.03</w:t>
      </w:r>
      <w:r>
        <w:t xml:space="preserve"> </w:t>
      </w:r>
      <m:oMath>
        <m:r>
          <m:rPr>
            <m:sty m:val="p"/>
          </m:rPr>
          <m:t>Δ</m:t>
        </m:r>
      </m:oMath>
      <w:r>
        <w:t xml:space="preserve">Risk). All top-ranked targets exhibit perturbation effects substantially exceeding this threshold (</w:t>
      </w:r>
      <m:oMath>
        <m:r>
          <m:rPr>
            <m:sty m:val="p"/>
          </m:rPr>
          <m:t>Δ</m:t>
        </m:r>
      </m:oMath>
      <w:r>
        <w:t xml:space="preserve">Risk = 0.10–0.18).</w:t>
      </w:r>
      <w:r>
        <w:t xml:space="preserve"> </w:t>
      </w:r>
      <w:r>
        <w:rPr>
          <w:b/>
          <w:bCs/>
        </w:rPr>
        <w:t xml:space="preserve">b,</w:t>
      </w:r>
      <w:r>
        <w:t xml:space="preserve"> </w:t>
      </w:r>
      <w:r>
        <w:t xml:space="preserve">Dose-response curves for top therapeutic targets. Simulated dose-response relationships showing predicted risk reduction as a function of virtual drug concentration for four high-priority targets: PD1-PDL1 (saturating response</w:t>
      </w:r>
      <w:r>
        <w:t xml:space="preserve"> </w:t>
      </w:r>
      <m:oMath>
        <m:r>
          <m:rPr>
            <m:sty m:val="p"/>
          </m:rPr>
          <m:t>∼</m:t>
        </m:r>
      </m:oMath>
      <w:r>
        <w:t xml:space="preserve">0.80), CSF1R-CSF1 (</w:t>
      </w:r>
      <m:oMath>
        <m:r>
          <m:rPr>
            <m:sty m:val="p"/>
          </m:rPr>
          <m:t>∼</m:t>
        </m:r>
      </m:oMath>
      <w:r>
        <w:t xml:space="preserve">0.75), EGFR-EGF (</w:t>
      </w:r>
      <m:oMath>
        <m:r>
          <m:rPr>
            <m:sty m:val="p"/>
          </m:rPr>
          <m:t>∼</m:t>
        </m:r>
      </m:oMath>
      <w:r>
        <w:t xml:space="preserve">0.85), and TGF</w:t>
      </w:r>
      <m:oMath>
        <m:r>
          <m:t>β</m:t>
        </m:r>
      </m:oMath>
      <w:r>
        <w:t xml:space="preserve">1-TGFBR2 (</w:t>
      </w:r>
      <m:oMath>
        <m:r>
          <m:rPr>
            <m:sty m:val="p"/>
          </m:rPr>
          <m:t>∼</m:t>
        </m:r>
      </m:oMath>
      <w:r>
        <w:t xml:space="preserve">0.80). All curves exhibit characteristic sigmoid pharmacodynamics with EC</w:t>
      </w:r>
      <m:oMath>
        <m:sSub>
          <m:e>
            <m:r>
              <m:t>​</m:t>
            </m:r>
          </m:e>
          <m:sub>
            <m:r>
              <m:t>50</m:t>
            </m:r>
          </m:sub>
        </m:sSub>
      </m:oMath>
      <w:r>
        <w:t xml:space="preserve"> </w:t>
      </w:r>
      <w:r>
        <w:t xml:space="preserve">values in the 0.1–1</w:t>
      </w:r>
      <w:r>
        <w:t xml:space="preserve"> </w:t>
      </w:r>
      <m:oMath>
        <m:r>
          <m:t>μ</m:t>
        </m:r>
      </m:oMath>
      <w:r>
        <w:t xml:space="preserve">M range.</w:t>
      </w:r>
      <w:r>
        <w:t xml:space="preserve"> </w:t>
      </w:r>
      <w:r>
        <w:rPr>
          <w:b/>
          <w:bCs/>
        </w:rPr>
        <w:t xml:space="preserve">c,</w:t>
      </w:r>
      <w:r>
        <w:t xml:space="preserve"> </w:t>
      </w:r>
      <w:r>
        <w:t xml:space="preserve">Target pathway enrichment analysis. Horizontal bar chart showing fold enrichment of model-identified targets in canonical signaling pathways. Significantly enriched pathways include: Immune Checkpoint Signaling (4.2</w:t>
      </w:r>
      <m:oMath>
        <m:r>
          <m:rPr>
            <m:sty m:val="p"/>
          </m:rPr>
          <m:t>×</m:t>
        </m:r>
      </m:oMath>
      <w:r>
        <w:t xml:space="preserve">), Cytokine-Cytokine Receptor (2.5</w:t>
      </w:r>
      <m:oMath>
        <m:r>
          <m:rPr>
            <m:sty m:val="p"/>
          </m:rPr>
          <m:t>×</m:t>
        </m:r>
      </m:oMath>
      <w:r>
        <w:t xml:space="preserve">), TGF-beta Signaling (2.3</w:t>
      </w:r>
      <m:oMath>
        <m:r>
          <m:rPr>
            <m:sty m:val="p"/>
          </m:rPr>
          <m:t>×</m:t>
        </m:r>
      </m:oMath>
      <w:r>
        <w:t xml:space="preserve">), and T Cell Receptor Signaling (2.0</w:t>
      </w:r>
      <m:oMath>
        <m:r>
          <m:rPr>
            <m:sty m:val="p"/>
          </m:rPr>
          <m:t>×</m:t>
        </m:r>
      </m:oMath>
      <w:r>
        <w:t xml:space="preserve">).</w:t>
      </w:r>
      <w:r>
        <w:t xml:space="preserve"> </w:t>
      </w:r>
      <w:r>
        <w:rPr>
          <w:b/>
          <w:bCs/>
        </w:rPr>
        <w:t xml:space="preserve">d,</w:t>
      </w:r>
      <w:r>
        <w:t xml:space="preserve"> </w:t>
      </w:r>
      <w:r>
        <w:t xml:space="preserve">Training dynamics. Dual-axis plot showing model convergence over 200 training epochs with training/validation loss (left axis) and C-index (right axis). The red diamond marks the early stopping point (epoch</w:t>
      </w:r>
      <w:r>
        <w:t xml:space="preserve"> </w:t>
      </w:r>
      <m:oMath>
        <m:r>
          <m:rPr>
            <m:sty m:val="p"/>
          </m:rPr>
          <m:t>∼</m:t>
        </m:r>
      </m:oMath>
      <w:r>
        <w:t xml:space="preserve">100).</w:t>
      </w:r>
    </w:p>
    <w:bookmarkEnd w:id="41"/>
    <w:bookmarkEnd w:id="42"/>
    <w:bookmarkStart w:id="47" w:name="X98d0ddfe95e125b5c0f32e059e0b9157c5a6405"/>
    <w:p>
      <w:pPr>
        <w:pStyle w:val="Heading2"/>
      </w:pPr>
      <w:r>
        <w:t xml:space="preserve">Supplementary Figure S6: Training Curves and Convergence Analysis</w:t>
      </w:r>
    </w:p>
    <w:bookmarkStart w:id="46" w:name="fig:s6"/>
    <w:p>
      <w:pPr>
        <w:pStyle w:val="CaptionedFigure"/>
      </w:pPr>
      <w:r>
        <w:drawing>
          <wp:inline>
            <wp:extent cx="5334000" cy="4101892"/>
            <wp:effectExtent b="0" l="0" r="0" t="0"/>
            <wp:docPr descr="" title="" id="44" name="Picture"/>
            <a:graphic>
              <a:graphicData uri="http://schemas.openxmlformats.org/drawingml/2006/picture">
                <pic:pic>
                  <pic:nvPicPr>
                    <pic:cNvPr descr="supplementary/figures/Supp Fig S6_training_curves.png" id="45" name="Picture"/>
                    <pic:cNvPicPr>
                      <a:picLocks noChangeArrowheads="1" noChangeAspect="1"/>
                    </pic:cNvPicPr>
                  </pic:nvPicPr>
                  <pic:blipFill>
                    <a:blip r:embed="rId43"/>
                    <a:stretch>
                      <a:fillRect/>
                    </a:stretch>
                  </pic:blipFill>
                  <pic:spPr bwMode="auto">
                    <a:xfrm>
                      <a:off x="0" y="0"/>
                      <a:ext cx="5334000" cy="4101892"/>
                    </a:xfrm>
                    <a:prstGeom prst="rect">
                      <a:avLst/>
                    </a:prstGeom>
                    <a:noFill/>
                    <a:ln w="9525">
                      <a:noFill/>
                      <a:headEnd/>
                      <a:tailEnd/>
                    </a:ln>
                  </pic:spPr>
                </pic:pic>
              </a:graphicData>
            </a:graphic>
          </wp:inline>
        </w:drawing>
      </w:r>
    </w:p>
    <w:p>
      <w:pPr>
        <w:pStyle w:val="ImageCaption"/>
      </w:pPr>
      <w:r>
        <w:rPr>
          <w:b/>
          <w:bCs/>
        </w:rPr>
        <w:t xml:space="preserve">Detailed training curves and convergence analysis.</w:t>
      </w:r>
      <w:r>
        <w:t xml:space="preserve"> </w:t>
      </w:r>
      <w:r>
        <w:rPr>
          <w:b/>
          <w:bCs/>
        </w:rPr>
        <w:t xml:space="preserve">a,</w:t>
      </w:r>
      <w:r>
        <w:t xml:space="preserve"> </w:t>
      </w:r>
      <w:r>
        <w:t xml:space="preserve">Loss curves during training. Training loss (teal) and validation loss (orange) plotted over 200 epochs. Both curves exhibit smooth convergence, with training loss decreasing from</w:t>
      </w:r>
      <w:r>
        <w:t xml:space="preserve"> </w:t>
      </w:r>
      <m:oMath>
        <m:r>
          <m:rPr>
            <m:sty m:val="p"/>
          </m:rPr>
          <m:t>∼</m:t>
        </m:r>
      </m:oMath>
      <w:r>
        <w:t xml:space="preserve">1.0 to</w:t>
      </w:r>
      <w:r>
        <w:t xml:space="preserve"> </w:t>
      </w:r>
      <m:oMath>
        <m:r>
          <m:rPr>
            <m:sty m:val="p"/>
          </m:rPr>
          <m:t>∼</m:t>
        </m:r>
      </m:oMath>
      <w:r>
        <w:t xml:space="preserve">0.2 and validation loss stabilizing at</w:t>
      </w:r>
      <w:r>
        <w:t xml:space="preserve"> </w:t>
      </w:r>
      <m:oMath>
        <m:r>
          <m:rPr>
            <m:sty m:val="p"/>
          </m:rPr>
          <m:t>∼</m:t>
        </m:r>
      </m:oMath>
      <w:r>
        <w:t xml:space="preserve">0.3. The consistent gap between training and validation loss indicates effective regularization. Light shaded regions represent variance across training runs.</w:t>
      </w:r>
      <w:r>
        <w:t xml:space="preserve"> </w:t>
      </w:r>
      <w:r>
        <w:rPr>
          <w:b/>
          <w:bCs/>
        </w:rPr>
        <w:t xml:space="preserve">b,</w:t>
      </w:r>
      <w:r>
        <w:t xml:space="preserve"> </w:t>
      </w:r>
      <w:r>
        <w:t xml:space="preserve">C-index curves during training. Training C-index (teal) and validation C-index (orange) plotted over 200 epochs on the BRCA cohort. Training C-index increases from</w:t>
      </w:r>
      <w:r>
        <w:t xml:space="preserve"> </w:t>
      </w:r>
      <m:oMath>
        <m:r>
          <m:rPr>
            <m:sty m:val="p"/>
          </m:rPr>
          <m:t>∼</m:t>
        </m:r>
      </m:oMath>
      <w:r>
        <w:t xml:space="preserve">0.55 to</w:t>
      </w:r>
      <w:r>
        <w:t xml:space="preserve"> </w:t>
      </w:r>
      <m:oMath>
        <m:r>
          <m:rPr>
            <m:sty m:val="p"/>
          </m:rPr>
          <m:t>∼</m:t>
        </m:r>
      </m:oMath>
      <w:r>
        <w:t xml:space="preserve">0.90, while validation C-index rises from</w:t>
      </w:r>
      <w:r>
        <w:t xml:space="preserve"> </w:t>
      </w:r>
      <m:oMath>
        <m:r>
          <m:rPr>
            <m:sty m:val="p"/>
          </m:rPr>
          <m:t>∼</m:t>
        </m:r>
      </m:oMath>
      <w:r>
        <w:t xml:space="preserve">0.55 and plateaus at</w:t>
      </w:r>
      <w:r>
        <w:t xml:space="preserve"> </w:t>
      </w:r>
      <m:oMath>
        <m:r>
          <m:rPr>
            <m:sty m:val="p"/>
          </m:rPr>
          <m:t>∼</m:t>
        </m:r>
      </m:oMath>
      <w:r>
        <w:t xml:space="preserve">0.78. The best validation performance (C-index = 0.780) is achieved at epoch 99. Beyond this point, training C-index continues to improve while validation C-index stagnates, suggesting the onset of overfitting.</w:t>
      </w:r>
      <w:r>
        <w:t xml:space="preserve"> </w:t>
      </w:r>
      <w:r>
        <w:rPr>
          <w:b/>
          <w:bCs/>
        </w:rPr>
        <w:t xml:space="preserve">c,</w:t>
      </w:r>
      <w:r>
        <w:t xml:space="preserve"> </w:t>
      </w:r>
      <w:r>
        <w:t xml:space="preserve">Learning rate schedule. Visualization of the cosine annealing learning rate schedule (purple filled area) over 200 epochs. The learning rate starts at</w:t>
      </w:r>
      <w:r>
        <w:t xml:space="preserve"> </w:t>
      </w:r>
      <m:oMath>
        <m:r>
          <m:t>1.0</m:t>
        </m:r>
        <m:r>
          <m:rPr>
            <m:sty m:val="p"/>
          </m:rPr>
          <m:t>×</m:t>
        </m:r>
        <m:sSup>
          <m:e>
            <m:r>
              <m:t>10</m:t>
            </m:r>
          </m:e>
          <m:sup>
            <m:r>
              <m:rPr>
                <m:sty m:val="p"/>
              </m:rPr>
              <m:t>−</m:t>
            </m:r>
            <m:r>
              <m:t>4</m:t>
            </m:r>
          </m:sup>
        </m:sSup>
      </m:oMath>
      <w:r>
        <w:t xml:space="preserve"> </w:t>
      </w:r>
      <w:r>
        <w:t xml:space="preserve">and smoothly decays following a cosine function, approaching zero by epoch 200.</w:t>
      </w:r>
      <w:r>
        <w:t xml:space="preserve"> </w:t>
      </w:r>
      <w:r>
        <w:rPr>
          <w:b/>
          <w:bCs/>
        </w:rPr>
        <w:t xml:space="preserve">d,</w:t>
      </w:r>
      <w:r>
        <w:t xml:space="preserve"> </w:t>
      </w:r>
      <w:r>
        <w:t xml:space="preserve">Train-validation gap analysis (overfitting monitor). Plot showing the difference between training and validation C-index over epochs. The pink shaded region indicates the</w:t>
      </w:r>
      <w:r>
        <w:t xml:space="preserve"> </w:t>
      </w:r>
      <w:r>
        <w:t xml:space="preserve">“Overfitting risk”</w:t>
      </w:r>
      <w:r>
        <w:t xml:space="preserve"> </w:t>
      </w:r>
      <w:r>
        <w:t xml:space="preserve">zone. The gap remains in the acceptable range during early training but enters the overfitting risk zone after epoch</w:t>
      </w:r>
      <w:r>
        <w:t xml:space="preserve"> </w:t>
      </w:r>
      <m:oMath>
        <m:r>
          <m:rPr>
            <m:sty m:val="p"/>
          </m:rPr>
          <m:t>∼</m:t>
        </m:r>
      </m:oMath>
      <w:r>
        <w:t xml:space="preserve">75–100, providing justification for early stopping at epoch 99. Training configuration: AdamW optimizer, initial learning rate</w:t>
      </w:r>
      <w:r>
        <w:t xml:space="preserve"> </w:t>
      </w:r>
      <m:oMath>
        <m:r>
          <m:t>1</m:t>
        </m:r>
        <m:r>
          <m:rPr>
            <m:sty m:val="p"/>
          </m:rPr>
          <m:t>×</m:t>
        </m:r>
        <m:sSup>
          <m:e>
            <m:r>
              <m:t>10</m:t>
            </m:r>
          </m:e>
          <m:sup>
            <m:r>
              <m:rPr>
                <m:sty m:val="p"/>
              </m:rPr>
              <m:t>−</m:t>
            </m:r>
            <m:r>
              <m:t>4</m:t>
            </m:r>
          </m:sup>
        </m:sSup>
      </m:oMath>
      <w:r>
        <w:t xml:space="preserve">, weight decay 0.01, batch size 32, cosine annealing schedule with 200 epochs maximum, early stopping patience 20 epochs.</w:t>
      </w:r>
    </w:p>
    <w:bookmarkEnd w:id="46"/>
    <w:bookmarkEnd w:id="47"/>
    <w:bookmarkEnd w:id="48"/>
    <w:bookmarkStart w:id="63" w:name="supplementary-methods"/>
    <w:p>
      <w:pPr>
        <w:pStyle w:val="Heading1"/>
      </w:pPr>
      <w:r>
        <w:t xml:space="preserve">Supplementary Methods</w:t>
      </w:r>
    </w:p>
    <w:bookmarkStart w:id="52" w:name="data-preprocessing-pipeline"/>
    <w:p>
      <w:pPr>
        <w:pStyle w:val="Heading2"/>
      </w:pPr>
      <w:r>
        <w:t xml:space="preserve">Data Preprocessing Pipeline</w:t>
      </w:r>
    </w:p>
    <w:bookmarkStart w:id="49" w:name="dataset-splitting-and-leakage-prevention"/>
    <w:p>
      <w:pPr>
        <w:pStyle w:val="Heading3"/>
      </w:pPr>
      <w:r>
        <w:t xml:space="preserve">Dataset splitting and leakage prevention</w:t>
      </w:r>
    </w:p>
    <w:p>
      <w:pPr>
        <w:pStyle w:val="FirstParagraph"/>
      </w:pPr>
      <w:r>
        <w:t xml:space="preserve">All model development splits were performed at the patient level to minimize information leakage, such that all WSIs and associated records from a given patient were assigned to the same split. For internal evaluation, 5-fold cross-validation was conducted with stratification by event status, and each fold used 60%/20%/20% train/validation/test partitions. External validation cohorts (CPTAC-BRCA and TCGA-TSS) were kept fully held out during model development and were evaluated without further fine-tuning. For TCGA-TSS external validation, tissue source sites were split to reduce site-level leakage, following the site lists described in the main Methods.</w:t>
      </w:r>
    </w:p>
    <w:bookmarkEnd w:id="49"/>
    <w:bookmarkStart w:id="50" w:name="whole-slide-image-processing"/>
    <w:p>
      <w:pPr>
        <w:pStyle w:val="Heading3"/>
      </w:pPr>
      <w:r>
        <w:t xml:space="preserve">Whole Slide Image Processing</w:t>
      </w:r>
    </w:p>
    <w:p>
      <w:pPr>
        <w:pStyle w:val="FirstParagraph"/>
      </w:pPr>
      <w:r>
        <w:t xml:space="preserve">Formalin-fixed paraffin-embedded (FFPE) tissue sections stained with hematoxylin and eosin (H&amp;E) were digitized at 40</w:t>
      </w:r>
      <m:oMath>
        <m:r>
          <m:rPr>
            <m:sty m:val="p"/>
          </m:rPr>
          <m:t>×</m:t>
        </m:r>
      </m:oMath>
      <w:r>
        <w:t xml:space="preserve"> </w:t>
      </w:r>
      <w:r>
        <w:t xml:space="preserve">magnification (0.25</w:t>
      </w:r>
      <w:r>
        <w:t xml:space="preserve"> </w:t>
      </w:r>
      <m:oMath>
        <m:r>
          <m:t>μ</m:t>
        </m:r>
      </m:oMath>
      <w:r>
        <w:t xml:space="preserve">m/pixel). The preprocessing pipeline included:</w:t>
      </w:r>
    </w:p>
    <w:p>
      <w:pPr>
        <w:numPr>
          <w:ilvl w:val="0"/>
          <w:numId w:val="1001"/>
        </w:numPr>
      </w:pPr>
      <w:r>
        <w:rPr>
          <w:b/>
          <w:bCs/>
        </w:rPr>
        <w:t xml:space="preserve">Tissue Detection</w:t>
      </w:r>
      <w:r>
        <w:t xml:space="preserve">: Otsu’s thresholding on the saturation channel after converting to HSV color space</w:t>
      </w:r>
    </w:p>
    <w:p>
      <w:pPr>
        <w:numPr>
          <w:ilvl w:val="0"/>
          <w:numId w:val="1001"/>
        </w:numPr>
      </w:pPr>
      <w:r>
        <w:rPr>
          <w:b/>
          <w:bCs/>
        </w:rPr>
        <w:t xml:space="preserve">Tessellation</w:t>
      </w:r>
      <w:r>
        <w:t xml:space="preserve">: Non-overlapping 256</w:t>
      </w:r>
      <m:oMath>
        <m:r>
          <m:rPr>
            <m:sty m:val="p"/>
          </m:rPr>
          <m:t>×</m:t>
        </m:r>
      </m:oMath>
      <w:r>
        <w:t xml:space="preserve">256 pixel patches at 20</w:t>
      </w:r>
      <m:oMath>
        <m:r>
          <m:rPr>
            <m:sty m:val="p"/>
          </m:rPr>
          <m:t>×</m:t>
        </m:r>
      </m:oMath>
      <w:r>
        <w:t xml:space="preserve"> </w:t>
      </w:r>
      <w:r>
        <w:t xml:space="preserve">magnification (0.5</w:t>
      </w:r>
      <w:r>
        <w:t xml:space="preserve"> </w:t>
      </w:r>
      <m:oMath>
        <m:r>
          <m:t>μ</m:t>
        </m:r>
      </m:oMath>
      <w:r>
        <w:t xml:space="preserve">m/pixel)</w:t>
      </w:r>
    </w:p>
    <w:p>
      <w:pPr>
        <w:numPr>
          <w:ilvl w:val="0"/>
          <w:numId w:val="1001"/>
        </w:numPr>
      </w:pPr>
      <w:r>
        <w:rPr>
          <w:b/>
          <w:bCs/>
        </w:rPr>
        <w:t xml:space="preserve">Quality Filtering</w:t>
      </w:r>
      <w:r>
        <w:t xml:space="preserve">: Exclusion of patches with</w:t>
      </w:r>
      <w:r>
        <w:t xml:space="preserve"> </w:t>
      </w:r>
      <m:oMath>
        <m:r>
          <m:rPr>
            <m:sty m:val="p"/>
          </m:rPr>
          <m:t>&gt;</m:t>
        </m:r>
      </m:oMath>
      <w:r>
        <w:t xml:space="preserve">50% background, blur (Laplacian variance</w:t>
      </w:r>
      <w:r>
        <w:t xml:space="preserve"> </w:t>
      </w:r>
      <m:oMath>
        <m:r>
          <m:rPr>
            <m:sty m:val="p"/>
          </m:rPr>
          <m:t>&lt;</m:t>
        </m:r>
      </m:oMath>
      <w:r>
        <w:t xml:space="preserve">100), pen marks, or tissue folding artifacts</w:t>
      </w:r>
    </w:p>
    <w:p>
      <w:pPr>
        <w:numPr>
          <w:ilvl w:val="0"/>
          <w:numId w:val="1001"/>
        </w:numPr>
      </w:pPr>
      <w:r>
        <w:rPr>
          <w:b/>
          <w:bCs/>
        </w:rPr>
        <w:t xml:space="preserve">Stain Normalization</w:t>
      </w:r>
      <w:r>
        <w:t xml:space="preserve">: Macenko stain normalization using a reference image from TCGA-BRCA</w:t>
      </w:r>
    </w:p>
    <w:p>
      <w:pPr>
        <w:pStyle w:val="FirstParagraph"/>
      </w:pPr>
      <w:r>
        <w:t xml:space="preserve">On average, each WSI yielded 2,847</w:t>
      </w:r>
      <w:r>
        <w:t xml:space="preserve"> </w:t>
      </w:r>
      <m:oMath>
        <m:r>
          <m:rPr>
            <m:sty m:val="p"/>
          </m:rPr>
          <m:t>±</m:t>
        </m:r>
      </m:oMath>
      <w:r>
        <w:t xml:space="preserve"> </w:t>
      </w:r>
      <w:r>
        <w:t xml:space="preserve">1,523 (mean</w:t>
      </w:r>
      <w:r>
        <w:t xml:space="preserve"> </w:t>
      </w:r>
      <m:oMath>
        <m:r>
          <m:rPr>
            <m:sty m:val="p"/>
          </m:rPr>
          <m:t>±</m:t>
        </m:r>
      </m:oMath>
      <w:r>
        <w:t xml:space="preserve"> </w:t>
      </w:r>
      <w:r>
        <w:t xml:space="preserve">s.d.) patches after quality filtering.</w:t>
      </w:r>
    </w:p>
    <w:bookmarkEnd w:id="50"/>
    <w:bookmarkStart w:id="51" w:name="spatial-transcriptomics-processing"/>
    <w:p>
      <w:pPr>
        <w:pStyle w:val="Heading3"/>
      </w:pPr>
      <w:r>
        <w:t xml:space="preserve">Spatial Transcriptomics Processing</w:t>
      </w:r>
    </w:p>
    <w:p>
      <w:pPr>
        <w:pStyle w:val="FirstParagraph"/>
      </w:pPr>
      <w:r>
        <w:t xml:space="preserve">HTAN Visium data were processed using Scanpy (v1.9.3) and the SpatialData framework:</w:t>
      </w:r>
    </w:p>
    <w:p>
      <w:pPr>
        <w:numPr>
          <w:ilvl w:val="0"/>
          <w:numId w:val="1002"/>
        </w:numPr>
      </w:pPr>
      <w:r>
        <w:rPr>
          <w:b/>
          <w:bCs/>
        </w:rPr>
        <w:t xml:space="preserve">Quality Control</w:t>
      </w:r>
      <w:r>
        <w:t xml:space="preserve">: Spots with</w:t>
      </w:r>
      <w:r>
        <w:t xml:space="preserve"> </w:t>
      </w:r>
      <m:oMath>
        <m:r>
          <m:rPr>
            <m:sty m:val="p"/>
          </m:rPr>
          <m:t>&lt;</m:t>
        </m:r>
      </m:oMath>
      <w:r>
        <w:t xml:space="preserve">200 detected genes or</w:t>
      </w:r>
      <w:r>
        <w:t xml:space="preserve"> </w:t>
      </w:r>
      <m:oMath>
        <m:r>
          <m:rPr>
            <m:sty m:val="p"/>
          </m:rPr>
          <m:t>&gt;</m:t>
        </m:r>
      </m:oMath>
      <w:r>
        <w:t xml:space="preserve">20% mitochondrial reads were excluded</w:t>
      </w:r>
    </w:p>
    <w:p>
      <w:pPr>
        <w:numPr>
          <w:ilvl w:val="0"/>
          <w:numId w:val="1002"/>
        </w:numPr>
      </w:pPr>
      <w:r>
        <w:rPr>
          <w:b/>
          <w:bCs/>
        </w:rPr>
        <w:t xml:space="preserve">Normalization</w:t>
      </w:r>
      <w:r>
        <w:t xml:space="preserve">: Gene counts normalized to 10,000 counts per spot, then log-transformed</w:t>
      </w:r>
    </w:p>
    <w:p>
      <w:pPr>
        <w:numPr>
          <w:ilvl w:val="0"/>
          <w:numId w:val="1002"/>
        </w:numPr>
      </w:pPr>
      <w:r>
        <w:rPr>
          <w:b/>
          <w:bCs/>
        </w:rPr>
        <w:t xml:space="preserve">Feature Selection</w:t>
      </w:r>
      <w:r>
        <w:t xml:space="preserve">: 3,000 highly variable genes selected using Seurat v3 method</w:t>
      </w:r>
    </w:p>
    <w:p>
      <w:pPr>
        <w:numPr>
          <w:ilvl w:val="0"/>
          <w:numId w:val="1002"/>
        </w:numPr>
      </w:pPr>
      <w:r>
        <w:rPr>
          <w:b/>
          <w:bCs/>
        </w:rPr>
        <w:t xml:space="preserve">Cell Type Deconvolution</w:t>
      </w:r>
      <w:r>
        <w:t xml:space="preserve">: cell2location with Human Cell Atlas reference, annotating 8 major cell types</w:t>
      </w:r>
    </w:p>
    <w:bookmarkEnd w:id="51"/>
    <w:bookmarkEnd w:id="52"/>
    <w:bookmarkStart w:id="56" w:name="model-architecture-details"/>
    <w:p>
      <w:pPr>
        <w:pStyle w:val="Heading2"/>
      </w:pPr>
      <w:r>
        <w:t xml:space="preserve">Model Architecture Details</w:t>
      </w:r>
    </w:p>
    <w:bookmarkStart w:id="53" w:name="dual-stream-encoder"/>
    <w:p>
      <w:pPr>
        <w:pStyle w:val="Heading3"/>
      </w:pPr>
      <w:r>
        <w:t xml:space="preserve">Dual-Stream Encoder</w:t>
      </w:r>
    </w:p>
    <w:p>
      <w:pPr>
        <w:numPr>
          <w:ilvl w:val="0"/>
          <w:numId w:val="1003"/>
        </w:numPr>
      </w:pPr>
      <w:r>
        <w:rPr>
          <w:b/>
          <w:bCs/>
        </w:rPr>
        <w:t xml:space="preserve">Image Stream</w:t>
      </w:r>
      <w:r>
        <w:t xml:space="preserve">: ViT-H/14 with CONCH weights; patch embeddings</w:t>
      </w:r>
      <w:r>
        <w:t xml:space="preserve"> </w:t>
      </w:r>
      <m:oMath>
        <m:r>
          <m:rPr>
            <m:sty m:val="p"/>
          </m:rPr>
          <m:t>∈</m:t>
        </m:r>
        <m:sSup>
          <m:e>
            <m:r>
              <m:rPr>
                <m:scr m:val="double-struck"/>
                <m:sty m:val="p"/>
              </m:rPr>
              <m:t>R</m:t>
            </m:r>
          </m:e>
          <m:sup>
            <m:r>
              <m:t>N</m:t>
            </m:r>
            <m:r>
              <m:rPr>
                <m:sty m:val="p"/>
              </m:rPr>
              <m:t>×</m:t>
            </m:r>
            <m:r>
              <m:t>768</m:t>
            </m:r>
          </m:sup>
        </m:sSup>
      </m:oMath>
      <w:r>
        <w:t xml:space="preserve"> </w:t>
      </w:r>
      <w:r>
        <w:t xml:space="preserve">projected to 512 dimensions</w:t>
      </w:r>
    </w:p>
    <w:p>
      <w:pPr>
        <w:numPr>
          <w:ilvl w:val="0"/>
          <w:numId w:val="1003"/>
        </w:numPr>
      </w:pPr>
      <w:r>
        <w:rPr>
          <w:b/>
          <w:bCs/>
        </w:rPr>
        <w:t xml:space="preserve">Genomic Stream</w:t>
      </w:r>
      <w:r>
        <w:t xml:space="preserve">: Geneformer encoder; gene embeddings</w:t>
      </w:r>
      <w:r>
        <w:t xml:space="preserve"> </w:t>
      </w:r>
      <m:oMath>
        <m:r>
          <m:rPr>
            <m:sty m:val="p"/>
          </m:rPr>
          <m:t>∈</m:t>
        </m:r>
        <m:sSup>
          <m:e>
            <m:r>
              <m:rPr>
                <m:scr m:val="double-struck"/>
                <m:sty m:val="p"/>
              </m:rPr>
              <m:t>R</m:t>
            </m:r>
          </m:e>
          <m:sup>
            <m:r>
              <m:t>M</m:t>
            </m:r>
            <m:r>
              <m:rPr>
                <m:sty m:val="p"/>
              </m:rPr>
              <m:t>×</m:t>
            </m:r>
            <m:r>
              <m:t>256</m:t>
            </m:r>
          </m:sup>
        </m:sSup>
      </m:oMath>
      <w:r>
        <w:t xml:space="preserve"> </w:t>
      </w:r>
      <w:r>
        <w:t xml:space="preserve">projected to 512 dimensions</w:t>
      </w:r>
    </w:p>
    <w:p>
      <w:pPr>
        <w:numPr>
          <w:ilvl w:val="0"/>
          <w:numId w:val="1003"/>
        </w:numPr>
      </w:pPr>
      <w:r>
        <w:rPr>
          <w:b/>
          <w:bCs/>
        </w:rPr>
        <w:t xml:space="preserve">Positional Encoding</w:t>
      </w:r>
      <w:r>
        <w:t xml:space="preserve">: Learned 2D spatial positions added to preserve topology</w:t>
      </w:r>
    </w:p>
    <w:bookmarkEnd w:id="53"/>
    <w:bookmarkStart w:id="54" w:name="graph-transformer-layers"/>
    <w:p>
      <w:pPr>
        <w:pStyle w:val="Heading3"/>
      </w:pPr>
      <w:r>
        <w:t xml:space="preserve">Graph Transformer Layers</w:t>
      </w:r>
    </w:p>
    <w:p>
      <w:pPr>
        <w:pStyle w:val="FirstParagraph"/>
      </w:pPr>
      <w:r>
        <w:t xml:space="preserve">Each of the 6 stacked graph transformer layers comprises:</w:t>
      </w:r>
    </w:p>
    <w:p>
      <w:pPr>
        <w:numPr>
          <w:ilvl w:val="0"/>
          <w:numId w:val="1004"/>
        </w:numPr>
      </w:pPr>
      <w:r>
        <w:t xml:space="preserve">Multi-head knowledge-guided masked attention (4 heads, dimension 512)</w:t>
      </w:r>
    </w:p>
    <w:p>
      <w:pPr>
        <w:numPr>
          <w:ilvl w:val="0"/>
          <w:numId w:val="1004"/>
        </w:numPr>
      </w:pPr>
      <w:r>
        <w:t xml:space="preserve">Layer normalization (pre-norm configuration)</w:t>
      </w:r>
    </w:p>
    <w:p>
      <w:pPr>
        <w:numPr>
          <w:ilvl w:val="0"/>
          <w:numId w:val="1004"/>
        </w:numPr>
      </w:pPr>
      <w:r>
        <w:t xml:space="preserve">Feed-forward network (2-layer MLP, hidden dimension 2048, GELU activation)</w:t>
      </w:r>
    </w:p>
    <w:p>
      <w:pPr>
        <w:numPr>
          <w:ilvl w:val="0"/>
          <w:numId w:val="1004"/>
        </w:numPr>
      </w:pPr>
      <w:r>
        <w:t xml:space="preserve">Residual connections with dropout (</w:t>
      </w:r>
      <m:oMath>
        <m:r>
          <m:t>p</m:t>
        </m:r>
        <m:r>
          <m:rPr>
            <m:sty m:val="p"/>
          </m:rPr>
          <m:t>=</m:t>
        </m:r>
        <m:r>
          <m:t>0.1</m:t>
        </m:r>
      </m:oMath>
      <w:r>
        <w:t xml:space="preserve">)</w:t>
      </w:r>
    </w:p>
    <w:bookmarkEnd w:id="54"/>
    <w:bookmarkStart w:id="55" w:name="risk-prediction-head"/>
    <w:p>
      <w:pPr>
        <w:pStyle w:val="Heading3"/>
      </w:pPr>
      <w:r>
        <w:t xml:space="preserve">Risk Prediction Head</w:t>
      </w:r>
    </w:p>
    <w:p>
      <w:pPr>
        <w:numPr>
          <w:ilvl w:val="0"/>
          <w:numId w:val="1005"/>
        </w:numPr>
      </w:pPr>
      <w:r>
        <w:t xml:space="preserve">Attention-weighted pooling over patch representations</w:t>
      </w:r>
    </w:p>
    <w:p>
      <w:pPr>
        <w:numPr>
          <w:ilvl w:val="0"/>
          <w:numId w:val="1005"/>
        </w:numPr>
      </w:pPr>
      <w:r>
        <w:t xml:space="preserve">2-layer MLP (512</w:t>
      </w:r>
      <w:r>
        <w:t xml:space="preserve"> </w:t>
      </w:r>
      <m:oMath>
        <m:r>
          <m:rPr>
            <m:sty m:val="p"/>
          </m:rPr>
          <m:t>→</m:t>
        </m:r>
      </m:oMath>
      <w:r>
        <w:t xml:space="preserve"> </w:t>
      </w:r>
      <w:r>
        <w:t xml:space="preserve">256</w:t>
      </w:r>
      <w:r>
        <w:t xml:space="preserve"> </w:t>
      </w:r>
      <m:oMath>
        <m:r>
          <m:rPr>
            <m:sty m:val="p"/>
          </m:rPr>
          <m:t>→</m:t>
        </m:r>
      </m:oMath>
      <w:r>
        <w:t xml:space="preserve"> </w:t>
      </w:r>
      <w:r>
        <w:t xml:space="preserve">1)</w:t>
      </w:r>
    </w:p>
    <w:p>
      <w:pPr>
        <w:numPr>
          <w:ilvl w:val="0"/>
          <w:numId w:val="1005"/>
        </w:numPr>
      </w:pPr>
      <w:r>
        <w:t xml:space="preserve">Output: scalar log-risk score for Cox proportional hazards model</w:t>
      </w:r>
    </w:p>
    <w:bookmarkEnd w:id="55"/>
    <w:bookmarkEnd w:id="56"/>
    <w:bookmarkStart w:id="57" w:name="training-configuration"/>
    <w:p>
      <w:pPr>
        <w:pStyle w:val="Heading2"/>
      </w:pPr>
      <w:r>
        <w:t xml:space="preserve">Training Configuration</w:t>
      </w:r>
    </w:p>
    <w:p>
      <w:pPr>
        <w:pStyle w:val="TableCaption"/>
      </w:pPr>
      <w:r>
        <w:t xml:space="preserve">Training hyperparameters for each stage of the Bio-STFM training pipeline.</w:t>
      </w:r>
    </w:p>
    <w:tbl>
      <w:tblPr>
        <w:tblStyle w:val="Table"/>
        <w:tblW w:type="auto" w:w="0"/>
        <w:tblLook w:firstRow="1" w:lastRow="0" w:firstColumn="0" w:lastColumn="0" w:noHBand="0" w:noVBand="0" w:val="0020"/>
        <w:tblCaption w:val="Training hyperparameters for each stage of the Bio-STFM training pipeline."/>
      </w:tblPr>
      <w:tblGrid>
        <w:gridCol w:w="1980"/>
        <w:gridCol w:w="1980"/>
        <w:gridCol w:w="1980"/>
        <w:gridCol w:w="1980"/>
      </w:tblGrid>
      <w:tr>
        <w:trPr>
          <w:tblHeader w:val="on"/>
        </w:trPr>
        <w:tc>
          <w:tcPr/>
          <w:p>
            <w:pPr>
              <w:pStyle w:val="Compact"/>
              <w:jc w:val="left"/>
            </w:pPr>
            <w:r>
              <w:rPr>
                <w:b/>
                <w:bCs/>
              </w:rPr>
              <w:t xml:space="preserve">Parameter</w:t>
            </w:r>
          </w:p>
        </w:tc>
        <w:tc>
          <w:tcPr/>
          <w:p>
            <w:pPr>
              <w:pStyle w:val="Compact"/>
              <w:jc w:val="center"/>
            </w:pPr>
            <w:r>
              <w:rPr>
                <w:b/>
                <w:bCs/>
              </w:rPr>
              <w:t xml:space="preserve">Stage 1 (MTM)</w:t>
            </w:r>
          </w:p>
        </w:tc>
        <w:tc>
          <w:tcPr/>
          <w:p>
            <w:pPr>
              <w:pStyle w:val="Compact"/>
              <w:jc w:val="center"/>
            </w:pPr>
            <w:r>
              <w:rPr>
                <w:b/>
                <w:bCs/>
              </w:rPr>
              <w:t xml:space="preserve">Stage 2 (Domain)</w:t>
            </w:r>
          </w:p>
        </w:tc>
        <w:tc>
          <w:tcPr/>
          <w:p>
            <w:pPr>
              <w:pStyle w:val="Compact"/>
              <w:jc w:val="center"/>
            </w:pPr>
            <w:r>
              <w:rPr>
                <w:b/>
                <w:bCs/>
              </w:rPr>
              <w:t xml:space="preserve">Stage 3 (Survival)</w:t>
            </w:r>
          </w:p>
        </w:tc>
      </w:tr>
      <w:tr>
        <w:tc>
          <w:tcPr/>
          <w:p>
            <w:pPr>
              <w:pStyle w:val="Compact"/>
              <w:jc w:val="left"/>
            </w:pPr>
            <w:r>
              <w:t xml:space="preserve">Epochs</w:t>
            </w:r>
          </w:p>
        </w:tc>
        <w:tc>
          <w:tcPr/>
          <w:p>
            <w:pPr>
              <w:pStyle w:val="Compact"/>
              <w:jc w:val="center"/>
            </w:pPr>
            <w:r>
              <w:t xml:space="preserve">100</w:t>
            </w:r>
          </w:p>
        </w:tc>
        <w:tc>
          <w:tcPr/>
          <w:p>
            <w:pPr>
              <w:pStyle w:val="Compact"/>
              <w:jc w:val="center"/>
            </w:pPr>
            <w:r>
              <w:t xml:space="preserve">50</w:t>
            </w:r>
          </w:p>
        </w:tc>
        <w:tc>
          <w:tcPr/>
          <w:p>
            <w:pPr>
              <w:pStyle w:val="Compact"/>
              <w:jc w:val="center"/>
            </w:pPr>
            <w:r>
              <w:t xml:space="preserve">200</w:t>
            </w:r>
          </w:p>
        </w:tc>
      </w:tr>
      <w:tr>
        <w:tc>
          <w:tcPr/>
          <w:p>
            <w:pPr>
              <w:pStyle w:val="Compact"/>
              <w:jc w:val="left"/>
            </w:pPr>
            <w:r>
              <w:t xml:space="preserve">Batch size</w:t>
            </w:r>
          </w:p>
        </w:tc>
        <w:tc>
          <w:tcPr/>
          <w:p>
            <w:pPr>
              <w:pStyle w:val="Compact"/>
              <w:jc w:val="center"/>
            </w:pPr>
            <w:r>
              <w:t xml:space="preserve">32</w:t>
            </w:r>
          </w:p>
        </w:tc>
        <w:tc>
          <w:tcPr/>
          <w:p>
            <w:pPr>
              <w:pStyle w:val="Compact"/>
              <w:jc w:val="center"/>
            </w:pPr>
            <w:r>
              <w:t xml:space="preserve">32</w:t>
            </w:r>
          </w:p>
        </w:tc>
        <w:tc>
          <w:tcPr/>
          <w:p>
            <w:pPr>
              <w:pStyle w:val="Compact"/>
              <w:jc w:val="center"/>
            </w:pPr>
            <w:r>
              <w:t xml:space="preserve">16</w:t>
            </w:r>
          </w:p>
        </w:tc>
      </w:tr>
      <w:tr>
        <w:tc>
          <w:tcPr/>
          <w:p>
            <w:pPr>
              <w:pStyle w:val="Compact"/>
              <w:jc w:val="left"/>
            </w:pPr>
            <w:r>
              <w:t xml:space="preserve">Learning rate</w:t>
            </w:r>
          </w:p>
        </w:tc>
        <w:tc>
          <w:tcPr/>
          <w:p>
            <w:pPr>
              <w:pStyle w:val="Compact"/>
              <w:jc w:val="center"/>
            </w:pPr>
            <m:oMath>
              <m:r>
                <m:t>3</m:t>
              </m:r>
              <m:r>
                <m:rPr>
                  <m:sty m:val="p"/>
                </m:rPr>
                <m:t>×</m:t>
              </m:r>
              <m:sSup>
                <m:e>
                  <m:r>
                    <m:t>10</m:t>
                  </m:r>
                </m:e>
                <m:sup>
                  <m:r>
                    <m:rPr>
                      <m:sty m:val="p"/>
                    </m:rPr>
                    <m:t>−</m:t>
                  </m:r>
                  <m:r>
                    <m:t>4</m:t>
                  </m:r>
                </m:sup>
              </m:sSup>
            </m:oMath>
          </w:p>
        </w:tc>
        <w:tc>
          <w:tcPr/>
          <w:p>
            <w:pPr>
              <w:pStyle w:val="Compact"/>
              <w:jc w:val="center"/>
            </w:pPr>
            <m:oMath>
              <m:r>
                <m:t>3</m:t>
              </m:r>
              <m:r>
                <m:rPr>
                  <m:sty m:val="p"/>
                </m:rPr>
                <m:t>×</m:t>
              </m:r>
              <m:sSup>
                <m:e>
                  <m:r>
                    <m:t>10</m:t>
                  </m:r>
                </m:e>
                <m:sup>
                  <m:r>
                    <m:rPr>
                      <m:sty m:val="p"/>
                    </m:rPr>
                    <m:t>−</m:t>
                  </m:r>
                  <m:r>
                    <m:t>4</m:t>
                  </m:r>
                </m:sup>
              </m:sSup>
            </m:oMath>
          </w:p>
        </w:tc>
        <w:tc>
          <w:tcPr/>
          <w:p>
            <w:pPr>
              <w:pStyle w:val="Compact"/>
              <w:jc w:val="center"/>
            </w:pPr>
            <m:oMath>
              <m:r>
                <m:t>1</m:t>
              </m:r>
              <m:r>
                <m:rPr>
                  <m:sty m:val="p"/>
                </m:rPr>
                <m:t>×</m:t>
              </m:r>
              <m:sSup>
                <m:e>
                  <m:r>
                    <m:t>10</m:t>
                  </m:r>
                </m:e>
                <m:sup>
                  <m:r>
                    <m:rPr>
                      <m:sty m:val="p"/>
                    </m:rPr>
                    <m:t>−</m:t>
                  </m:r>
                  <m:r>
                    <m:t>4</m:t>
                  </m:r>
                </m:sup>
              </m:sSup>
            </m:oMath>
          </w:p>
        </w:tc>
      </w:tr>
      <w:tr>
        <w:tc>
          <w:tcPr/>
          <w:p>
            <w:pPr>
              <w:pStyle w:val="Compact"/>
              <w:jc w:val="left"/>
            </w:pPr>
            <w:r>
              <w:t xml:space="preserve">Optimizer</w:t>
            </w:r>
          </w:p>
        </w:tc>
        <w:tc>
          <w:tcPr/>
          <w:p>
            <w:pPr>
              <w:pStyle w:val="Compact"/>
              <w:jc w:val="center"/>
            </w:pPr>
            <w:r>
              <w:t xml:space="preserve">AdamW</w:t>
            </w:r>
          </w:p>
        </w:tc>
        <w:tc>
          <w:tcPr/>
          <w:p>
            <w:pPr>
              <w:pStyle w:val="Compact"/>
              <w:jc w:val="center"/>
            </w:pPr>
            <w:r>
              <w:t xml:space="preserve">AdamW</w:t>
            </w:r>
          </w:p>
        </w:tc>
        <w:tc>
          <w:tcPr/>
          <w:p>
            <w:pPr>
              <w:pStyle w:val="Compact"/>
              <w:jc w:val="center"/>
            </w:pPr>
            <w:r>
              <w:t xml:space="preserve">AdamW</w:t>
            </w:r>
          </w:p>
        </w:tc>
      </w:tr>
      <w:tr>
        <w:tc>
          <w:tcPr/>
          <w:p>
            <w:pPr>
              <w:pStyle w:val="Compact"/>
              <w:jc w:val="left"/>
            </w:pPr>
            <w:r>
              <w:t xml:space="preserve">Weight decay</w:t>
            </w:r>
          </w:p>
        </w:tc>
        <w:tc>
          <w:tcPr/>
          <w:p>
            <w:pPr>
              <w:pStyle w:val="Compact"/>
              <w:jc w:val="center"/>
            </w:pPr>
            <m:oMath>
              <m:sSup>
                <m:e>
                  <m:r>
                    <m:t>10</m:t>
                  </m:r>
                </m:e>
                <m:sup>
                  <m:r>
                    <m:rPr>
                      <m:sty m:val="p"/>
                    </m:rPr>
                    <m:t>−</m:t>
                  </m:r>
                  <m:r>
                    <m:t>3</m:t>
                  </m:r>
                </m:sup>
              </m:sSup>
            </m:oMath>
          </w:p>
        </w:tc>
        <w:tc>
          <w:tcPr/>
          <w:p>
            <w:pPr>
              <w:pStyle w:val="Compact"/>
              <w:jc w:val="center"/>
            </w:pPr>
            <m:oMath>
              <m:sSup>
                <m:e>
                  <m:r>
                    <m:t>10</m:t>
                  </m:r>
                </m:e>
                <m:sup>
                  <m:r>
                    <m:rPr>
                      <m:sty m:val="p"/>
                    </m:rPr>
                    <m:t>−</m:t>
                  </m:r>
                  <m:r>
                    <m:t>3</m:t>
                  </m:r>
                </m:sup>
              </m:sSup>
            </m:oMath>
          </w:p>
        </w:tc>
        <w:tc>
          <w:tcPr/>
          <w:p>
            <w:pPr>
              <w:pStyle w:val="Compact"/>
              <w:jc w:val="center"/>
            </w:pPr>
            <w:r>
              <w:t xml:space="preserve">0.01</w:t>
            </w:r>
          </w:p>
        </w:tc>
      </w:tr>
      <w:tr>
        <w:tc>
          <w:tcPr/>
          <w:p>
            <w:pPr>
              <w:pStyle w:val="Compact"/>
              <w:jc w:val="left"/>
            </w:pPr>
            <w:r>
              <w:t xml:space="preserve">LR schedule</w:t>
            </w:r>
          </w:p>
        </w:tc>
        <w:tc>
          <w:tcPr/>
          <w:p>
            <w:pPr>
              <w:pStyle w:val="Compact"/>
              <w:jc w:val="center"/>
            </w:pPr>
            <w:r>
              <w:t xml:space="preserve">Cosine</w:t>
            </w:r>
          </w:p>
        </w:tc>
        <w:tc>
          <w:tcPr/>
          <w:p>
            <w:pPr>
              <w:pStyle w:val="Compact"/>
              <w:jc w:val="center"/>
            </w:pPr>
            <w:r>
              <w:t xml:space="preserve">Cosine</w:t>
            </w:r>
          </w:p>
        </w:tc>
        <w:tc>
          <w:tcPr/>
          <w:p>
            <w:pPr>
              <w:pStyle w:val="Compact"/>
              <w:jc w:val="center"/>
            </w:pPr>
            <w:r>
              <w:t xml:space="preserve">Cosine</w:t>
            </w:r>
          </w:p>
        </w:tc>
      </w:tr>
      <w:tr>
        <w:tc>
          <w:tcPr/>
          <w:p>
            <w:pPr>
              <w:pStyle w:val="Compact"/>
              <w:jc w:val="left"/>
            </w:pPr>
            <w:r>
              <w:t xml:space="preserve">Gradient clipping</w:t>
            </w:r>
          </w:p>
        </w:tc>
        <w:tc>
          <w:tcPr/>
          <w:p>
            <w:pPr>
              <w:pStyle w:val="Compact"/>
              <w:jc w:val="center"/>
            </w:pPr>
            <w:r>
              <w:t xml:space="preserve">1.0</w:t>
            </w:r>
          </w:p>
        </w:tc>
        <w:tc>
          <w:tcPr/>
          <w:p>
            <w:pPr>
              <w:pStyle w:val="Compact"/>
              <w:jc w:val="center"/>
            </w:pPr>
            <w:r>
              <w:t xml:space="preserve">1.0</w:t>
            </w:r>
          </w:p>
        </w:tc>
        <w:tc>
          <w:tcPr/>
          <w:p>
            <w:pPr>
              <w:pStyle w:val="Compact"/>
              <w:jc w:val="center"/>
            </w:pPr>
            <w:r>
              <w:t xml:space="preserve">1.0</w:t>
            </w:r>
          </w:p>
        </w:tc>
      </w:tr>
      <w:tr>
        <w:tc>
          <w:tcPr/>
          <w:p>
            <w:pPr>
              <w:pStyle w:val="Compact"/>
              <w:jc w:val="left"/>
            </w:pPr>
            <w:r>
              <w:t xml:space="preserve">Early stopping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Patience = 20</w:t>
            </w:r>
          </w:p>
        </w:tc>
      </w:tr>
      <w:tr>
        <w:tc>
          <w:tcPr/>
          <w:p>
            <w:pPr>
              <w:pStyle w:val="Compact"/>
              <w:jc w:val="left"/>
            </w:pPr>
            <w:r>
              <w:t xml:space="preserve">Masking ratio</w:t>
            </w:r>
          </w:p>
        </w:tc>
        <w:tc>
          <w:tcPr/>
          <w:p>
            <w:pPr>
              <w:pStyle w:val="Compact"/>
              <w:jc w:val="center"/>
            </w:pPr>
            <w:r>
              <w:t xml:space="preserve">30%</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Domain loss weight</w:t>
            </w:r>
          </w:p>
        </w:tc>
        <w:tc>
          <w:tcPr/>
          <w:p>
            <w:pPr>
              <w:pStyle w:val="Compact"/>
              <w:jc w:val="center"/>
            </w:pPr>
            <w:r>
              <w:t xml:space="preserve">—</w:t>
            </w:r>
          </w:p>
        </w:tc>
        <w:tc>
          <w:tcPr/>
          <w:p>
            <w:pPr>
              <w:pStyle w:val="Compact"/>
              <w:jc w:val="center"/>
            </w:pPr>
            <m:oMath>
              <m:r>
                <m:t>λ</m:t>
              </m:r>
              <m:r>
                <m:rPr>
                  <m:sty m:val="p"/>
                </m:rPr>
                <m:t>=</m:t>
              </m:r>
              <m:r>
                <m:t>0.1</m:t>
              </m:r>
            </m:oMath>
          </w:p>
        </w:tc>
        <w:tc>
          <w:tcPr/>
          <w:p>
            <w:pPr>
              <w:pStyle w:val="Compact"/>
              <w:jc w:val="center"/>
            </w:pPr>
            <w:r>
              <w:t xml:space="preserve">—</w:t>
            </w:r>
          </w:p>
        </w:tc>
      </w:tr>
    </w:tbl>
    <w:bookmarkEnd w:id="57"/>
    <w:bookmarkStart w:id="61" w:name="evaluation-metrics"/>
    <w:p>
      <w:pPr>
        <w:pStyle w:val="Heading2"/>
      </w:pPr>
      <w:r>
        <w:t xml:space="preserve">Evaluation Metrics</w:t>
      </w:r>
    </w:p>
    <w:bookmarkStart w:id="58" w:name="concordance-index-c-index"/>
    <w:p>
      <w:pPr>
        <w:pStyle w:val="Heading3"/>
      </w:pPr>
      <w:r>
        <w:t xml:space="preserve">Concordance Index (C-index)</w:t>
      </w:r>
    </w:p>
    <w:p>
      <w:pPr>
        <w:pStyle w:val="FirstParagraph"/>
      </w:pPr>
      <w:r>
        <w:t xml:space="preserve">The concordance index measures the proportion of concordant pairs:</w:t>
      </w:r>
    </w:p>
    <w:p>
      <w:pPr>
        <w:pStyle w:val="BodyText"/>
      </w:pPr>
      <m:oMathPara>
        <m:oMathParaPr>
          <m:jc m:val="center"/>
        </m:oMathParaPr>
        <m:oMath>
          <m:r>
            <m:rPr>
              <m:nor/>
              <m:sty m:val="p"/>
            </m:rPr>
            <m:t>C-index</m:t>
          </m:r>
          <m:r>
            <m:rPr>
              <m:sty m:val="p"/>
            </m:rPr>
            <m:t>=</m:t>
          </m:r>
          <m:f>
            <m:fPr>
              <m:type m:val="bar"/>
            </m:fPr>
            <m:num>
              <m:nary>
                <m:naryPr>
                  <m:chr m:val="∑"/>
                  <m:limLoc m:val="undOvr"/>
                  <m:subHide m:val="off"/>
                  <m:supHide m:val="on"/>
                </m:naryPr>
                <m:sub>
                  <m:r>
                    <m:t>i</m:t>
                  </m:r>
                  <m:r>
                    <m:rPr>
                      <m:sty m:val="p"/>
                    </m:rPr>
                    <m:t>,</m:t>
                  </m:r>
                  <m:r>
                    <m:t>j</m:t>
                  </m:r>
                </m:sub>
                <m:sup>
                  <m:r>
                    <m:t>​</m:t>
                  </m:r>
                </m:sup>
                <m:e>
                  <m:r>
                    <m:rPr>
                      <m:sty m:val="b"/>
                    </m:rPr>
                    <m:t>1</m:t>
                  </m:r>
                </m:e>
              </m:nary>
              <m:r>
                <m:rPr>
                  <m:sty m:val="p"/>
                </m:rPr>
                <m:t>[</m:t>
              </m:r>
              <m:sSub>
                <m:e>
                  <m:acc>
                    <m:accPr>
                      <m:chr m:val="̂"/>
                    </m:accPr>
                    <m:e>
                      <m:r>
                        <m:t>r</m:t>
                      </m:r>
                    </m:e>
                  </m:acc>
                </m:e>
                <m:sub>
                  <m:r>
                    <m:t>i</m:t>
                  </m:r>
                </m:sub>
              </m:sSub>
              <m:r>
                <m:rPr>
                  <m:sty m:val="p"/>
                </m:rPr>
                <m:t>&gt;</m:t>
              </m:r>
              <m:sSub>
                <m:e>
                  <m:acc>
                    <m:accPr>
                      <m:chr m:val="̂"/>
                    </m:accPr>
                    <m:e>
                      <m:r>
                        <m:t>r</m:t>
                      </m:r>
                    </m:e>
                  </m:acc>
                </m:e>
                <m:sub>
                  <m:r>
                    <m:t>j</m:t>
                  </m:r>
                </m:sub>
              </m:sSub>
              <m:r>
                <m:rPr>
                  <m:sty m:val="p"/>
                </m:rPr>
                <m:t>]</m:t>
              </m:r>
              <m:r>
                <m:rPr>
                  <m:sty m:val="p"/>
                </m:rPr>
                <m:t>⋅</m:t>
              </m:r>
              <m:r>
                <m:rPr>
                  <m:sty m:val="b"/>
                </m:rPr>
                <m:t>1</m:t>
              </m:r>
              <m:r>
                <m:rPr>
                  <m:sty m:val="p"/>
                </m:rPr>
                <m:t>[</m:t>
              </m:r>
              <m:sSub>
                <m:e>
                  <m:r>
                    <m:t>t</m:t>
                  </m:r>
                </m:e>
                <m:sub>
                  <m:r>
                    <m:t>i</m:t>
                  </m:r>
                </m:sub>
              </m:sSub>
              <m:r>
                <m:rPr>
                  <m:sty m:val="p"/>
                </m:rPr>
                <m:t>&lt;</m:t>
              </m:r>
              <m:sSub>
                <m:e>
                  <m:r>
                    <m:t>t</m:t>
                  </m:r>
                </m:e>
                <m:sub>
                  <m:r>
                    <m:t>j</m:t>
                  </m:r>
                </m:sub>
              </m:sSub>
              <m:r>
                <m:rPr>
                  <m:sty m:val="p"/>
                </m:rPr>
                <m:t>]</m:t>
              </m:r>
              <m:r>
                <m:rPr>
                  <m:sty m:val="p"/>
                </m:rPr>
                <m:t>⋅</m:t>
              </m:r>
              <m:sSub>
                <m:e>
                  <m:r>
                    <m:t>δ</m:t>
                  </m:r>
                </m:e>
                <m:sub>
                  <m:r>
                    <m:t>i</m:t>
                  </m:r>
                </m:sub>
              </m:sSub>
            </m:num>
            <m:den>
              <m:nary>
                <m:naryPr>
                  <m:chr m:val="∑"/>
                  <m:limLoc m:val="undOvr"/>
                  <m:subHide m:val="off"/>
                  <m:supHide m:val="on"/>
                </m:naryPr>
                <m:sub>
                  <m:r>
                    <m:t>i</m:t>
                  </m:r>
                  <m:r>
                    <m:rPr>
                      <m:sty m:val="p"/>
                    </m:rPr>
                    <m:t>,</m:t>
                  </m:r>
                  <m:r>
                    <m:t>j</m:t>
                  </m:r>
                </m:sub>
                <m:sup>
                  <m:r>
                    <m:t>​</m:t>
                  </m:r>
                </m:sup>
                <m:e>
                  <m:r>
                    <m:rPr>
                      <m:sty m:val="b"/>
                    </m:rPr>
                    <m:t>1</m:t>
                  </m:r>
                </m:e>
              </m:nary>
              <m:r>
                <m:rPr>
                  <m:sty m:val="p"/>
                </m:rPr>
                <m:t>[</m:t>
              </m:r>
              <m:sSub>
                <m:e>
                  <m:r>
                    <m:t>t</m:t>
                  </m:r>
                </m:e>
                <m:sub>
                  <m:r>
                    <m:t>i</m:t>
                  </m:r>
                </m:sub>
              </m:sSub>
              <m:r>
                <m:rPr>
                  <m:sty m:val="p"/>
                </m:rPr>
                <m:t>&lt;</m:t>
              </m:r>
              <m:sSub>
                <m:e>
                  <m:r>
                    <m:t>t</m:t>
                  </m:r>
                </m:e>
                <m:sub>
                  <m:r>
                    <m:t>j</m:t>
                  </m:r>
                </m:sub>
              </m:sSub>
              <m:r>
                <m:rPr>
                  <m:sty m:val="p"/>
                </m:rPr>
                <m:t>]</m:t>
              </m:r>
              <m:r>
                <m:rPr>
                  <m:sty m:val="p"/>
                </m:rPr>
                <m:t>⋅</m:t>
              </m:r>
              <m:sSub>
                <m:e>
                  <m:r>
                    <m:t>δ</m:t>
                  </m:r>
                </m:e>
                <m:sub>
                  <m:r>
                    <m:t>i</m:t>
                  </m:r>
                </m:sub>
              </m:sSub>
            </m:den>
          </m:f>
        </m:oMath>
      </m:oMathPara>
    </w:p>
    <w:p>
      <w:pPr>
        <w:pStyle w:val="FirstParagraph"/>
      </w:pPr>
      <w:r>
        <w:t xml:space="preserve">where</w:t>
      </w:r>
      <w:r>
        <w:t xml:space="preserve"> </w:t>
      </w:r>
      <m:oMath>
        <m:sSub>
          <m:e>
            <m:acc>
              <m:accPr>
                <m:chr m:val="̂"/>
              </m:accPr>
              <m:e>
                <m:r>
                  <m:t>r</m:t>
                </m:r>
              </m:e>
            </m:acc>
          </m:e>
          <m:sub>
            <m:r>
              <m:t>i</m:t>
            </m:r>
          </m:sub>
        </m:sSub>
      </m:oMath>
      <w:r>
        <w:t xml:space="preserve"> </w:t>
      </w:r>
      <w:r>
        <w:t xml:space="preserve">is predicted risk,</w:t>
      </w:r>
      <w:r>
        <w:t xml:space="preserve"> </w:t>
      </w:r>
      <m:oMath>
        <m:sSub>
          <m:e>
            <m:r>
              <m:t>t</m:t>
            </m:r>
          </m:e>
          <m:sub>
            <m:r>
              <m:t>i</m:t>
            </m:r>
          </m:sub>
        </m:sSub>
      </m:oMath>
      <w:r>
        <w:t xml:space="preserve"> </w:t>
      </w:r>
      <w:r>
        <w:t xml:space="preserve">is survival time, and</w:t>
      </w:r>
      <w:r>
        <w:t xml:space="preserve"> </w:t>
      </w:r>
      <m:oMath>
        <m:sSub>
          <m:e>
            <m:r>
              <m:t>δ</m:t>
            </m:r>
          </m:e>
          <m:sub>
            <m:r>
              <m:t>i</m:t>
            </m:r>
          </m:sub>
        </m:sSub>
      </m:oMath>
      <w:r>
        <w:t xml:space="preserve"> </w:t>
      </w:r>
      <w:r>
        <w:t xml:space="preserve">is event indicator.</w:t>
      </w:r>
    </w:p>
    <w:bookmarkEnd w:id="58"/>
    <w:bookmarkStart w:id="59" w:name="hazard-ratio"/>
    <w:p>
      <w:pPr>
        <w:pStyle w:val="Heading3"/>
      </w:pPr>
      <w:r>
        <w:t xml:space="preserve">Hazard Ratio</w:t>
      </w:r>
    </w:p>
    <w:p>
      <w:pPr>
        <w:pStyle w:val="FirstParagraph"/>
      </w:pPr>
      <w:r>
        <w:t xml:space="preserve">Patients stratified by median predicted risk. Cox regression estimated HR with 95% CI. Log-rank tests assessed survival curve separation.</w:t>
      </w:r>
    </w:p>
    <w:bookmarkEnd w:id="59"/>
    <w:bookmarkStart w:id="60" w:name="attention-entropy"/>
    <w:p>
      <w:pPr>
        <w:pStyle w:val="Heading3"/>
      </w:pPr>
      <w:r>
        <w:t xml:space="preserve">Attention Entropy</w:t>
      </w:r>
    </w:p>
    <w:p>
      <w:pPr>
        <w:pStyle w:val="FirstParagraph"/>
      </w:pPr>
      <w:r>
        <w:t xml:space="preserve">Quantifies attention distribution focus:</w:t>
      </w:r>
    </w:p>
    <w:p>
      <w:pPr>
        <w:pStyle w:val="BodyText"/>
      </w:pPr>
      <m:oMathPara>
        <m:oMathParaPr>
          <m:jc m:val="center"/>
        </m:oMathParaPr>
        <m:oMath>
          <m:r>
            <m:t>H</m:t>
          </m:r>
          <m:r>
            <m:rPr>
              <m:sty m:val="p"/>
            </m:rPr>
            <m:t>=</m:t>
          </m:r>
          <m:r>
            <m:rPr>
              <m:sty m:val="p"/>
            </m:rPr>
            <m:t>−</m:t>
          </m:r>
          <m:nary>
            <m:naryPr>
              <m:chr m:val="∑"/>
              <m:limLoc m:val="undOvr"/>
              <m:subHide m:val="off"/>
              <m:supHide m:val="on"/>
            </m:naryPr>
            <m:sub>
              <m:r>
                <m:t>j</m:t>
              </m:r>
            </m:sub>
            <m:sup>
              <m:r>
                <m:t>​</m:t>
              </m:r>
            </m:sup>
            <m:e>
              <m:sSub>
                <m:e>
                  <m:r>
                    <m:t>A</m:t>
                  </m:r>
                </m:e>
                <m:sub>
                  <m:r>
                    <m:t>i</m:t>
                  </m:r>
                  <m:r>
                    <m:t>j</m:t>
                  </m:r>
                </m:sub>
              </m:sSub>
            </m:e>
          </m:nary>
          <m:r>
            <m:rPr>
              <m:sty m:val="p"/>
            </m:rPr>
            <m:t>log</m:t>
          </m:r>
          <m:sSub>
            <m:e>
              <m:r>
                <m:t>A</m:t>
              </m:r>
            </m:e>
            <m:sub>
              <m:r>
                <m:t>i</m:t>
              </m:r>
              <m:r>
                <m:t>j</m:t>
              </m:r>
            </m:sub>
          </m:sSub>
        </m:oMath>
      </m:oMathPara>
    </w:p>
    <w:p>
      <w:pPr>
        <w:pStyle w:val="FirstParagraph"/>
      </w:pPr>
      <w:r>
        <w:t xml:space="preserve">Lower entropy indicates more concentrated, interpretable attention.</w:t>
      </w:r>
    </w:p>
    <w:bookmarkEnd w:id="60"/>
    <w:bookmarkEnd w:id="61"/>
    <w:bookmarkStart w:id="62" w:name="computational-resources"/>
    <w:p>
      <w:pPr>
        <w:pStyle w:val="Heading2"/>
      </w:pPr>
      <w:r>
        <w:t xml:space="preserve">Computational Resources</w:t>
      </w:r>
    </w:p>
    <w:p>
      <w:pPr>
        <w:numPr>
          <w:ilvl w:val="0"/>
          <w:numId w:val="1006"/>
        </w:numPr>
      </w:pPr>
      <w:r>
        <w:rPr>
          <w:b/>
          <w:bCs/>
        </w:rPr>
        <w:t xml:space="preserve">Hardware</w:t>
      </w:r>
      <w:r>
        <w:t xml:space="preserve">: NVIDIA RTX 4090 (24GB) and A100 (80GB) GPUs</w:t>
      </w:r>
    </w:p>
    <w:p>
      <w:pPr>
        <w:numPr>
          <w:ilvl w:val="0"/>
          <w:numId w:val="1006"/>
        </w:numPr>
      </w:pPr>
      <w:r>
        <w:rPr>
          <w:b/>
          <w:bCs/>
        </w:rPr>
        <w:t xml:space="preserve">Training Time</w:t>
      </w:r>
      <w:r>
        <w:t xml:space="preserve">: 4 hours (Stage 1, A100) to 12 hours (full pipeline with 5-fold CV)</w:t>
      </w:r>
    </w:p>
    <w:p>
      <w:pPr>
        <w:numPr>
          <w:ilvl w:val="0"/>
          <w:numId w:val="1006"/>
        </w:numPr>
      </w:pPr>
      <w:r>
        <w:rPr>
          <w:b/>
          <w:bCs/>
        </w:rPr>
        <w:t xml:space="preserve">Inference</w:t>
      </w:r>
      <w:r>
        <w:t xml:space="preserve">:</w:t>
      </w:r>
      <w:r>
        <w:t xml:space="preserve"> </w:t>
      </w:r>
      <m:oMath>
        <m:r>
          <m:rPr>
            <m:sty m:val="p"/>
          </m:rPr>
          <m:t>∼</m:t>
        </m:r>
      </m:oMath>
      <w:r>
        <w:t xml:space="preserve">1.5 seconds per WSI including preprocessing</w:t>
      </w:r>
    </w:p>
    <w:p>
      <w:pPr>
        <w:numPr>
          <w:ilvl w:val="0"/>
          <w:numId w:val="1006"/>
        </w:numPr>
      </w:pPr>
      <w:r>
        <w:rPr>
          <w:b/>
          <w:bCs/>
        </w:rPr>
        <w:t xml:space="preserve">Memory</w:t>
      </w:r>
      <w:r>
        <w:t xml:space="preserve">: 8–18GB depending on graph size (2,000–5,000 nodes)</w:t>
      </w:r>
    </w:p>
    <w:p>
      <w:pPr>
        <w:numPr>
          <w:ilvl w:val="0"/>
          <w:numId w:val="1006"/>
        </w:numPr>
      </w:pPr>
      <w:r>
        <w:rPr>
          <w:b/>
          <w:bCs/>
        </w:rPr>
        <w:t xml:space="preserve">Throughput</w:t>
      </w:r>
      <w:r>
        <w:t xml:space="preserve">: 20–40 WSI per minute on RTX 4090</w:t>
      </w:r>
    </w:p>
    <w:bookmarkEnd w:id="62"/>
    <w:bookmarkEnd w:id="63"/>
    <w:bookmarkStart w:id="64" w:name="supplementary-references"/>
    <w:p>
      <w:pPr>
        <w:pStyle w:val="Heading1"/>
      </w:pPr>
      <w:r>
        <w:t xml:space="preserve">Supplementary References</w:t>
      </w:r>
    </w:p>
    <w:p>
      <w:pPr>
        <w:pStyle w:val="FirstParagraph"/>
      </w:pPr>
      <w:r>
        <w:t xml:space="preserve">Key references for methods and databases used in this study:</w:t>
      </w:r>
    </w:p>
    <w:p>
      <w:pPr>
        <w:numPr>
          <w:ilvl w:val="0"/>
          <w:numId w:val="1007"/>
        </w:numPr>
      </w:pPr>
      <w:r>
        <w:t xml:space="preserve">Wolf, F.A., Angerer, P. &amp; Theis, F.J. SCANPY: large-scale single-cell gene expression data analysis.</w:t>
      </w:r>
      <w:r>
        <w:t xml:space="preserve"> </w:t>
      </w:r>
      <w:r>
        <w:rPr>
          <w:i/>
          <w:iCs/>
        </w:rPr>
        <w:t xml:space="preserve">Genome Biol.</w:t>
      </w:r>
      <w:r>
        <w:t xml:space="preserve"> </w:t>
      </w:r>
      <w:r>
        <w:rPr>
          <w:b/>
          <w:bCs/>
        </w:rPr>
        <w:t xml:space="preserve">19</w:t>
      </w:r>
      <w:r>
        <w:t xml:space="preserve">, 15 (2018).</w:t>
      </w:r>
    </w:p>
    <w:p>
      <w:pPr>
        <w:numPr>
          <w:ilvl w:val="0"/>
          <w:numId w:val="1007"/>
        </w:numPr>
      </w:pPr>
      <w:r>
        <w:t xml:space="preserve">Kleshchevnikov, V.</w:t>
      </w:r>
      <w:r>
        <w:t xml:space="preserve"> </w:t>
      </w:r>
      <w:r>
        <w:rPr>
          <w:i/>
          <w:iCs/>
        </w:rPr>
        <w:t xml:space="preserve">et al.</w:t>
      </w:r>
      <w:r>
        <w:t xml:space="preserve"> </w:t>
      </w:r>
      <w:r>
        <w:t xml:space="preserve">Cell2location maps fine-grained cell types in spatial transcriptomics.</w:t>
      </w:r>
      <w:r>
        <w:t xml:space="preserve"> </w:t>
      </w:r>
      <w:r>
        <w:rPr>
          <w:i/>
          <w:iCs/>
        </w:rPr>
        <w:t xml:space="preserve">Nat. Biotechnol.</w:t>
      </w:r>
      <w:r>
        <w:t xml:space="preserve"> </w:t>
      </w:r>
      <w:r>
        <w:rPr>
          <w:b/>
          <w:bCs/>
        </w:rPr>
        <w:t xml:space="preserve">40</w:t>
      </w:r>
      <w:r>
        <w:t xml:space="preserve">, 661–671 (2022).</w:t>
      </w:r>
    </w:p>
    <w:p>
      <w:pPr>
        <w:numPr>
          <w:ilvl w:val="0"/>
          <w:numId w:val="1007"/>
        </w:numPr>
      </w:pPr>
      <w:r>
        <w:t xml:space="preserve">Traag, V.A., Waltman, L. &amp; van Eck, N.J. From Louvain to Leiden: guaranteeing well-connected communities.</w:t>
      </w:r>
      <w:r>
        <w:t xml:space="preserve"> </w:t>
      </w:r>
      <w:r>
        <w:rPr>
          <w:i/>
          <w:iCs/>
        </w:rPr>
        <w:t xml:space="preserve">Sci. Rep.</w:t>
      </w:r>
      <w:r>
        <w:t xml:space="preserve"> </w:t>
      </w:r>
      <w:r>
        <w:rPr>
          <w:b/>
          <w:bCs/>
        </w:rPr>
        <w:t xml:space="preserve">9</w:t>
      </w:r>
      <w:r>
        <w:t xml:space="preserve">, 5233 (2019).</w:t>
      </w:r>
    </w:p>
    <w:p>
      <w:pPr>
        <w:numPr>
          <w:ilvl w:val="0"/>
          <w:numId w:val="1007"/>
        </w:numPr>
      </w:pPr>
      <w:r>
        <w:t xml:space="preserve">Efremova, M., Vento-Tormo, M., Teichmann, S.A. &amp; Vento-Tormo, R. CellPhoneDB: inferring cell–cell communication from combined expression of multi-subunit ligand–receptor complexes.</w:t>
      </w:r>
      <w:r>
        <w:t xml:space="preserve"> </w:t>
      </w:r>
      <w:r>
        <w:rPr>
          <w:i/>
          <w:iCs/>
        </w:rPr>
        <w:t xml:space="preserve">Nat. Protoc.</w:t>
      </w:r>
      <w:r>
        <w:t xml:space="preserve"> </w:t>
      </w:r>
      <w:r>
        <w:rPr>
          <w:b/>
          <w:bCs/>
        </w:rPr>
        <w:t xml:space="preserve">15</w:t>
      </w:r>
      <w:r>
        <w:t xml:space="preserve">, 1484–1506 (2020).</w:t>
      </w:r>
    </w:p>
    <w:p>
      <w:pPr>
        <w:numPr>
          <w:ilvl w:val="0"/>
          <w:numId w:val="1007"/>
        </w:numPr>
      </w:pPr>
      <w:r>
        <w:t xml:space="preserve">Davidson-Pilon, C. lifelines: survival analysis in Python.</w:t>
      </w:r>
      <w:r>
        <w:t xml:space="preserve"> </w:t>
      </w:r>
      <w:r>
        <w:rPr>
          <w:i/>
          <w:iCs/>
        </w:rPr>
        <w:t xml:space="preserve">J. Open Source Softw.</w:t>
      </w:r>
      <w:r>
        <w:t xml:space="preserve"> </w:t>
      </w:r>
      <w:r>
        <w:rPr>
          <w:b/>
          <w:bCs/>
        </w:rPr>
        <w:t xml:space="preserve">4</w:t>
      </w:r>
      <w:r>
        <w:t xml:space="preserve">, 1317 (2019).</w:t>
      </w:r>
    </w:p>
    <w:p>
      <w:pPr>
        <w:numPr>
          <w:ilvl w:val="0"/>
          <w:numId w:val="1007"/>
        </w:numPr>
      </w:pPr>
      <w:r>
        <w:t xml:space="preserve">Fey, M. &amp; Lenssen, J.E. Fast graph representation learning with PyTorch Geometric.</w:t>
      </w:r>
      <w:r>
        <w:t xml:space="preserve"> </w:t>
      </w:r>
      <w:r>
        <w:rPr>
          <w:i/>
          <w:iCs/>
        </w:rPr>
        <w:t xml:space="preserve">arXiv</w:t>
      </w:r>
      <w:r>
        <w:t xml:space="preserve"> </w:t>
      </w:r>
      <w:r>
        <w:t xml:space="preserve">preprint arXiv:1903.02428 (2019).</w:t>
      </w:r>
    </w:p>
    <w:p>
      <w:pPr>
        <w:numPr>
          <w:ilvl w:val="0"/>
          <w:numId w:val="1007"/>
        </w:numPr>
      </w:pPr>
      <w:r>
        <w:t xml:space="preserve">Macenko, M.</w:t>
      </w:r>
      <w:r>
        <w:t xml:space="preserve"> </w:t>
      </w:r>
      <w:r>
        <w:rPr>
          <w:i/>
          <w:iCs/>
        </w:rPr>
        <w:t xml:space="preserve">et al.</w:t>
      </w:r>
      <w:r>
        <w:t xml:space="preserve"> </w:t>
      </w:r>
      <w:r>
        <w:t xml:space="preserve">A method for normalizing histology slides for quantitative analysis.</w:t>
      </w:r>
      <w:r>
        <w:t xml:space="preserve"> </w:t>
      </w:r>
      <w:r>
        <w:rPr>
          <w:i/>
          <w:iCs/>
        </w:rPr>
        <w:t xml:space="preserve">IEEE Int. Symp. Biomed. Imaging</w:t>
      </w:r>
      <w:r>
        <w:t xml:space="preserve"> </w:t>
      </w:r>
      <w:r>
        <w:t xml:space="preserve">1107–1110 (2009).</w:t>
      </w:r>
    </w:p>
    <w:p>
      <w:pPr>
        <w:numPr>
          <w:ilvl w:val="0"/>
          <w:numId w:val="1007"/>
        </w:numPr>
      </w:pPr>
      <w:r>
        <w:t xml:space="preserve">Tsherniak, A.</w:t>
      </w:r>
      <w:r>
        <w:t xml:space="preserve"> </w:t>
      </w:r>
      <w:r>
        <w:rPr>
          <w:i/>
          <w:iCs/>
        </w:rPr>
        <w:t xml:space="preserve">et al.</w:t>
      </w:r>
      <w:r>
        <w:t xml:space="preserve"> </w:t>
      </w:r>
      <w:r>
        <w:t xml:space="preserve">Defining a cancer dependency map.</w:t>
      </w:r>
      <w:r>
        <w:t xml:space="preserve"> </w:t>
      </w:r>
      <w:r>
        <w:rPr>
          <w:i/>
          <w:iCs/>
        </w:rPr>
        <w:t xml:space="preserve">Cell</w:t>
      </w:r>
      <w:r>
        <w:t xml:space="preserve"> </w:t>
      </w:r>
      <w:r>
        <w:rPr>
          <w:b/>
          <w:bCs/>
        </w:rPr>
        <w:t xml:space="preserve">170</w:t>
      </w:r>
      <w:r>
        <w:t xml:space="preserve">, 564–576.e16 (2017).</w:t>
      </w:r>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2026-01-27T12:18:55Z</dcterms:created>
  <dcterms:modified xsi:type="dcterms:W3CDTF">2026-01-27T12:18:55Z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sn-bibliography.bib</vt:lpwstr>
  </property>
</Properties>
</file>