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FDD4" w14:textId="77777777" w:rsidR="00AF6FCE" w:rsidRDefault="00AF6FCE" w:rsidP="00AF6FCE">
      <w:r>
        <w:rPr>
          <w:noProof/>
        </w:rPr>
        <w:drawing>
          <wp:inline distT="0" distB="0" distL="0" distR="0" wp14:anchorId="7A64B556" wp14:editId="048D93F7">
            <wp:extent cx="5731510" cy="4088130"/>
            <wp:effectExtent l="0" t="0" r="2540" b="7620"/>
            <wp:docPr id="4" name="Picture 4" descr="V:\Cross functional Working Groups\Marine &amp; Chemistry Shared Working Folder\Aquaculture\Reporting\Journal Paper\Figures\SUPP GLMM abundance residua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:\Cross functional Working Groups\Marine &amp; Chemistry Shared Working Folder\Aquaculture\Reporting\Journal Paper\Figures\SUPP GLMM abundance residua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A3.4 – </w:t>
      </w:r>
      <w:proofErr w:type="spellStart"/>
      <w:r>
        <w:t>QQplot</w:t>
      </w:r>
      <w:proofErr w:type="spellEnd"/>
      <w:r>
        <w:t xml:space="preserve"> and residual vs predicted plot form crustacean abundance GLMM (plots created using </w:t>
      </w:r>
      <w:proofErr w:type="spellStart"/>
      <w:r>
        <w:t>DHARMa</w:t>
      </w:r>
      <w:proofErr w:type="spellEnd"/>
      <w:r>
        <w:t xml:space="preserve"> package).</w:t>
      </w:r>
    </w:p>
    <w:p w14:paraId="09727FA5" w14:textId="7D8F3803" w:rsidR="00AF6FCE" w:rsidRDefault="00AF6FCE">
      <w:bookmarkStart w:id="0" w:name="_GoBack"/>
      <w:bookmarkEnd w:id="0"/>
    </w:p>
    <w:sectPr w:rsidR="00AF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CE"/>
    <w:rsid w:val="00A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85D1"/>
  <w15:chartTrackingRefBased/>
  <w15:docId w15:val="{EB3F7289-C887-444C-ADD1-E9DB57B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CE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Dixon</dc:creator>
  <cp:keywords/>
  <dc:description/>
  <cp:lastModifiedBy>Philip Dixon</cp:lastModifiedBy>
  <cp:revision>1</cp:revision>
  <dcterms:created xsi:type="dcterms:W3CDTF">2019-06-09T19:50:00Z</dcterms:created>
  <dcterms:modified xsi:type="dcterms:W3CDTF">2019-06-09T19:51:00Z</dcterms:modified>
</cp:coreProperties>
</file>