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Flink + Private Link Architecture</w:t>
      </w:r>
    </w:p>
    <w:p>
      <w:pPr>
        <w:jc w:val="center"/>
      </w:pPr>
      <w:r>
        <w:rPr>
          <w:color w:val="666666"/>
        </w:rPr>
        <w:t>Confluent Cloud — Dedicated Cluster</w:t>
      </w:r>
    </w:p>
    <w:p/>
    <w:p>
      <w:pPr>
        <w:pStyle w:val="Heading1"/>
      </w:pPr>
      <w:r>
        <w:rPr>
          <w:color w:val="1A1A2E"/>
        </w:rPr>
        <w:t>Dedicated Cluster — Dual Private Link Gateway</w:t>
      </w:r>
    </w:p>
    <w:p>
      <w:r>
        <w:t>Dedicated clusters require separate PrivateLink gateways for Kafka and Flink. Each gateway has its own Azure Private Endpoint and Private Link Service alias. Flink-to-Kafka traffic is routed internally within Confluent Cloud and never traverses the customer's Private Link connection.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720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dicated-dual-p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0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A1A2E"/>
        </w:rPr>
        <w:t>Key Points</w:t>
      </w:r>
    </w:p>
    <w:p>
      <w:pPr>
        <w:pStyle w:val="ListBullet"/>
      </w:pPr>
      <w:r>
        <w:t>Two Azure Private Endpoints required — one targeting the Kafka PL Service alias, one targeting the Flink PL Service alias</w:t>
      </w:r>
    </w:p>
    <w:p>
      <w:pPr>
        <w:pStyle w:val="ListBullet"/>
      </w:pPr>
      <w:r>
        <w:t>Both Private Endpoints share the same Azure Private DNS Zone (*.az.private.confluent.cloud)</w:t>
      </w:r>
    </w:p>
    <w:p>
      <w:pPr>
        <w:pStyle w:val="ListBullet"/>
      </w:pPr>
      <w:r>
        <w:t>Flink compute pool reads from and writes to Kafka topics over Confluent's internal network — this path is always private regardless of networking configuration</w:t>
      </w:r>
    </w:p>
    <w:p>
      <w:pPr>
        <w:pStyle w:val="ListBullet"/>
      </w:pPr>
      <w:r>
        <w:t>Applications produce/consume to Kafka via the Kafka Private Endpoint; CI/CD tooling submits Flink SQL via the Flink Private Endpoint</w:t>
      </w:r>
    </w:p>
    <w:p>
      <w:pPr>
        <w:pStyle w:val="ListBullet"/>
      </w:pPr>
      <w:r>
        <w:t>Schema Registry traffic routes through the Kafka Private Endpoint on Dedicated clusters</w:t>
      </w:r>
    </w:p>
    <w:p>
      <w:r>
        <w:br w:type="page"/>
      </w:r>
    </w:p>
    <w:p>
      <w:pPr>
        <w:pStyle w:val="Heading1"/>
      </w:pPr>
      <w:r>
        <w:rPr>
          <w:color w:val="1A1A2E"/>
        </w:rPr>
        <w:t>DevOps Flow — Flink SQL Deployment via Private Link</w:t>
      </w:r>
    </w:p>
    <w:p>
      <w:r>
        <w:t>Developers do not have direct access to the Confluent Cloud CLI or Console. All Flink SQL statements are version-controlled in Git and deployed through a CI/CD pipeline. The pipeline runner executes inside the customer VNet and reaches the Confluent Flink REST API over the Private Link connection.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3597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ops-flink-p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9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A1A2E"/>
        </w:rPr>
        <w:t>Deployment Options</w:t>
      </w:r>
    </w:p>
    <w:p>
      <w:pPr>
        <w:pStyle w:val="Heading3"/>
      </w:pPr>
      <w:r>
        <w:rPr>
          <w:color w:val="1A1A2E"/>
        </w:rPr>
        <w:t>Option A: Terraform (recommended)</w:t>
      </w:r>
    </w:p>
    <w:p>
      <w:r>
        <w:t>Use the confluent_flink_statement Terraform resource. Statements are declared as IaC alongside topic and RBAC definitions. The Confluent Terraform provider handles authentication and API calls.</w:t>
      </w:r>
    </w:p>
    <w:p>
      <w:r>
        <w:rPr>
          <w:rFonts w:ascii="Consolas" w:hAnsi="Consolas"/>
          <w:sz w:val="18"/>
        </w:rPr>
        <w:t>resource "confluent_flink_statement" "filter_orders" {</w:t>
        <w:br/>
        <w:t xml:space="preserve">  organization { id = var.confluent_org_id }</w:t>
        <w:br/>
        <w:t xml:space="preserve">  environment  { id = var.confluent_env_id }</w:t>
        <w:br/>
        <w:t xml:space="preserve">  compute_pool { id = confluent_flink_compute_pool.prod.id }</w:t>
        <w:br/>
        <w:t xml:space="preserve">  principal    { id = confluent_service_account.flink_sa.id }</w:t>
        <w:br/>
        <w:br/>
        <w:t xml:space="preserve">  statement      = file("${path.module}/sql/filter_orders.sql")</w:t>
        <w:br/>
        <w:t xml:space="preserve">  statement_name = "filter-orders-prod"</w:t>
        <w:br/>
        <w:br/>
        <w:t xml:space="preserve">  properties = {</w:t>
        <w:br/>
        <w:t xml:space="preserve">    "sql.current-catalog"  = var.confluent_env_id</w:t>
        <w:br/>
        <w:t xml:space="preserve">    "sql.current-database" = confluent_kafka_cluster.prod.id</w:t>
        <w:br/>
        <w:t xml:space="preserve">  }</w:t>
        <w:br/>
        <w:t>}</w:t>
      </w:r>
    </w:p>
    <w:p>
      <w:pPr>
        <w:pStyle w:val="Heading3"/>
      </w:pPr>
      <w:r>
        <w:rPr>
          <w:color w:val="1A1A2E"/>
        </w:rPr>
        <w:t>Option B: CLI via CI/CD</w:t>
      </w:r>
    </w:p>
    <w:p>
      <w:r>
        <w:t>The confluent flink statement create CLI command can be called directly from a CI/CD step. The runner must have the Confluent CLI installed and authenticated with a service account API key.</w:t>
      </w:r>
    </w:p>
    <w:p>
      <w:pPr>
        <w:pStyle w:val="Heading2"/>
      </w:pPr>
      <w:r>
        <w:rPr>
          <w:color w:val="1A1A2E"/>
        </w:rPr>
        <w:t>Key Points</w:t>
      </w:r>
    </w:p>
    <w:p>
      <w:pPr>
        <w:pStyle w:val="ListBullet"/>
      </w:pPr>
      <w:r>
        <w:t>Self-hosted CI/CD runner must be deployed inside the customer VNet to reach the Azure Private Endpoint</w:t>
      </w:r>
    </w:p>
    <w:p>
      <w:pPr>
        <w:pStyle w:val="ListBullet"/>
      </w:pPr>
      <w:r>
        <w:t>Flink SQL files are version-controlled in Git — standard PR review workflow applies to SQL changes</w:t>
      </w:r>
    </w:p>
    <w:p>
      <w:pPr>
        <w:pStyle w:val="ListBullet"/>
      </w:pPr>
      <w:r>
        <w:t>Statements are immutable after creation — SQL changes require stopping the old statement and creating a new one</w:t>
      </w:r>
    </w:p>
    <w:p>
      <w:pPr>
        <w:pStyle w:val="ListBullet"/>
      </w:pPr>
      <w:r>
        <w:t>For stateless operations (filter/projection), use carry-over offsets to avoid reprocessing when evolving statements</w:t>
      </w:r>
    </w:p>
    <w:p>
      <w:pPr>
        <w:pStyle w:val="ListBullet"/>
      </w:pPr>
      <w:r>
        <w:t>Bind statements to service accounts, not user accounts, to prevent disruption from user status changes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