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Arial" w:cs="Arial" w:eastAsia="Arial" w:hAnsi="Arial"/>
          <w:b w:val="false"/>
          <w:bCs w:val="false"/>
          <w:sz w:val="18"/>
          <w:szCs w:val="18"/>
        </w:rPr>
        <w:t xml:space="preserve">Republic of the Philippines</w:t>
      </w:r>
    </w:p>
    <w:p>
      <w:pPr>
        <w:spacing w:after="0"/>
        <w:jc w:val="center"/>
      </w:pPr>
      <w:r>
        <w:rPr>
          <w:rFonts w:ascii="Arial" w:cs="Arial" w:eastAsia="Arial" w:hAnsi="Arial"/>
          <w:b/>
          <w:bCs/>
          <w:sz w:val="20"/>
          <w:szCs w:val="20"/>
        </w:rPr>
        <w:t xml:space="preserve">Department of Education</w:t>
      </w:r>
    </w:p>
    <w:p>
      <w:pPr>
        <w:spacing w:after="0"/>
        <w:jc w:val="center"/>
      </w:pPr>
      <w:r>
        <w:rPr>
          <w:rFonts w:ascii="Arial" w:cs="Arial" w:eastAsia="Arial" w:hAnsi="Arial"/>
          <w:b w:val="false"/>
          <w:bCs w:val="false"/>
          <w:sz w:val="18"/>
          <w:szCs w:val="18"/>
        </w:rPr>
        <w:t xml:space="preserve">NATIONAL CAPITAL REGION</w:t>
      </w:r>
    </w:p>
    <w:p>
      <w:pPr>
        <w:spacing w:after="0"/>
        <w:jc w:val="center"/>
      </w:pPr>
      <w:r>
        <w:rPr>
          <w:rFonts w:ascii="Arial" w:cs="Arial" w:eastAsia="Arial" w:hAnsi="Arial"/>
          <w:b w:val="false"/>
          <w:bCs w:val="false"/>
          <w:sz w:val="18"/>
          <w:szCs w:val="18"/>
        </w:rPr>
        <w:t xml:space="preserve">SCHOOLS DIVISION OF LAS PIÑAS CITY</w:t>
      </w:r>
    </w:p>
    <w:p>
      <w:pPr>
        <w:spacing w:after="0"/>
        <w:jc w:val="center"/>
      </w:pPr>
      <w:r>
        <w:rPr>
          <w:rFonts w:ascii="Arial" w:cs="Arial" w:eastAsia="Arial" w:hAnsi="Arial"/>
          <w:b/>
          <w:bCs/>
          <w:sz w:val="18"/>
          <w:szCs w:val="18"/>
        </w:rPr>
        <w:t xml:space="preserve">LAS PIÑAS CAA NATIONAL HIGH SCHOOL</w:t>
      </w:r>
    </w:p>
    <w:p>
      <w:pPr>
        <w:spacing w:after="0"/>
        <w:jc w:val="center"/>
      </w:pPr>
      <w:r>
        <w:rPr>
          <w:rFonts w:ascii="Arial" w:cs="Arial" w:eastAsia="Arial" w:hAnsi="Arial"/>
          <w:b w:val="false"/>
          <w:bCs w:val="false"/>
          <w:sz w:val="14"/>
          <w:szCs w:val="14"/>
        </w:rPr>
        <w:t xml:space="preserve">NARRA CORNER RECEIVER STS., BF INTERNATIONAL VILLAGE, LAS PIÑAS CITY</w:t>
      </w:r>
    </w:p>
    <w:p>
      <w:pPr>
        <w:spacing w:before="120"/>
      </w:pPr>
    </w:p>
    <w:p>
      <w:pPr>
        <w:pBdr>
          <w:bottom w:val="single" w:color="1F4E79" w:sz="6"/>
        </w:pBdr>
        <w:spacing w:after="60" w:before="120"/>
        <w:jc w:val="center"/>
      </w:pPr>
      <w:r>
        <w:rPr>
          <w:rFonts w:ascii="Arial" w:cs="Arial" w:eastAsia="Arial" w:hAnsi="Arial"/>
          <w:b/>
          <w:bCs/>
          <w:color w:val="1F4E79"/>
          <w:sz w:val="24"/>
          <w:szCs w:val="24"/>
        </w:rPr>
        <w:t xml:space="preserve">LESSON PLAN IN SCIENCE GRADE 9</w:t>
      </w:r>
    </w:p>
    <w:p>
      <w:pPr>
        <w:spacing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000000" w:sz="1"/>
              <w:left w:val="single" w:color="000000" w:sz="1"/>
              <w:bottom w:val="single" w:color="000000" w:sz="1"/>
              <w:right w:val="single" w:color="000000" w:sz="1"/>
            </w:tcBorders>
            <w:shd w:fill="D6E4F0" w:color="auto" w:val="clear"/>
            <w:vAlign w:val="top"/>
          </w:tcPr>
          <w:p>
            <w:pPr>
              <w:spacing w:after="40" w:before="40"/>
            </w:pPr>
            <w:r>
              <w:rPr>
                <w:rFonts w:ascii="Arial" w:cs="Arial" w:eastAsia="Arial" w:hAnsi="Arial"/>
                <w:b/>
                <w:bCs/>
                <w:sz w:val="18"/>
                <w:szCs w:val="18"/>
              </w:rPr>
              <w:t xml:space="preserve">Name of Lesson</w:t>
            </w:r>
          </w:p>
        </w:tc>
        <w:tc>
          <w:tcPr>
            <w:tcW w:type="pct" w:w="75%"/>
            <w:tcBorders>
              <w:top w:val="single" w:color="000000" w:sz="1"/>
              <w:left w:val="single" w:color="000000" w:sz="1"/>
              <w:bottom w:val="single" w:color="000000" w:sz="1"/>
              <w:right w:val="single" w:color="000000" w:sz="1"/>
            </w:tcBorders>
            <w:vAlign w:val="top"/>
          </w:tcPr>
          <w:p>
            <w:pPr>
              <w:spacing w:after="20" w:before="20"/>
            </w:pPr>
            <w:r>
              <w:rPr>
                <w:rFonts w:ascii="Arial" w:cs="Arial" w:eastAsia="Arial" w:hAnsi="Arial"/>
                <w:sz w:val="18"/>
                <w:szCs w:val="18"/>
              </w:rPr>
              <w:t xml:space="preserve">Wave After Wave: Comparing the Electromagnetic Spectrum</w:t>
            </w:r>
          </w:p>
        </w:tc>
      </w:tr>
      <w:tr>
        <w:tc>
          <w:tcPr>
            <w:tcW w:type="pct" w:w="25%"/>
            <w:tcBorders>
              <w:top w:val="single" w:color="000000" w:sz="1"/>
              <w:left w:val="single" w:color="000000" w:sz="1"/>
              <w:bottom w:val="single" w:color="000000" w:sz="1"/>
              <w:right w:val="single" w:color="000000" w:sz="1"/>
            </w:tcBorders>
            <w:shd w:fill="D6E4F0" w:color="auto" w:val="clear"/>
            <w:vAlign w:val="top"/>
          </w:tcPr>
          <w:p>
            <w:pPr>
              <w:spacing w:after="40" w:before="40"/>
            </w:pPr>
            <w:r>
              <w:rPr>
                <w:rFonts w:ascii="Arial" w:cs="Arial" w:eastAsia="Arial" w:hAnsi="Arial"/>
                <w:b/>
                <w:bCs/>
                <w:sz w:val="18"/>
                <w:szCs w:val="18"/>
              </w:rPr>
              <w:t xml:space="preserve">Date, week, Day</w:t>
            </w:r>
          </w:p>
        </w:tc>
        <w:tc>
          <w:tcPr>
            <w:tcW w:type="pct" w:w="75%"/>
            <w:tcBorders>
              <w:top w:val="single" w:color="000000" w:sz="1"/>
              <w:left w:val="single" w:color="000000" w:sz="1"/>
              <w:bottom w:val="single" w:color="000000" w:sz="1"/>
              <w:right w:val="single" w:color="000000" w:sz="1"/>
            </w:tcBorders>
            <w:vAlign w:val="top"/>
          </w:tcPr>
          <w:p>
            <w:pPr>
              <w:spacing w:after="20" w:before="20"/>
            </w:pPr>
            <w:r>
              <w:rPr>
                <w:rFonts w:ascii="Arial" w:cs="Arial" w:eastAsia="Arial" w:hAnsi="Arial"/>
                <w:sz w:val="18"/>
                <w:szCs w:val="18"/>
              </w:rPr>
              <w:t xml:space="preserve">July 24, 2026 &amp;nbsp;&amp;nbsp;&amp;nbsp;&amp;nbsp; week: Week 8 &amp;nbsp;&amp;nbsp;&amp;nbsp;&amp;nbsp; day: Day 5 (Day 37 of DBOW)</w:t>
            </w:r>
          </w:p>
        </w:tc>
      </w:tr>
      <w:tr>
        <w:tc>
          <w:tcPr>
            <w:tcW w:type="pct" w:w="25%"/>
            <w:tcBorders>
              <w:top w:val="single" w:color="000000" w:sz="1"/>
              <w:left w:val="single" w:color="000000" w:sz="1"/>
              <w:bottom w:val="single" w:color="000000" w:sz="1"/>
              <w:right w:val="single" w:color="000000" w:sz="1"/>
            </w:tcBorders>
            <w:shd w:fill="D6E4F0" w:color="auto" w:val="clear"/>
            <w:vAlign w:val="top"/>
          </w:tcPr>
          <w:p>
            <w:pPr>
              <w:spacing w:after="40" w:before="40"/>
            </w:pPr>
            <w:r>
              <w:rPr>
                <w:rFonts w:ascii="Arial" w:cs="Arial" w:eastAsia="Arial" w:hAnsi="Arial"/>
                <w:b/>
                <w:bCs/>
                <w:sz w:val="18"/>
                <w:szCs w:val="18"/>
              </w:rPr>
              <w:t xml:space="preserve">Designed by teacher/s</w:t>
            </w:r>
          </w:p>
        </w:tc>
        <w:tc>
          <w:tcPr>
            <w:tcW w:type="pct" w:w="75%"/>
            <w:tcBorders>
              <w:top w:val="single" w:color="000000" w:sz="1"/>
              <w:left w:val="single" w:color="000000" w:sz="1"/>
              <w:bottom w:val="single" w:color="000000" w:sz="1"/>
              <w:right w:val="single" w:color="000000" w:sz="1"/>
            </w:tcBorders>
            <w:vAlign w:val="top"/>
          </w:tcPr>
          <w:p>
            <w:pPr>
              <w:spacing w:after="20" w:before="20"/>
            </w:pPr>
            <w:r>
              <w:rPr>
                <w:rFonts w:ascii="Arial" w:cs="Arial" w:eastAsia="Arial" w:hAnsi="Arial"/>
                <w:sz w:val="18"/>
                <w:szCs w:val="18"/>
              </w:rPr>
              <w:t xml:space="preserve">[Teacher Name]</w:t>
            </w:r>
          </w:p>
        </w:tc>
      </w:tr>
      <w:tr>
        <w:tc>
          <w:tcPr>
            <w:tcW w:type="pct" w:w="25%"/>
            <w:tcBorders>
              <w:top w:val="single" w:color="000000" w:sz="1"/>
              <w:left w:val="single" w:color="000000" w:sz="1"/>
              <w:bottom w:val="single" w:color="000000" w:sz="1"/>
              <w:right w:val="single" w:color="000000" w:sz="1"/>
            </w:tcBorders>
            <w:shd w:fill="D6E4F0" w:color="auto" w:val="clear"/>
            <w:vAlign w:val="top"/>
          </w:tcPr>
          <w:p>
            <w:pPr>
              <w:spacing w:after="40" w:before="40"/>
            </w:pPr>
            <w:r>
              <w:rPr>
                <w:rFonts w:ascii="Arial" w:cs="Arial" w:eastAsia="Arial" w:hAnsi="Arial"/>
                <w:b/>
                <w:bCs/>
                <w:sz w:val="18"/>
                <w:szCs w:val="18"/>
              </w:rPr>
              <w:t xml:space="preserve">Designed for which Grade Level and Section</w:t>
            </w:r>
          </w:p>
        </w:tc>
        <w:tc>
          <w:tcPr>
            <w:tcW w:type="pct" w:w="75%"/>
            <w:tcBorders>
              <w:top w:val="single" w:color="000000" w:sz="1"/>
              <w:left w:val="single" w:color="000000" w:sz="1"/>
              <w:bottom w:val="single" w:color="000000" w:sz="1"/>
              <w:right w:val="single" w:color="000000" w:sz="1"/>
            </w:tcBorders>
            <w:vAlign w:val="top"/>
          </w:tcPr>
          <w:p>
            <w:pPr>
              <w:spacing w:after="20" w:before="20"/>
            </w:pPr>
            <w:r>
              <w:rPr>
                <w:rFonts w:ascii="Arial" w:cs="Arial" w:eastAsia="Arial" w:hAnsi="Arial"/>
                <w:sz w:val="18"/>
                <w:szCs w:val="18"/>
              </w:rPr>
              <w:t xml:space="preserve">Grade 9 – ILAW</w:t>
            </w:r>
          </w:p>
        </w:tc>
      </w:tr>
      <w:tr>
        <w:tc>
          <w:tcPr>
            <w:tcW w:type="pct" w:w="25%"/>
            <w:tcBorders>
              <w:top w:val="single" w:color="000000" w:sz="1"/>
              <w:left w:val="single" w:color="000000" w:sz="1"/>
              <w:bottom w:val="single" w:color="000000" w:sz="1"/>
              <w:right w:val="single" w:color="000000" w:sz="1"/>
            </w:tcBorders>
            <w:shd w:fill="D6E4F0" w:color="auto" w:val="clear"/>
            <w:vAlign w:val="top"/>
          </w:tcPr>
          <w:p>
            <w:pPr>
              <w:spacing w:after="40" w:before="40"/>
            </w:pPr>
            <w:r>
              <w:rPr>
                <w:rFonts w:ascii="Arial" w:cs="Arial" w:eastAsia="Arial" w:hAnsi="Arial"/>
                <w:b/>
                <w:bCs/>
                <w:sz w:val="18"/>
                <w:szCs w:val="18"/>
              </w:rPr>
              <w:t xml:space="preserve">No. of Sessions</w:t>
            </w:r>
          </w:p>
        </w:tc>
        <w:tc>
          <w:tcPr>
            <w:tcW w:type="pct" w:w="75%"/>
            <w:tcBorders>
              <w:top w:val="single" w:color="000000" w:sz="1"/>
              <w:left w:val="single" w:color="000000" w:sz="1"/>
              <w:bottom w:val="single" w:color="000000" w:sz="1"/>
              <w:right w:val="single" w:color="000000" w:sz="1"/>
            </w:tcBorders>
            <w:vAlign w:val="top"/>
          </w:tcPr>
          <w:p>
            <w:pPr>
              <w:spacing w:after="20" w:before="20"/>
            </w:pPr>
            <w:r>
              <w:rPr>
                <w:rFonts w:ascii="Arial" w:cs="Arial" w:eastAsia="Arial" w:hAnsi="Arial"/>
                <w:sz w:val="18"/>
                <w:szCs w:val="18"/>
              </w:rPr>
              <w:t xml:space="preserve">1 Session</w:t>
            </w:r>
          </w:p>
        </w:tc>
      </w:tr>
      <w:tr>
        <w:tc>
          <w:tcPr>
            <w:tcW w:type="pct" w:w="25%"/>
            <w:tcBorders>
              <w:top w:val="single" w:color="000000" w:sz="1"/>
              <w:left w:val="single" w:color="000000" w:sz="1"/>
              <w:bottom w:val="single" w:color="000000" w:sz="1"/>
              <w:right w:val="single" w:color="000000" w:sz="1"/>
            </w:tcBorders>
            <w:shd w:fill="D6E4F0" w:color="auto" w:val="clear"/>
            <w:vAlign w:val="top"/>
          </w:tcPr>
          <w:p>
            <w:pPr>
              <w:spacing w:after="40" w:before="40"/>
            </w:pPr>
            <w:r>
              <w:rPr>
                <w:rFonts w:ascii="Arial" w:cs="Arial" w:eastAsia="Arial" w:hAnsi="Arial"/>
                <w:b/>
                <w:bCs/>
                <w:sz w:val="18"/>
                <w:szCs w:val="18"/>
              </w:rPr>
              <w:t xml:space="preserve">References
(books, websites, toolkits, etc.)</w:t>
            </w:r>
          </w:p>
        </w:tc>
        <w:tc>
          <w:tcPr>
            <w:tcW w:type="pct" w:w="75%"/>
            <w:tcBorders>
              <w:top w:val="single" w:color="000000" w:sz="1"/>
              <w:left w:val="single" w:color="000000" w:sz="1"/>
              <w:bottom w:val="single" w:color="000000" w:sz="1"/>
              <w:right w:val="single" w:color="000000" w:sz="1"/>
            </w:tcBorders>
            <w:vAlign w:val="top"/>
          </w:tcPr>
          <w:p>
            <w:pPr>
              <w:spacing w:after="20" w:before="20"/>
            </w:pPr>
            <w:r>
              <w:rPr>
                <w:rFonts w:ascii="Arial" w:cs="Arial" w:eastAsia="Arial" w:hAnsi="Arial"/>
                <w:sz w:val="18"/>
                <w:szCs w:val="18"/>
              </w:rPr>
              <w:t xml:space="preserve">MATATAG K-10 Curriculum Guide, Science Learning Materials Grade 9, DepEd MATATAG Curriculum Resources</w:t>
            </w:r>
          </w:p>
        </w:tc>
      </w:tr>
      <w:tr>
        <w:tc>
          <w:tcPr>
            <w:tcW w:type="pct" w:w="25%"/>
            <w:tcBorders>
              <w:top w:val="single" w:color="000000" w:sz="1"/>
              <w:left w:val="single" w:color="000000" w:sz="1"/>
              <w:bottom w:val="single" w:color="000000" w:sz="1"/>
              <w:right w:val="single" w:color="000000" w:sz="1"/>
            </w:tcBorders>
            <w:shd w:fill="D6E4F0" w:color="auto" w:val="clear"/>
            <w:vAlign w:val="top"/>
          </w:tcPr>
          <w:p>
            <w:pPr>
              <w:spacing w:after="40" w:before="40"/>
            </w:pPr>
            <w:r>
              <w:rPr>
                <w:rFonts w:ascii="Arial" w:cs="Arial" w:eastAsia="Arial" w:hAnsi="Arial"/>
                <w:b/>
                <w:bCs/>
                <w:sz w:val="18"/>
                <w:szCs w:val="18"/>
              </w:rPr>
              <w:t xml:space="preserve">Declaration of AI Use
(Cite how AI was used in the formulation of the lesson plan.) See DO 3 s.2026 Annex A</w:t>
            </w:r>
          </w:p>
        </w:tc>
        <w:tc>
          <w:tcPr>
            <w:tcW w:type="pct" w:w="75%"/>
            <w:tcBorders>
              <w:top w:val="single" w:color="000000" w:sz="1"/>
              <w:left w:val="single" w:color="000000" w:sz="1"/>
              <w:bottom w:val="single" w:color="000000" w:sz="1"/>
              <w:right w:val="single" w:color="000000" w:sz="1"/>
            </w:tcBorders>
            <w:vAlign w:val="top"/>
          </w:tcPr>
          <w:p>
            <w:pPr>
              <w:spacing w:after="20" w:before="20"/>
            </w:pPr>
            <w:r>
              <w:rPr>
                <w:rFonts w:ascii="Arial" w:cs="Arial" w:eastAsia="Arial" w:hAnsi="Arial"/>
                <w:sz w:val="18"/>
                <w:szCs w:val="18"/>
              </w:rPr>
              <w:t xml:space="preserve">Formulated using Gemini Gem (Constructive Alignment &amp; HOTS optimization). See DO 3 s.2026 Annex A. AI was used to structurally align the objectives, format the 5E delivery model, and build contextualized assessment items.</w:t>
            </w:r>
          </w:p>
        </w:tc>
      </w:tr>
    </w:tbl>
    <w:p>
      <w:pPr>
        <w:spacing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000000" w:sz="1"/>
              <w:left w:val="single" w:color="000000" w:sz="1"/>
              <w:bottom w:val="single" w:color="000000" w:sz="1"/>
              <w:right w:val="single" w:color="000000" w:sz="1"/>
            </w:tcBorders>
            <w:shd w:fill="1F4E79" w:color="auto" w:val="clear"/>
            <w:vAlign w:val="center"/>
          </w:tcPr>
          <w:p>
            <w:pPr>
              <w:spacing w:after="60" w:before="60"/>
              <w:jc w:val="center"/>
            </w:pPr>
            <w:r>
              <w:rPr>
                <w:rFonts w:ascii="Arial" w:cs="Arial" w:eastAsia="Arial" w:hAnsi="Arial"/>
                <w:b/>
                <w:bCs/>
                <w:color w:val="FFFFFF"/>
                <w:sz w:val="20"/>
                <w:szCs w:val="20"/>
              </w:rPr>
              <w:t xml:space="preserve">Intentions.</w:t>
            </w:r>
          </w:p>
        </w:tc>
      </w:tr>
      <w:tr>
        <w:tc>
          <w:tcPr>
            <w:gridSpan w:val="2"/>
            <w:tcBorders>
              <w:top w:val="single" w:color="000000" w:sz="1"/>
              <w:left w:val="single" w:color="000000" w:sz="1"/>
              <w:bottom w:val="single" w:color="000000" w:sz="1"/>
              <w:right w:val="single" w:color="000000" w:sz="1"/>
            </w:tcBorders>
            <w:shd w:fill="F2F7FC" w:color="auto" w:val="clear"/>
            <w:vAlign w:val="top"/>
          </w:tcPr>
          <w:p>
            <w:pPr>
              <w:spacing w:after="40" w:before="40"/>
            </w:pPr>
            <w:r>
              <w:rPr>
                <w:rFonts w:ascii="Arial" w:cs="Arial" w:eastAsia="Arial" w:hAnsi="Arial"/>
                <w:i/>
                <w:iCs/>
                <w:color w:val="444444"/>
                <w:sz w:val="16"/>
                <w:szCs w:val="16"/>
              </w:rPr>
              <w:t xml:space="preserve">Meaningful learning experiences are anchored on how we frame them. Start by deciding what you want your learners to master by the end of the lesson – keep it clear and simple.
Remember: Understanding your learner’s evolving context and designing around it helps ensure that your lessons connect with and are relevant to them.</w:t>
            </w:r>
          </w:p>
        </w:tc>
      </w:tr>
      <w:tr>
        <w:tc>
          <w:tcPr>
            <w:tcW w:type="pct" w:w="25%"/>
            <w:tcBorders>
              <w:top w:val="single" w:color="000000" w:sz="1"/>
              <w:left w:val="single" w:color="000000" w:sz="1"/>
              <w:bottom w:val="single" w:color="000000" w:sz="1"/>
              <w:right w:val="single" w:color="000000" w:sz="1"/>
            </w:tcBorders>
            <w:shd w:fill="D6E4F0" w:color="auto" w:val="clear"/>
            <w:vAlign w:val="top"/>
          </w:tcPr>
          <w:p>
            <w:pPr>
              <w:spacing w:after="40" w:before="40"/>
            </w:pPr>
            <w:r>
              <w:rPr>
                <w:rFonts w:ascii="Arial" w:cs="Arial" w:eastAsia="Arial" w:hAnsi="Arial"/>
                <w:b/>
                <w:bCs/>
                <w:sz w:val="18"/>
                <w:szCs w:val="18"/>
              </w:rPr>
              <w:t xml:space="preserve">Learning Competency:
Write the competency/ies from the curriculum guide that we are targeting, and the content or performance standards applicable to the sessions</w:t>
            </w:r>
          </w:p>
        </w:tc>
        <w:tc>
          <w:tcPr>
            <w:tcW w:type="pct" w:w="75%"/>
            <w:tcBorders>
              <w:top w:val="single" w:color="000000" w:sz="1"/>
              <w:left w:val="single" w:color="000000" w:sz="1"/>
              <w:bottom w:val="single" w:color="000000" w:sz="1"/>
              <w:right w:val="single" w:color="000000" w:sz="1"/>
            </w:tcBorders>
            <w:vAlign w:val="top"/>
          </w:tcPr>
          <w:p>
            <w:pPr>
              <w:spacing w:after="20" w:before="20"/>
            </w:pPr>
            <w:r>
              <w:rPr>
                <w:rFonts w:ascii="Arial" w:cs="Arial" w:eastAsia="Arial" w:hAnsi="Arial"/>
                <w:sz w:val="18"/>
                <w:szCs w:val="18"/>
              </w:rPr>
              <w:t xml:space="preserve">Compare the relative wavelengths and frequencies of different types of electromagnetic waves, including radio waves, microwaves, infrared, visible light, ultra-violet, x-rays, and gamma radiation. (DBOW Day 37)</w:t>
            </w:r>
          </w:p>
        </w:tc>
      </w:tr>
      <w:tr>
        <w:tc>
          <w:tcPr>
            <w:tcW w:type="pct" w:w="25%"/>
            <w:tcBorders>
              <w:top w:val="single" w:color="000000" w:sz="1"/>
              <w:left w:val="single" w:color="000000" w:sz="1"/>
              <w:bottom w:val="single" w:color="000000" w:sz="1"/>
              <w:right w:val="single" w:color="000000" w:sz="1"/>
            </w:tcBorders>
            <w:shd w:fill="D6E4F0" w:color="auto" w:val="clear"/>
            <w:vAlign w:val="top"/>
          </w:tcPr>
          <w:p>
            <w:pPr>
              <w:spacing w:after="40" w:before="40"/>
            </w:pPr>
            <w:r>
              <w:rPr>
                <w:rFonts w:ascii="Arial" w:cs="Arial" w:eastAsia="Arial" w:hAnsi="Arial"/>
                <w:b/>
                <w:bCs/>
                <w:sz w:val="18"/>
                <w:szCs w:val="18"/>
              </w:rPr>
              <w:t xml:space="preserve">Learning Objectives:
Write the smaller knowledge, skills or tasks from the competency that the learners will work on and be able to show by the end of the sessions</w:t>
            </w:r>
          </w:p>
        </w:tc>
        <w:tc>
          <w:tcPr>
            <w:tcW w:type="pct" w:w="75%"/>
            <w:tcBorders>
              <w:top w:val="single" w:color="000000" w:sz="1"/>
              <w:left w:val="single" w:color="000000" w:sz="1"/>
              <w:bottom w:val="single" w:color="000000" w:sz="1"/>
              <w:right w:val="single" w:color="000000" w:sz="1"/>
            </w:tcBorders>
            <w:vAlign w:val="top"/>
          </w:tcPr>
          <w:p>
            <w:pPr>
              <w:spacing w:after="20" w:before="20"/>
            </w:pPr>
            <w:r>
              <w:rPr>
                <w:rFonts w:ascii="Arial" w:cs="Arial" w:eastAsia="Arial" w:hAnsi="Arial"/>
                <w:sz w:val="18"/>
                <w:szCs w:val="18"/>
              </w:rPr>
              <w:t xml:space="preserve">By the end of the session, 80% of learners will be able to compare and arrange the seven types of EM waves according to their relative wavelengths and frequencies using the electromagnetic spectrum diagram, with at least 75% accuracy on the differentiated assessment.</w:t>
            </w:r>
          </w:p>
        </w:tc>
      </w:tr>
      <w:tr>
        <w:tc>
          <w:tcPr>
            <w:tcW w:type="pct" w:w="25%"/>
            <w:tcBorders>
              <w:top w:val="single" w:color="000000" w:sz="1"/>
              <w:left w:val="single" w:color="000000" w:sz="1"/>
              <w:bottom w:val="single" w:color="000000" w:sz="1"/>
              <w:right w:val="single" w:color="000000" w:sz="1"/>
            </w:tcBorders>
            <w:shd w:fill="D6E4F0" w:color="auto" w:val="clear"/>
            <w:vAlign w:val="top"/>
          </w:tcPr>
          <w:p>
            <w:pPr>
              <w:spacing w:after="40" w:before="40"/>
            </w:pPr>
            <w:r>
              <w:rPr>
                <w:rFonts w:ascii="Arial" w:cs="Arial" w:eastAsia="Arial" w:hAnsi="Arial"/>
                <w:b/>
                <w:bCs/>
                <w:sz w:val="18"/>
                <w:szCs w:val="18"/>
              </w:rPr>
              <w:t xml:space="preserve">Learners’ Context:
Write your observations of your learners, and how they have been performing or responding to learning experiences recently, including strengths, interests, and possible barriers to learning</w:t>
            </w:r>
          </w:p>
        </w:tc>
        <w:tc>
          <w:tcPr>
            <w:tcW w:type="pct" w:w="75%"/>
            <w:tcBorders>
              <w:top w:val="single" w:color="000000" w:sz="1"/>
              <w:left w:val="single" w:color="000000" w:sz="1"/>
              <w:bottom w:val="single" w:color="000000" w:sz="1"/>
              <w:right w:val="single" w:color="000000" w:sz="1"/>
            </w:tcBorders>
            <w:vAlign w:val="top"/>
          </w:tcPr>
          <w:p>
            <w:pPr>
              <w:spacing w:after="20" w:before="20"/>
            </w:pPr>
            <w:r>
              <w:rPr>
                <w:rFonts w:ascii="Arial" w:cs="Arial" w:eastAsia="Arial" w:hAnsi="Arial"/>
                <w:sz w:val="18"/>
                <w:szCs w:val="18"/>
              </w:rPr>
              <w:t xml:space="preserve">Grade 9 students demonstrate strong interest in technology and mobile communications (e.g., smartphones, Wi-Fi networks along Alabang-Zapote Road). Heterogeneous reading and processing levels: Independent Level (25% - fluent readers, quick conceptual grasp), Instructional Level (50% - benefits from structured graphic organizers), and Frustration Level (25% - struggles with abstract physical concepts, requires visual scaffolds and peer support).</w:t>
            </w:r>
          </w:p>
        </w:tc>
      </w:tr>
    </w:tbl>
    <w:p>
      <w:pPr>
        <w:spacing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000000" w:sz="1"/>
              <w:left w:val="single" w:color="000000" w:sz="1"/>
              <w:bottom w:val="single" w:color="000000" w:sz="1"/>
              <w:right w:val="single" w:color="000000" w:sz="1"/>
            </w:tcBorders>
            <w:shd w:fill="1F4E79" w:color="auto" w:val="clear"/>
            <w:vAlign w:val="center"/>
          </w:tcPr>
          <w:p>
            <w:pPr>
              <w:spacing w:after="60" w:before="60"/>
              <w:jc w:val="center"/>
            </w:pPr>
            <w:r>
              <w:rPr>
                <w:rFonts w:ascii="Arial" w:cs="Arial" w:eastAsia="Arial" w:hAnsi="Arial"/>
                <w:b/>
                <w:bCs/>
                <w:color w:val="FFFFFF"/>
                <w:sz w:val="20"/>
                <w:szCs w:val="20"/>
              </w:rPr>
              <w:t xml:space="preserve">Learning Experience.</w:t>
            </w:r>
          </w:p>
        </w:tc>
      </w:tr>
      <w:tr>
        <w:tc>
          <w:tcPr>
            <w:gridSpan w:val="2"/>
            <w:tcBorders>
              <w:top w:val="single" w:color="000000" w:sz="1"/>
              <w:left w:val="single" w:color="000000" w:sz="1"/>
              <w:bottom w:val="single" w:color="000000" w:sz="1"/>
              <w:right w:val="single" w:color="000000" w:sz="1"/>
            </w:tcBorders>
            <w:shd w:fill="F2F7FC" w:color="auto" w:val="clear"/>
            <w:vAlign w:val="top"/>
          </w:tcPr>
          <w:p>
            <w:pPr>
              <w:spacing w:after="40" w:before="40"/>
            </w:pPr>
            <w:r>
              <w:rPr>
                <w:rFonts w:ascii="Arial" w:cs="Arial" w:eastAsia="Arial" w:hAnsi="Arial"/>
                <w:i/>
                <w:iCs/>
                <w:color w:val="444444"/>
                <w:sz w:val="16"/>
                <w:szCs w:val="16"/>
              </w:rPr>
              <w:t xml:space="preserve">Each activity and interaction builds towards meaningful understanding and growth. Identify activities and interactions to help learners gain knowledge, skills, or understanding in a purposeful way.</w:t>
            </w:r>
          </w:p>
        </w:tc>
      </w:tr>
      <w:tr>
        <w:tc>
          <w:tcPr>
            <w:tcW w:type="pct" w:w="25%"/>
            <w:tcBorders>
              <w:top w:val="single" w:color="000000" w:sz="1"/>
              <w:left w:val="single" w:color="000000" w:sz="1"/>
              <w:bottom w:val="single" w:color="000000" w:sz="1"/>
              <w:right w:val="single" w:color="000000" w:sz="1"/>
            </w:tcBorders>
            <w:shd w:fill="D6E4F0" w:color="auto" w:val="clear"/>
            <w:vAlign w:val="top"/>
          </w:tcPr>
          <w:p>
            <w:pPr>
              <w:spacing w:after="40" w:before="40"/>
            </w:pPr>
            <w:r>
              <w:rPr>
                <w:rFonts w:ascii="Arial" w:cs="Arial" w:eastAsia="Arial" w:hAnsi="Arial"/>
                <w:b/>
                <w:bCs/>
                <w:sz w:val="18"/>
                <w:szCs w:val="18"/>
              </w:rPr>
              <w:t xml:space="preserve">Pre Lesson:
Describe how you will help learners get ready for the lesson.</w:t>
            </w:r>
          </w:p>
        </w:tc>
        <w:tc>
          <w:tcPr>
            <w:tcW w:type="pct" w:w="75%"/>
            <w:tcBorders>
              <w:top w:val="single" w:color="000000" w:sz="1"/>
              <w:left w:val="single" w:color="000000" w:sz="1"/>
              <w:bottom w:val="single" w:color="000000" w:sz="1"/>
              <w:right w:val="single" w:color="000000" w:sz="1"/>
            </w:tcBorders>
            <w:vAlign w:val="top"/>
          </w:tcPr>
          <w:p>
            <w:pPr>
              <w:spacing w:after="20" w:before="20"/>
            </w:pPr>
            <w:r>
              <w:rPr>
                <w:rFonts w:ascii="Arial" w:cs="Arial" w:eastAsia="Arial" w:hAnsi="Arial"/>
                <w:sz w:val="18"/>
                <w:szCs w:val="18"/>
              </w:rPr>
              <w:t xml:space="preserve">Review &amp; Setting Expectations (3 minutes):</w:t>
            </w:r>
          </w:p>
          <w:p>
            <w:pPr>
              <w:spacing w:after="20" w:before="20"/>
            </w:pPr>
            <w:r>
              <w:rPr>
                <w:rFonts w:ascii="Arial" w:cs="Arial" w:eastAsia="Arial" w:hAnsi="Arial"/>
                <w:sz w:val="18"/>
                <w:szCs w:val="18"/>
              </w:rPr>
              <w:t xml:space="preserve">• The teacher greets the class with a quick emotional barometer check (using thumbs up/down) to gauge student energy levels.</w:t>
            </w:r>
          </w:p>
        </w:tc>
      </w:tr>
      <w:tr>
        <w:tc>
          <w:tcPr>
            <w:tcW w:type="pct" w:w="25%"/>
            <w:tcBorders>
              <w:top w:val="single" w:color="000000" w:sz="1"/>
              <w:left w:val="single" w:color="000000" w:sz="1"/>
              <w:bottom w:val="single" w:color="000000" w:sz="1"/>
              <w:right w:val="single" w:color="000000" w:sz="1"/>
            </w:tcBorders>
            <w:shd w:fill="D6E4F0" w:color="auto" w:val="clear"/>
            <w:vAlign w:val="top"/>
          </w:tcPr>
          <w:p>
            <w:pPr>
              <w:spacing w:after="40" w:before="40"/>
            </w:pPr>
            <w:r>
              <w:rPr>
                <w:rFonts w:ascii="Arial" w:cs="Arial" w:eastAsia="Arial" w:hAnsi="Arial"/>
                <w:b/>
                <w:bCs/>
                <w:sz w:val="18"/>
                <w:szCs w:val="18"/>
              </w:rPr>
              <w:t xml:space="preserve">Flow:
Describe the activities that you can implement in 1 or more sessions to meet the learning objectives.
Apply the Learning Design Principles by thinking about how to:
• make the objectives clear for the learners
• guide learners before letting them try the task on their own
• check the state of the learners’ well-being, understanding, and mastery over the lesson
• connect today’s new concept with past competencies
• encourage collaboration among learners
• invite learners to reflect on why these matters to them
• ensure inclusion for learners’ varied abilities, learning styles, and contexts.</w:t>
            </w:r>
          </w:p>
        </w:tc>
        <w:tc>
          <w:tcPr>
            <w:tcW w:type="pct" w:w="75%"/>
            <w:tcBorders>
              <w:top w:val="single" w:color="000000" w:sz="1"/>
              <w:left w:val="single" w:color="000000" w:sz="1"/>
              <w:bottom w:val="single" w:color="000000" w:sz="1"/>
              <w:right w:val="single" w:color="000000" w:sz="1"/>
            </w:tcBorders>
            <w:vAlign w:val="top"/>
          </w:tcPr>
          <w:p>
            <w:pPr>
              <w:spacing w:after="20" w:before="20"/>
            </w:pPr>
            <w:r>
              <w:rPr>
                <w:rFonts w:ascii="Arial" w:cs="Arial" w:eastAsia="Arial" w:hAnsi="Arial"/>
                <w:sz w:val="18"/>
                <w:szCs w:val="18"/>
              </w:rPr>
              <w:t xml:space="preserve">ENGAGE: (5 mins)</w:t>
            </w:r>
          </w:p>
          <w:p>
            <w:pPr>
              <w:spacing w:after="20" w:before="20"/>
            </w:pPr>
            <w:r>
              <w:rPr>
                <w:rFonts w:ascii="Arial" w:cs="Arial" w:eastAsia="Arial" w:hAnsi="Arial"/>
                <w:sz w:val="18"/>
                <w:szCs w:val="18"/>
              </w:rPr>
              <w:t xml:space="preserve">• Conduct brief well-being check.</w:t>
            </w:r>
          </w:p>
          <w:p>
            <w:pPr>
              <w:spacing w:after="20" w:before="20"/>
            </w:pPr>
            <w:r>
              <w:rPr>
                <w:rFonts w:ascii="Arial" w:cs="Arial" w:eastAsia="Arial" w:hAnsi="Arial"/>
                <w:sz w:val="18"/>
                <w:szCs w:val="18"/>
              </w:rPr>
              <w:t xml:space="preserve">• Present core objective: "By the end of the session, 80% of learners will be able to compare and arrange the seven types of EM waves according to their relative wavelengths and frequencies using the electromagnetic spectrum diagram, with at least 75% accuracy on the differentiated assessment."</w:t>
            </w:r>
          </w:p>
          <w:p>
            <w:pPr>
              <w:spacing w:after="20" w:before="20"/>
            </w:pPr>
            <w:r>
              <w:rPr>
                <w:rFonts w:ascii="Arial" w:cs="Arial" w:eastAsia="Arial" w:hAnsi="Arial"/>
                <w:sz w:val="18"/>
                <w:szCs w:val="18"/>
              </w:rPr>
              <w:t xml:space="preserve">• Activate prior knowledge using a contextual signal transmission hook.</w:t>
            </w:r>
          </w:p>
          <w:p>
            <w:pPr>
              <w:spacing w:after="20" w:before="20"/>
            </w:pPr>
            <w:r>
              <w:rPr>
                <w:rFonts w:ascii="Arial" w:cs="Arial" w:eastAsia="Arial" w:hAnsi="Arial"/>
                <w:sz w:val="18"/>
                <w:szCs w:val="18"/>
              </w:rPr>
              <w:t xml:space="preserve"/>
            </w:r>
          </w:p>
          <w:p>
            <w:pPr>
              <w:spacing w:after="20" w:before="20"/>
            </w:pPr>
            <w:r>
              <w:rPr>
                <w:rFonts w:ascii="Arial" w:cs="Arial" w:eastAsia="Arial" w:hAnsi="Arial"/>
                <w:sz w:val="18"/>
                <w:szCs w:val="18"/>
              </w:rPr>
              <w:t xml:space="preserve">EXPLORE &amp; EXPLAIN / MODELING (I Do) (15 mins):</w:t>
            </w:r>
          </w:p>
          <w:p>
            <w:pPr>
              <w:spacing w:after="20" w:before="20"/>
            </w:pPr>
            <w:r>
              <w:rPr>
                <w:rFonts w:ascii="Arial" w:cs="Arial" w:eastAsia="Arial" w:hAnsi="Arial"/>
                <w:sz w:val="18"/>
                <w:szCs w:val="18"/>
              </w:rPr>
              <w:t xml:space="preserve">• Direct Teacher Modeling integrating mandated activity: Using the EM spectrum chart, learners will identify and arrange the seven EM wave types in order of increasing frequency and decreasing wavelength..</w:t>
            </w:r>
          </w:p>
          <w:p>
            <w:pPr>
              <w:spacing w:after="20" w:before="20"/>
            </w:pPr>
            <w:r>
              <w:rPr>
                <w:rFonts w:ascii="Arial" w:cs="Arial" w:eastAsia="Arial" w:hAnsi="Arial"/>
                <w:sz w:val="18"/>
                <w:szCs w:val="18"/>
              </w:rPr>
              <w:t xml:space="preserve">• Concept Explanation: Explain particle oscillations, wave propagation, and medium requirements clearly.</w:t>
            </w:r>
          </w:p>
          <w:p>
            <w:pPr>
              <w:spacing w:after="20" w:before="20"/>
            </w:pPr>
            <w:r>
              <w:rPr>
                <w:rFonts w:ascii="Arial" w:cs="Arial" w:eastAsia="Arial" w:hAnsi="Arial"/>
                <w:sz w:val="18"/>
                <w:szCs w:val="18"/>
              </w:rPr>
              <w:t xml:space="preserve"/>
            </w:r>
          </w:p>
          <w:p>
            <w:pPr>
              <w:spacing w:after="20" w:before="20"/>
            </w:pPr>
            <w:r>
              <w:rPr>
                <w:rFonts w:ascii="Arial" w:cs="Arial" w:eastAsia="Arial" w:hAnsi="Arial"/>
                <w:sz w:val="18"/>
                <w:szCs w:val="18"/>
              </w:rPr>
              <w:t xml:space="preserve">ELABORATE / GUIDED &amp; COLLABORATIVE PRACTICE (We Do) (10 mins):</w:t>
            </w:r>
          </w:p>
          <w:p>
            <w:pPr>
              <w:spacing w:after="20" w:before="20"/>
            </w:pPr>
            <w:r>
              <w:rPr>
                <w:rFonts w:ascii="Arial" w:cs="Arial" w:eastAsia="Arial" w:hAnsi="Arial"/>
                <w:sz w:val="18"/>
                <w:szCs w:val="18"/>
              </w:rPr>
              <w:t xml:space="preserve">• Group students into trios for a structured mini-task localized to Las Piñas / NCR context.</w:t>
            </w:r>
          </w:p>
          <w:p>
            <w:pPr>
              <w:spacing w:after="20" w:before="20"/>
            </w:pPr>
            <w:r>
              <w:rPr>
                <w:rFonts w:ascii="Arial" w:cs="Arial" w:eastAsia="Arial" w:hAnsi="Arial"/>
                <w:sz w:val="18"/>
                <w:szCs w:val="18"/>
              </w:rPr>
              <w:t xml:space="preserve">• Differentiated Tasks:</w:t>
            </w:r>
          </w:p>
          <w:p>
            <w:pPr>
              <w:spacing w:after="20" w:before="20"/>
            </w:pPr>
            <w:r>
              <w:rPr>
                <w:rFonts w:ascii="Arial" w:cs="Arial" w:eastAsia="Arial" w:hAnsi="Arial"/>
                <w:sz w:val="18"/>
                <w:szCs w:val="18"/>
              </w:rPr>
              <w:t xml:space="preserve">  - Independent Level: Analyze and formulate a HOTS explanation connecting wave behavior to real-world infrastructure.</w:t>
            </w:r>
          </w:p>
          <w:p>
            <w:pPr>
              <w:spacing w:after="20" w:before="20"/>
            </w:pPr>
            <w:r>
              <w:rPr>
                <w:rFonts w:ascii="Arial" w:cs="Arial" w:eastAsia="Arial" w:hAnsi="Arial"/>
                <w:sz w:val="18"/>
                <w:szCs w:val="18"/>
              </w:rPr>
              <w:t xml:space="preserve">  - Instructional Level: Complete a guided diagram worksheet labeling key components, field orientations, and propagation direction.</w:t>
            </w:r>
          </w:p>
          <w:p>
            <w:pPr>
              <w:spacing w:after="20" w:before="20"/>
            </w:pPr>
            <w:r>
              <w:rPr>
                <w:rFonts w:ascii="Arial" w:cs="Arial" w:eastAsia="Arial" w:hAnsi="Arial"/>
                <w:sz w:val="18"/>
                <w:szCs w:val="18"/>
              </w:rPr>
              <w:t xml:space="preserve">  - Frustration Level: Complete a scaffolded fill-in-the-blank visual organizer matching core terms with direct teacher/peer support.</w:t>
            </w:r>
          </w:p>
          <w:p>
            <w:pPr>
              <w:spacing w:after="20" w:before="20"/>
            </w:pPr>
            <w:r>
              <w:rPr>
                <w:rFonts w:ascii="Arial" w:cs="Arial" w:eastAsia="Arial" w:hAnsi="Arial"/>
                <w:sz w:val="18"/>
                <w:szCs w:val="18"/>
              </w:rPr>
              <w:t xml:space="preserve"/>
            </w:r>
          </w:p>
          <w:p>
            <w:pPr>
              <w:spacing w:after="20" w:before="20"/>
            </w:pPr>
            <w:r>
              <w:rPr>
                <w:rFonts w:ascii="Arial" w:cs="Arial" w:eastAsia="Arial" w:hAnsi="Arial"/>
                <w:sz w:val="18"/>
                <w:szCs w:val="18"/>
              </w:rPr>
              <w:t xml:space="preserve">EVALUATE / INDEPENDENT PRACTICE (You Do) (10 mins):</w:t>
            </w:r>
          </w:p>
          <w:p>
            <w:pPr>
              <w:spacing w:after="20" w:before="20"/>
            </w:pPr>
            <w:r>
              <w:rPr>
                <w:rFonts w:ascii="Arial" w:cs="Arial" w:eastAsia="Arial" w:hAnsi="Arial"/>
                <w:sz w:val="18"/>
                <w:szCs w:val="18"/>
              </w:rPr>
              <w:t xml:space="preserve">• Students individually solve concept check prompts differentiated by reading level.</w:t>
            </w:r>
          </w:p>
          <w:p>
            <w:pPr>
              <w:spacing w:after="20" w:before="20"/>
            </w:pPr>
            <w:r>
              <w:rPr>
                <w:rFonts w:ascii="Arial" w:cs="Arial" w:eastAsia="Arial" w:hAnsi="Arial"/>
                <w:sz w:val="18"/>
                <w:szCs w:val="18"/>
              </w:rPr>
              <w:t xml:space="preserve"/>
            </w:r>
          </w:p>
          <w:p>
            <w:pPr>
              <w:spacing w:after="20" w:before="20"/>
            </w:pPr>
            <w:r>
              <w:rPr>
                <w:rFonts w:ascii="Arial" w:cs="Arial" w:eastAsia="Arial" w:hAnsi="Arial"/>
                <w:sz w:val="18"/>
                <w:szCs w:val="18"/>
              </w:rPr>
              <w:t xml:space="preserve">REFLECTION &amp; CLOSURE (5 mins):</w:t>
            </w:r>
          </w:p>
          <w:p>
            <w:pPr>
              <w:spacing w:after="20" w:before="20"/>
            </w:pPr>
            <w:r>
              <w:rPr>
                <w:rFonts w:ascii="Arial" w:cs="Arial" w:eastAsia="Arial" w:hAnsi="Arial"/>
                <w:sz w:val="18"/>
                <w:szCs w:val="18"/>
              </w:rPr>
              <w:t xml:space="preserve">• Well-being &amp; Value Reflection: Prompt students on the real-world value of the concept to daily Philippine life or emergency communications during natural disasters. Wrap up session.</w:t>
            </w:r>
          </w:p>
        </w:tc>
      </w:tr>
      <w:tr>
        <w:tc>
          <w:tcPr>
            <w:tcW w:type="pct" w:w="25%"/>
            <w:tcBorders>
              <w:top w:val="single" w:color="000000" w:sz="1"/>
              <w:left w:val="single" w:color="000000" w:sz="1"/>
              <w:bottom w:val="single" w:color="000000" w:sz="1"/>
              <w:right w:val="single" w:color="000000" w:sz="1"/>
            </w:tcBorders>
            <w:shd w:fill="D6E4F0" w:color="auto" w:val="clear"/>
            <w:vAlign w:val="top"/>
          </w:tcPr>
          <w:p>
            <w:pPr>
              <w:spacing w:after="40" w:before="40"/>
            </w:pPr>
            <w:r>
              <w:rPr>
                <w:rFonts w:ascii="Arial" w:cs="Arial" w:eastAsia="Arial" w:hAnsi="Arial"/>
                <w:b/>
                <w:bCs/>
                <w:sz w:val="18"/>
                <w:szCs w:val="18"/>
              </w:rPr>
              <w:t xml:space="preserve">Learning Resources:
List down the learning resources that will help you reach your objectives. Ensure that they are available and inclusive. Including options and alternatives in case of emergencies</w:t>
            </w:r>
          </w:p>
        </w:tc>
        <w:tc>
          <w:tcPr>
            <w:tcW w:type="pct" w:w="75%"/>
            <w:tcBorders>
              <w:top w:val="single" w:color="000000" w:sz="1"/>
              <w:left w:val="single" w:color="000000" w:sz="1"/>
              <w:bottom w:val="single" w:color="000000" w:sz="1"/>
              <w:right w:val="single" w:color="000000" w:sz="1"/>
            </w:tcBorders>
            <w:vAlign w:val="top"/>
          </w:tcPr>
          <w:p>
            <w:pPr>
              <w:spacing w:after="20" w:before="20"/>
            </w:pPr>
            <w:r>
              <w:rPr>
                <w:rFonts w:ascii="Arial" w:cs="Arial" w:eastAsia="Arial" w:hAnsi="Arial"/>
                <w:sz w:val="18"/>
                <w:szCs w:val="18"/>
              </w:rPr>
              <w:t xml:space="preserve">• Primary equipment for Using the EM spectrum chart, learners will identify and arrange the seven EM wave types in order of increasing frequency and decreasing wavelength..</w:t>
            </w:r>
          </w:p>
          <w:p>
            <w:pPr>
              <w:spacing w:after="20" w:before="20"/>
            </w:pPr>
            <w:r>
              <w:rPr>
                <w:rFonts w:ascii="Arial" w:cs="Arial" w:eastAsia="Arial" w:hAnsi="Arial"/>
                <w:sz w:val="18"/>
                <w:szCs w:val="18"/>
              </w:rPr>
              <w:t xml:space="preserve">• DepEd Science Grade 9 Learner's Material.</w:t>
            </w:r>
          </w:p>
          <w:p>
            <w:pPr>
              <w:spacing w:after="20" w:before="20"/>
            </w:pPr>
            <w:r>
              <w:rPr>
                <w:rFonts w:ascii="Arial" w:cs="Arial" w:eastAsia="Arial" w:hAnsi="Arial"/>
                <w:sz w:val="18"/>
                <w:szCs w:val="18"/>
              </w:rPr>
              <w:t xml:space="preserve">• Backup Plan (Emergency/Tech Outage): Printed visual diagram charts and physical demonstrations if multimedia displays are unavailable.</w:t>
            </w:r>
          </w:p>
        </w:tc>
      </w:tr>
      <w:tr>
        <w:tc>
          <w:tcPr>
            <w:tcW w:type="pct" w:w="25%"/>
            <w:tcBorders>
              <w:top w:val="single" w:color="000000" w:sz="1"/>
              <w:left w:val="single" w:color="000000" w:sz="1"/>
              <w:bottom w:val="single" w:color="000000" w:sz="1"/>
              <w:right w:val="single" w:color="000000" w:sz="1"/>
            </w:tcBorders>
            <w:shd w:fill="D6E4F0" w:color="auto" w:val="clear"/>
            <w:vAlign w:val="top"/>
          </w:tcPr>
          <w:p>
            <w:pPr>
              <w:spacing w:after="40" w:before="40"/>
            </w:pPr>
            <w:r>
              <w:rPr>
                <w:rFonts w:ascii="Arial" w:cs="Arial" w:eastAsia="Arial" w:hAnsi="Arial"/>
                <w:b/>
                <w:bCs/>
                <w:sz w:val="18"/>
                <w:szCs w:val="18"/>
              </w:rPr>
              <w:t xml:space="preserve">Opportunities for Integration:
Write down any possibilities to meaningfully integrate another learning area, special topic, or technology. Write NA if none.</w:t>
            </w:r>
          </w:p>
        </w:tc>
        <w:tc>
          <w:tcPr>
            <w:tcW w:type="pct" w:w="75%"/>
            <w:tcBorders>
              <w:top w:val="single" w:color="000000" w:sz="1"/>
              <w:left w:val="single" w:color="000000" w:sz="1"/>
              <w:bottom w:val="single" w:color="000000" w:sz="1"/>
              <w:right w:val="single" w:color="000000" w:sz="1"/>
            </w:tcBorders>
            <w:vAlign w:val="top"/>
          </w:tcPr>
          <w:p>
            <w:pPr>
              <w:spacing w:after="20" w:before="20"/>
            </w:pPr>
            <w:r>
              <w:rPr>
                <w:rFonts w:ascii="Arial" w:cs="Arial" w:eastAsia="Arial" w:hAnsi="Arial"/>
                <w:sz w:val="18"/>
                <w:szCs w:val="18"/>
              </w:rPr>
              <w:t xml:space="preserve">Cross-Curricular Link: Integration with Earth Science (Atmosphere/Solar Radiation) and Telecommunications Technology (Radio waves &amp; Wi-Fi networks in NCR).</w:t>
            </w:r>
          </w:p>
        </w:tc>
      </w:tr>
    </w:tbl>
    <w:p>
      <w:pPr>
        <w:spacing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000000" w:sz="1"/>
              <w:left w:val="single" w:color="000000" w:sz="1"/>
              <w:bottom w:val="single" w:color="000000" w:sz="1"/>
              <w:right w:val="single" w:color="000000" w:sz="1"/>
            </w:tcBorders>
            <w:shd w:fill="1F4E79" w:color="auto" w:val="clear"/>
            <w:vAlign w:val="center"/>
          </w:tcPr>
          <w:p>
            <w:pPr>
              <w:spacing w:after="60" w:before="60"/>
              <w:jc w:val="center"/>
            </w:pPr>
            <w:r>
              <w:rPr>
                <w:rFonts w:ascii="Arial" w:cs="Arial" w:eastAsia="Arial" w:hAnsi="Arial"/>
                <w:b/>
                <w:bCs/>
                <w:color w:val="FFFFFF"/>
                <w:sz w:val="20"/>
                <w:szCs w:val="20"/>
              </w:rPr>
              <w:t xml:space="preserve">Assessment.</w:t>
            </w:r>
          </w:p>
        </w:tc>
      </w:tr>
      <w:tr>
        <w:tc>
          <w:tcPr>
            <w:gridSpan w:val="2"/>
            <w:tcBorders>
              <w:top w:val="single" w:color="000000" w:sz="1"/>
              <w:left w:val="single" w:color="000000" w:sz="1"/>
              <w:bottom w:val="single" w:color="000000" w:sz="1"/>
              <w:right w:val="single" w:color="000000" w:sz="1"/>
            </w:tcBorders>
            <w:shd w:fill="F2F7FC" w:color="auto" w:val="clear"/>
            <w:vAlign w:val="top"/>
          </w:tcPr>
          <w:p>
            <w:pPr>
              <w:spacing w:after="40" w:before="40"/>
            </w:pPr>
            <w:r>
              <w:rPr>
                <w:rFonts w:ascii="Arial" w:cs="Arial" w:eastAsia="Arial" w:hAnsi="Arial"/>
                <w:i/>
                <w:iCs/>
                <w:color w:val="444444"/>
                <w:sz w:val="16"/>
                <w:szCs w:val="16"/>
              </w:rPr>
              <w:t xml:space="preserve">Assessments reveal what learners have gained and what they still need help with. These are helpful in providing you with information to guide your future instruction throughout the entire session.</w:t>
            </w:r>
          </w:p>
        </w:tc>
      </w:tr>
      <w:tr>
        <w:tc>
          <w:tcPr>
            <w:tcW w:type="pct" w:w="25%"/>
            <w:tcBorders>
              <w:top w:val="single" w:color="000000" w:sz="1"/>
              <w:left w:val="single" w:color="000000" w:sz="1"/>
              <w:bottom w:val="single" w:color="000000" w:sz="1"/>
              <w:right w:val="single" w:color="000000" w:sz="1"/>
            </w:tcBorders>
            <w:shd w:fill="D6E4F0" w:color="auto" w:val="clear"/>
            <w:vAlign w:val="top"/>
          </w:tcPr>
          <w:p>
            <w:pPr>
              <w:spacing w:after="40" w:before="40"/>
            </w:pPr>
            <w:r>
              <w:rPr>
                <w:rFonts w:ascii="Arial" w:cs="Arial" w:eastAsia="Arial" w:hAnsi="Arial"/>
                <w:b/>
                <w:bCs/>
                <w:sz w:val="18"/>
                <w:szCs w:val="18"/>
              </w:rPr>
              <w:t xml:space="preserve">Formative Assessment:
Create a task, activity or questions to evaluate learning and provide feedback. Provide ways for learners to ask for guidance and support.
Remember to provide appropriate accommodation so all learners can demonstrate their understanding (e.g. varied response formats, small group options, visual or auditory supports)</w:t>
            </w:r>
          </w:p>
        </w:tc>
        <w:tc>
          <w:tcPr>
            <w:tcW w:type="pct" w:w="75%"/>
            <w:tcBorders>
              <w:top w:val="single" w:color="000000" w:sz="1"/>
              <w:left w:val="single" w:color="000000" w:sz="1"/>
              <w:bottom w:val="single" w:color="000000" w:sz="1"/>
              <w:right w:val="single" w:color="000000" w:sz="1"/>
            </w:tcBorders>
            <w:vAlign w:val="top"/>
          </w:tcPr>
          <w:p>
            <w:pPr>
              <w:spacing w:after="20" w:before="20"/>
            </w:pPr>
            <w:r>
              <w:rPr>
                <w:rFonts w:ascii="Arial" w:cs="Arial" w:eastAsia="Arial" w:hAnsi="Arial"/>
                <w:sz w:val="18"/>
                <w:szCs w:val="18"/>
              </w:rPr>
              <w:t xml:space="preserve">Targeted Assessment Tasks:</w:t>
            </w:r>
          </w:p>
          <w:p>
            <w:pPr>
              <w:spacing w:after="20" w:before="20"/>
            </w:pPr>
            <w:r>
              <w:rPr>
                <w:rFonts w:ascii="Arial" w:cs="Arial" w:eastAsia="Arial" w:hAnsi="Arial"/>
                <w:sz w:val="18"/>
                <w:szCs w:val="18"/>
              </w:rPr>
              <w:t xml:space="preserve">1. Frustration Level: Basic term-matching or identification activity with visual options and simple Yes/No concept checks.</w:t>
            </w:r>
          </w:p>
          <w:p>
            <w:pPr>
              <w:spacing w:after="20" w:before="20"/>
            </w:pPr>
            <w:r>
              <w:rPr>
                <w:rFonts w:ascii="Arial" w:cs="Arial" w:eastAsia="Arial" w:hAnsi="Arial"/>
                <w:sz w:val="18"/>
                <w:szCs w:val="18"/>
              </w:rPr>
              <w:t xml:space="preserve">2. Instructional Level: In 2-3 sentences, explain the core scientific mechanism and how it travels through space or materials.</w:t>
            </w:r>
          </w:p>
          <w:p>
            <w:pPr>
              <w:spacing w:after="20" w:before="20"/>
            </w:pPr>
            <w:r>
              <w:rPr>
                <w:rFonts w:ascii="Arial" w:cs="Arial" w:eastAsia="Arial" w:hAnsi="Arial"/>
                <w:sz w:val="18"/>
                <w:szCs w:val="18"/>
              </w:rPr>
              <w:t xml:space="preserve">3. Independent Level (HOTS): Evaluate a real-world scenario or construct a short argument analyzing physical phenomena using higher-order thinking skills.</w:t>
            </w:r>
          </w:p>
        </w:tc>
      </w:tr>
    </w:tbl>
    <w:p>
      <w:pPr>
        <w:spacing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000000" w:sz="1"/>
              <w:left w:val="single" w:color="000000" w:sz="1"/>
              <w:bottom w:val="single" w:color="000000" w:sz="1"/>
              <w:right w:val="single" w:color="000000" w:sz="1"/>
            </w:tcBorders>
            <w:shd w:fill="1F4E79" w:color="auto" w:val="clear"/>
            <w:vAlign w:val="center"/>
          </w:tcPr>
          <w:p>
            <w:pPr>
              <w:spacing w:after="60" w:before="60"/>
              <w:jc w:val="center"/>
            </w:pPr>
            <w:r>
              <w:rPr>
                <w:rFonts w:ascii="Arial" w:cs="Arial" w:eastAsia="Arial" w:hAnsi="Arial"/>
                <w:b/>
                <w:bCs/>
                <w:color w:val="FFFFFF"/>
                <w:sz w:val="20"/>
                <w:szCs w:val="20"/>
              </w:rPr>
              <w:t xml:space="preserve">Ways Forward.</w:t>
            </w:r>
          </w:p>
        </w:tc>
      </w:tr>
      <w:tr>
        <w:tc>
          <w:tcPr>
            <w:gridSpan w:val="2"/>
            <w:tcBorders>
              <w:top w:val="single" w:color="000000" w:sz="1"/>
              <w:left w:val="single" w:color="000000" w:sz="1"/>
              <w:bottom w:val="single" w:color="000000" w:sz="1"/>
              <w:right w:val="single" w:color="000000" w:sz="1"/>
            </w:tcBorders>
            <w:shd w:fill="F2F7FC" w:color="auto" w:val="clear"/>
            <w:vAlign w:val="top"/>
          </w:tcPr>
          <w:p>
            <w:pPr>
              <w:spacing w:after="40" w:before="40"/>
            </w:pPr>
            <w:r>
              <w:rPr>
                <w:rFonts w:ascii="Arial" w:cs="Arial" w:eastAsia="Arial" w:hAnsi="Arial"/>
                <w:i/>
                <w:iCs/>
                <w:color w:val="444444"/>
                <w:sz w:val="16"/>
                <w:szCs w:val="16"/>
              </w:rPr>
              <w:t xml:space="preserve">Meaningful learning can also happen beyond the classroom – for both the learners and the teacher. Pause and reflect on what happened today.</w:t>
            </w:r>
          </w:p>
        </w:tc>
      </w:tr>
      <w:tr>
        <w:tc>
          <w:tcPr>
            <w:tcW w:type="pct" w:w="25%"/>
            <w:tcBorders>
              <w:top w:val="single" w:color="000000" w:sz="1"/>
              <w:left w:val="single" w:color="000000" w:sz="1"/>
              <w:bottom w:val="single" w:color="000000" w:sz="1"/>
              <w:right w:val="single" w:color="000000" w:sz="1"/>
            </w:tcBorders>
            <w:shd w:fill="D6E4F0" w:color="auto" w:val="clear"/>
            <w:vAlign w:val="top"/>
          </w:tcPr>
          <w:p>
            <w:pPr>
              <w:spacing w:after="40" w:before="40"/>
            </w:pPr>
            <w:r>
              <w:rPr>
                <w:rFonts w:ascii="Arial" w:cs="Arial" w:eastAsia="Arial" w:hAnsi="Arial"/>
                <w:b/>
                <w:bCs/>
                <w:sz w:val="18"/>
                <w:szCs w:val="18"/>
              </w:rPr>
              <w:t xml:space="preserve">Extended learning opportunities:
Suggest other learning experiences outside the classroom hours that learners may want to access or reinforce what they have learned, to spark their curiosity further, or that may provide them support in areas of difficulty.</w:t>
            </w:r>
          </w:p>
        </w:tc>
        <w:tc>
          <w:tcPr>
            <w:tcW w:type="pct" w:w="75%"/>
            <w:tcBorders>
              <w:top w:val="single" w:color="000000" w:sz="1"/>
              <w:left w:val="single" w:color="000000" w:sz="1"/>
              <w:bottom w:val="single" w:color="000000" w:sz="1"/>
              <w:right w:val="single" w:color="000000" w:sz="1"/>
            </w:tcBorders>
            <w:vAlign w:val="top"/>
          </w:tcPr>
          <w:p>
            <w:pPr>
              <w:spacing w:after="20" w:before="20"/>
            </w:pPr>
            <w:r>
              <w:rPr>
                <w:rFonts w:ascii="Arial" w:cs="Arial" w:eastAsia="Arial" w:hAnsi="Arial"/>
                <w:sz w:val="18"/>
                <w:szCs w:val="18"/>
              </w:rPr>
              <w:t xml:space="preserve">Advanced Readers: Research high-level real-world applications in NCR and prepare a 1-page summary.</w:t>
            </w:r>
          </w:p>
          <w:p>
            <w:pPr>
              <w:spacing w:after="20" w:before="20"/>
            </w:pPr>
            <w:r>
              <w:rPr>
                <w:rFonts w:ascii="Arial" w:cs="Arial" w:eastAsia="Arial" w:hAnsi="Arial"/>
                <w:sz w:val="18"/>
                <w:szCs w:val="18"/>
              </w:rPr>
              <w:t xml:space="preserve">Struggling Readers: Home observation activity: Identify 3 home appliances in Las Piñas that apply today's concept and list their physical interactions.</w:t>
            </w:r>
          </w:p>
        </w:tc>
      </w:tr>
      <w:tr>
        <w:tc>
          <w:tcPr>
            <w:tcW w:type="pct" w:w="25%"/>
            <w:tcBorders>
              <w:top w:val="single" w:color="000000" w:sz="1"/>
              <w:left w:val="single" w:color="000000" w:sz="1"/>
              <w:bottom w:val="single" w:color="000000" w:sz="1"/>
              <w:right w:val="single" w:color="000000" w:sz="1"/>
            </w:tcBorders>
            <w:shd w:fill="D6E4F0" w:color="auto" w:val="clear"/>
            <w:vAlign w:val="top"/>
          </w:tcPr>
          <w:p>
            <w:pPr>
              <w:spacing w:after="40" w:before="40"/>
            </w:pPr>
            <w:r>
              <w:rPr>
                <w:rFonts w:ascii="Arial" w:cs="Arial" w:eastAsia="Arial" w:hAnsi="Arial"/>
                <w:b/>
                <w:bCs/>
                <w:sz w:val="18"/>
                <w:szCs w:val="18"/>
              </w:rPr>
              <w:t xml:space="preserve">Reflections:
Think about what you need to change for the next session based on what happened today. Is there something the learners are interested in exploring? Are there some things you would like to share with your co-teachers’ parents or school leaders about your classroom experience? What would you like your instructional coach to help you with?</w:t>
            </w:r>
          </w:p>
        </w:tc>
        <w:tc>
          <w:tcPr>
            <w:tcW w:type="pct" w:w="75%"/>
            <w:tcBorders>
              <w:top w:val="single" w:color="000000" w:sz="1"/>
              <w:left w:val="single" w:color="000000" w:sz="1"/>
              <w:bottom w:val="single" w:color="000000" w:sz="1"/>
              <w:right w:val="single" w:color="000000" w:sz="1"/>
            </w:tcBorders>
            <w:vAlign w:val="top"/>
          </w:tcPr>
          <w:p>
            <w:pPr>
              <w:spacing w:after="20" w:before="20"/>
            </w:pPr>
            <w:r>
              <w:rPr>
                <w:rFonts w:ascii="Arial" w:cs="Arial" w:eastAsia="Arial" w:hAnsi="Arial"/>
                <w:sz w:val="18"/>
                <w:szCs w:val="18"/>
              </w:rPr>
              <w:t xml:space="preserve">Teacher Reflective Prompts:</w:t>
            </w:r>
          </w:p>
          <w:p>
            <w:pPr>
              <w:spacing w:after="20" w:before="20"/>
            </w:pPr>
            <w:r>
              <w:rPr>
                <w:rFonts w:ascii="Arial" w:cs="Arial" w:eastAsia="Arial" w:hAnsi="Arial"/>
                <w:sz w:val="18"/>
                <w:szCs w:val="18"/>
              </w:rPr>
              <w:t xml:space="preserve">1. Did direct modeling effectively clarify the target concept within the tight time frame?</w:t>
            </w:r>
          </w:p>
          <w:p>
            <w:pPr>
              <w:spacing w:after="20" w:before="20"/>
            </w:pPr>
            <w:r>
              <w:rPr>
                <w:rFonts w:ascii="Arial" w:cs="Arial" w:eastAsia="Arial" w:hAnsi="Arial"/>
                <w:sz w:val="18"/>
                <w:szCs w:val="18"/>
              </w:rPr>
              <w:t xml:space="preserve">2. Were students at the Frustration Level able to grasp core ideas through visual scaffolding?</w:t>
            </w:r>
          </w:p>
          <w:p>
            <w:pPr>
              <w:spacing w:after="20" w:before="20"/>
            </w:pPr>
            <w:r>
              <w:rPr>
                <w:rFonts w:ascii="Arial" w:cs="Arial" w:eastAsia="Arial" w:hAnsi="Arial"/>
                <w:sz w:val="18"/>
                <w:szCs w:val="18"/>
              </w:rPr>
              <w:t xml:space="preserve">3. Instructional Coach Discussion Item: How can I further optimize direct modeling strategies for abstract concepts within a single 45-minute session?</w:t>
            </w:r>
          </w:p>
        </w:tc>
      </w:tr>
    </w:tbl>
    <w:p>
      <w:pPr>
        <w:spacing w:before="120"/>
      </w:pPr>
    </w:p>
    <w:p>
      <w:pPr>
        <w:spacing w:after="120" w:before="60"/>
        <w:jc w:val="left"/>
      </w:pPr>
      <w:r>
        <w:rPr>
          <w:rFonts w:ascii="Arial" w:cs="Arial" w:eastAsia="Arial" w:hAnsi="Arial"/>
          <w:sz w:val="18"/>
          <w:szCs w:val="18"/>
        </w:rPr>
        <w:t xml:space="preserve">Prepared:</w:t>
      </w:r>
    </w:p>
    <w:p>
      <w:pPr>
        <w:spacing w:after="20" w:before="40"/>
        <w:jc w:val="center"/>
      </w:pPr>
      <w:r>
        <w:rPr>
          <w:rFonts w:ascii="Arial" w:cs="Arial" w:eastAsia="Arial" w:hAnsi="Arial"/>
          <w:b/>
          <w:bCs/>
          <w:sz w:val="18"/>
          <w:szCs w:val="18"/>
        </w:rPr>
        <w:t xml:space="preserve">[Teacher Name]</w:t>
      </w:r>
    </w:p>
    <w:p>
      <w:pPr>
        <w:spacing w:after="20"/>
        <w:jc w:val="center"/>
      </w:pPr>
      <w:r>
        <w:rPr>
          <w:rFonts w:ascii="Arial" w:cs="Arial" w:eastAsia="Arial" w:hAnsi="Arial"/>
          <w:sz w:val="18"/>
          <w:szCs w:val="18"/>
        </w:rPr>
        <w:t xml:space="preserve">_________________________________________</w:t>
      </w:r>
    </w:p>
    <w:p>
      <w:pPr>
        <w:spacing w:after="60"/>
        <w:jc w:val="center"/>
      </w:pPr>
      <w:r>
        <w:rPr>
          <w:rFonts w:ascii="Arial" w:cs="Arial" w:eastAsia="Arial" w:hAnsi="Arial"/>
          <w:sz w:val="18"/>
          <w:szCs w:val="18"/>
        </w:rPr>
        <w:t xml:space="preserve">Teacher III</w:t>
      </w:r>
    </w:p>
    <w:p>
      <w:pPr>
        <w:spacing w:before="120"/>
      </w:pPr>
    </w:p>
    <w:p>
      <w:pPr>
        <w:spacing w:after="60" w:before="40"/>
        <w:jc w:val="left"/>
      </w:pPr>
      <w:r>
        <w:rPr>
          <w:rFonts w:ascii="Arial" w:cs="Arial" w:eastAsia="Arial" w:hAnsi="Arial"/>
          <w:sz w:val="18"/>
          <w:szCs w:val="18"/>
        </w:rPr>
        <w:t xml:space="preserve">Checked &amp; Reviewed: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tcBorders>
              <w:top w:val="none" w:sz="0"/>
              <w:left w:val="none" w:sz="0"/>
              <w:bottom w:val="none" w:sz="0"/>
              <w:right w:val="none" w:sz="0"/>
            </w:tcBorders>
            <w:vAlign w:val="center"/>
          </w:tcPr>
          <w:p>
            <w:pPr>
              <w:spacing w:after="20" w:before="20"/>
              <w:jc w:val="center"/>
            </w:pPr>
            <w:r>
              <w:rPr>
                <w:rFonts w:ascii="Arial" w:cs="Arial" w:eastAsia="Arial" w:hAnsi="Arial"/>
                <w:b/>
                <w:bCs/>
                <w:sz w:val="18"/>
                <w:szCs w:val="18"/>
              </w:rPr>
              <w:t xml:space="preserve">TRIXIA A. PALMOS</w:t>
            </w:r>
          </w:p>
        </w:tc>
        <w:tc>
          <w:tcPr>
            <w:tcW w:type="pct" w:w="33%"/>
            <w:tcBorders>
              <w:top w:val="none" w:sz="0"/>
              <w:left w:val="none" w:sz="0"/>
              <w:bottom w:val="none" w:sz="0"/>
              <w:right w:val="none" w:sz="0"/>
            </w:tcBorders>
            <w:vAlign w:val="center"/>
          </w:tcPr>
          <w:p>
            <w:pPr>
              <w:spacing w:after="20" w:before="20"/>
              <w:jc w:val="center"/>
            </w:pPr>
            <w:r>
              <w:rPr>
                <w:rFonts w:ascii="Arial" w:cs="Arial" w:eastAsia="Arial" w:hAnsi="Arial"/>
                <w:b/>
                <w:bCs/>
                <w:sz w:val="18"/>
                <w:szCs w:val="18"/>
              </w:rPr>
              <w:t xml:space="preserve">CARMELITA G. YAP</w:t>
            </w:r>
          </w:p>
        </w:tc>
        <w:tc>
          <w:tcPr>
            <w:tcW w:type="pct" w:w="33%"/>
            <w:tcBorders>
              <w:top w:val="none" w:sz="0"/>
              <w:left w:val="none" w:sz="0"/>
              <w:bottom w:val="none" w:sz="0"/>
              <w:right w:val="none" w:sz="0"/>
            </w:tcBorders>
            <w:vAlign w:val="center"/>
          </w:tcPr>
          <w:p>
            <w:pPr>
              <w:spacing w:after="20" w:before="20"/>
              <w:jc w:val="center"/>
            </w:pPr>
            <w:r>
              <w:rPr>
                <w:rFonts w:ascii="Arial" w:cs="Arial" w:eastAsia="Arial" w:hAnsi="Arial"/>
                <w:b/>
                <w:bCs/>
                <w:sz w:val="18"/>
                <w:szCs w:val="18"/>
              </w:rPr>
              <w:t xml:space="preserve">Jeanette J. Ruga, Ph.D.</w:t>
            </w:r>
          </w:p>
        </w:tc>
      </w:tr>
      <w:tr>
        <w:tc>
          <w:tcPr>
            <w:tcW w:type="pct" w:w="33%"/>
            <w:tcBorders>
              <w:top w:val="none" w:sz="0"/>
              <w:left w:val="none" w:sz="0"/>
              <w:bottom w:val="none" w:sz="0"/>
              <w:right w:val="none" w:sz="0"/>
            </w:tcBorders>
            <w:vAlign w:val="center"/>
          </w:tcPr>
          <w:p>
            <w:pPr>
              <w:spacing w:after="10" w:before="10"/>
              <w:jc w:val="center"/>
            </w:pPr>
            <w:r>
              <w:rPr>
                <w:rFonts w:ascii="Arial" w:cs="Arial" w:eastAsia="Arial" w:hAnsi="Arial"/>
                <w:sz w:val="18"/>
                <w:szCs w:val="18"/>
              </w:rPr>
              <w:t xml:space="preserve">___________________________________</w:t>
            </w:r>
          </w:p>
        </w:tc>
        <w:tc>
          <w:tcPr>
            <w:tcW w:type="pct" w:w="33%"/>
            <w:tcBorders>
              <w:top w:val="none" w:sz="0"/>
              <w:left w:val="none" w:sz="0"/>
              <w:bottom w:val="none" w:sz="0"/>
              <w:right w:val="none" w:sz="0"/>
            </w:tcBorders>
            <w:vAlign w:val="center"/>
          </w:tcPr>
          <w:p>
            <w:pPr>
              <w:spacing w:after="10" w:before="10"/>
              <w:jc w:val="center"/>
            </w:pPr>
            <w:r>
              <w:rPr>
                <w:rFonts w:ascii="Arial" w:cs="Arial" w:eastAsia="Arial" w:hAnsi="Arial"/>
                <w:sz w:val="18"/>
                <w:szCs w:val="18"/>
              </w:rPr>
              <w:t xml:space="preserve">___________________________________</w:t>
            </w:r>
          </w:p>
        </w:tc>
        <w:tc>
          <w:tcPr>
            <w:tcW w:type="pct" w:w="33%"/>
            <w:tcBorders>
              <w:top w:val="none" w:sz="0"/>
              <w:left w:val="none" w:sz="0"/>
              <w:bottom w:val="none" w:sz="0"/>
              <w:right w:val="none" w:sz="0"/>
            </w:tcBorders>
            <w:vAlign w:val="center"/>
          </w:tcPr>
          <w:p>
            <w:pPr>
              <w:spacing w:after="10" w:before="10"/>
              <w:jc w:val="center"/>
            </w:pPr>
            <w:r>
              <w:rPr>
                <w:rFonts w:ascii="Arial" w:cs="Arial" w:eastAsia="Arial" w:hAnsi="Arial"/>
                <w:sz w:val="18"/>
                <w:szCs w:val="18"/>
              </w:rPr>
              <w:t xml:space="preserve">___________________________________</w:t>
            </w:r>
          </w:p>
        </w:tc>
      </w:tr>
      <w:tr>
        <w:tc>
          <w:tcPr>
            <w:tcW w:type="pct" w:w="33%"/>
            <w:tcBorders>
              <w:top w:val="none" w:sz="0"/>
              <w:left w:val="none" w:sz="0"/>
              <w:bottom w:val="none" w:sz="0"/>
              <w:right w:val="none" w:sz="0"/>
            </w:tcBorders>
            <w:vAlign w:val="center"/>
          </w:tcPr>
          <w:p>
            <w:pPr>
              <w:spacing w:after="10" w:before="10"/>
              <w:jc w:val="center"/>
            </w:pPr>
            <w:r>
              <w:rPr>
                <w:rFonts w:ascii="Arial" w:cs="Arial" w:eastAsia="Arial" w:hAnsi="Arial"/>
                <w:i/>
                <w:iCs/>
                <w:sz w:val="16"/>
                <w:szCs w:val="16"/>
              </w:rPr>
              <w:t xml:space="preserve">Master Teacher II - Science</w:t>
            </w:r>
          </w:p>
        </w:tc>
        <w:tc>
          <w:tcPr>
            <w:tcW w:type="pct" w:w="33%"/>
            <w:tcBorders>
              <w:top w:val="none" w:sz="0"/>
              <w:left w:val="none" w:sz="0"/>
              <w:bottom w:val="none" w:sz="0"/>
              <w:right w:val="none" w:sz="0"/>
            </w:tcBorders>
            <w:vAlign w:val="center"/>
          </w:tcPr>
          <w:p>
            <w:pPr>
              <w:spacing w:after="10" w:before="10"/>
              <w:jc w:val="center"/>
            </w:pPr>
            <w:r>
              <w:rPr>
                <w:rFonts w:ascii="Arial" w:cs="Arial" w:eastAsia="Arial" w:hAnsi="Arial"/>
                <w:i/>
                <w:iCs/>
                <w:sz w:val="16"/>
                <w:szCs w:val="16"/>
              </w:rPr>
              <w:t xml:space="preserve">SCIENCE Coordinator</w:t>
            </w:r>
          </w:p>
        </w:tc>
        <w:tc>
          <w:tcPr>
            <w:tcW w:type="pct" w:w="33%"/>
            <w:tcBorders>
              <w:top w:val="none" w:sz="0"/>
              <w:left w:val="none" w:sz="0"/>
              <w:bottom w:val="none" w:sz="0"/>
              <w:right w:val="none" w:sz="0"/>
            </w:tcBorders>
            <w:vAlign w:val="center"/>
          </w:tcPr>
          <w:p>
            <w:pPr>
              <w:spacing w:after="10" w:before="10"/>
              <w:jc w:val="center"/>
            </w:pPr>
            <w:r>
              <w:rPr>
                <w:rFonts w:ascii="Arial" w:cs="Arial" w:eastAsia="Arial" w:hAnsi="Arial"/>
                <w:i/>
                <w:iCs/>
                <w:sz w:val="16"/>
                <w:szCs w:val="16"/>
              </w:rPr>
              <w:t xml:space="preserve">Assistant School Principal II
Officer – in – Charge</w:t>
            </w:r>
          </w:p>
        </w:tc>
      </w:tr>
    </w:tbl>
    <w:p>
      <w:pPr>
        <w:spacing w:before="120"/>
      </w:pPr>
    </w:p>
    <w:p>
      <w:pPr>
        <w:spacing w:after="60" w:before="40"/>
        <w:jc w:val="left"/>
      </w:pPr>
      <w:r>
        <w:rPr>
          <w:rFonts w:ascii="Arial" w:cs="Arial" w:eastAsia="Arial" w:hAnsi="Arial"/>
          <w:sz w:val="18"/>
          <w:szCs w:val="18"/>
        </w:rPr>
        <w:t xml:space="preserve">Noted: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3%"/>
            <w:tcBorders>
              <w:top w:val="none" w:sz="0"/>
              <w:left w:val="none" w:sz="0"/>
              <w:bottom w:val="none" w:sz="0"/>
              <w:right w:val="none" w:sz="0"/>
            </w:tcBorders>
            <w:vAlign w:val="center"/>
          </w:tcPr>
          <w:p>
            <w:pPr>
              <w:spacing w:after="20" w:before="20"/>
              <w:jc w:val="center"/>
            </w:pPr>
            <w:r>
              <w:rPr>
                <w:rFonts w:ascii="Arial" w:cs="Arial" w:eastAsia="Arial" w:hAnsi="Arial"/>
                <w:b/>
                <w:bCs/>
                <w:sz w:val="18"/>
                <w:szCs w:val="18"/>
              </w:rPr>
              <w:t xml:space="preserve">MILDRED T. TUBLE</w:t>
            </w:r>
          </w:p>
        </w:tc>
        <w:tc>
          <w:tcPr>
            <w:tcW w:type="pct" w:w="33%"/>
            <w:tcBorders>
              <w:top w:val="none" w:sz="0"/>
              <w:left w:val="none" w:sz="0"/>
              <w:bottom w:val="none" w:sz="0"/>
              <w:right w:val="none" w:sz="0"/>
            </w:tcBorders>
            <w:vAlign w:val="center"/>
          </w:tcPr>
          <w:p>
            <w:pPr>
              <w:spacing w:after="20" w:before="20"/>
              <w:jc w:val="center"/>
            </w:pPr>
            <w:r>
              <w:rPr>
                <w:rFonts w:ascii="Arial" w:cs="Arial" w:eastAsia="Arial" w:hAnsi="Arial"/>
                <w:b/>
                <w:bCs/>
                <w:sz w:val="18"/>
                <w:szCs w:val="18"/>
              </w:rPr>
              <w:t xml:space="preserve">GENOVIE G. TAGUM, Ph.D.</w:t>
            </w:r>
          </w:p>
        </w:tc>
      </w:tr>
      <w:tr>
        <w:tc>
          <w:tcPr>
            <w:tcW w:type="pct" w:w="33%"/>
            <w:tcBorders>
              <w:top w:val="none" w:sz="0"/>
              <w:left w:val="none" w:sz="0"/>
              <w:bottom w:val="none" w:sz="0"/>
              <w:right w:val="none" w:sz="0"/>
            </w:tcBorders>
            <w:vAlign w:val="center"/>
          </w:tcPr>
          <w:p>
            <w:pPr>
              <w:spacing w:after="10" w:before="10"/>
              <w:jc w:val="center"/>
            </w:pPr>
            <w:r>
              <w:rPr>
                <w:rFonts w:ascii="Arial" w:cs="Arial" w:eastAsia="Arial" w:hAnsi="Arial"/>
                <w:sz w:val="18"/>
                <w:szCs w:val="18"/>
              </w:rPr>
              <w:t xml:space="preserve">___________________________________</w:t>
            </w:r>
          </w:p>
        </w:tc>
        <w:tc>
          <w:tcPr>
            <w:tcW w:type="pct" w:w="33%"/>
            <w:tcBorders>
              <w:top w:val="none" w:sz="0"/>
              <w:left w:val="none" w:sz="0"/>
              <w:bottom w:val="none" w:sz="0"/>
              <w:right w:val="none" w:sz="0"/>
            </w:tcBorders>
            <w:vAlign w:val="center"/>
          </w:tcPr>
          <w:p>
            <w:pPr>
              <w:spacing w:after="10" w:before="10"/>
              <w:jc w:val="center"/>
            </w:pPr>
            <w:r>
              <w:rPr>
                <w:rFonts w:ascii="Arial" w:cs="Arial" w:eastAsia="Arial" w:hAnsi="Arial"/>
                <w:sz w:val="18"/>
                <w:szCs w:val="18"/>
              </w:rPr>
              <w:t xml:space="preserve">___________________________________</w:t>
            </w:r>
          </w:p>
        </w:tc>
      </w:tr>
      <w:tr>
        <w:tc>
          <w:tcPr>
            <w:tcW w:type="pct" w:w="33%"/>
            <w:tcBorders>
              <w:top w:val="none" w:sz="0"/>
              <w:left w:val="none" w:sz="0"/>
              <w:bottom w:val="none" w:sz="0"/>
              <w:right w:val="none" w:sz="0"/>
            </w:tcBorders>
            <w:vAlign w:val="center"/>
          </w:tcPr>
          <w:p>
            <w:pPr>
              <w:spacing w:after="10" w:before="10"/>
              <w:jc w:val="center"/>
            </w:pPr>
            <w:r>
              <w:rPr>
                <w:rFonts w:ascii="Arial" w:cs="Arial" w:eastAsia="Arial" w:hAnsi="Arial"/>
                <w:i/>
                <w:iCs/>
                <w:sz w:val="16"/>
                <w:szCs w:val="16"/>
              </w:rPr>
              <w:t xml:space="preserve">Public Schools District Supervisor – Cluster I</w:t>
            </w:r>
          </w:p>
        </w:tc>
        <w:tc>
          <w:tcPr>
            <w:tcW w:type="pct" w:w="33%"/>
            <w:tcBorders>
              <w:top w:val="none" w:sz="0"/>
              <w:left w:val="none" w:sz="0"/>
              <w:bottom w:val="none" w:sz="0"/>
              <w:right w:val="none" w:sz="0"/>
            </w:tcBorders>
            <w:vAlign w:val="center"/>
          </w:tcPr>
          <w:p>
            <w:pPr>
              <w:spacing w:after="10" w:before="10"/>
              <w:jc w:val="center"/>
            </w:pPr>
            <w:r>
              <w:rPr>
                <w:rFonts w:ascii="Arial" w:cs="Arial" w:eastAsia="Arial" w:hAnsi="Arial"/>
                <w:i/>
                <w:iCs/>
                <w:sz w:val="16"/>
                <w:szCs w:val="16"/>
              </w:rPr>
              <w:t xml:space="preserve">Education Program Supervisor – SCIENCE</w:t>
            </w:r>
          </w:p>
        </w:tc>
      </w:tr>
    </w:tbl>
    <w:p>
      <w:pPr>
        <w:spacing w:before="120"/>
      </w:pPr>
    </w:p>
    <w:p>
      <w:pPr>
        <w:jc w:val="center"/>
      </w:pPr>
      <w:r>
        <w:rPr>
          <w:rFonts w:ascii="Arial" w:cs="Arial" w:eastAsia="Arial" w:hAnsi="Arial"/>
          <w:i/>
          <w:iCs/>
          <w:color w:val="808080"/>
          <w:sz w:val="16"/>
          <w:szCs w:val="16"/>
        </w:rPr>
        <w:t xml:space="preserve">— End of Daily Lesson Plan —</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DLP - Wave After Wave: Comparing the Electromagnetic Spectrum</dc:title>
  <dc:creator>DepEd DLP Generator</dc:creator>
  <dc:description>Science 9 Daily Lesson Plan - July 24, 2026</dc:description>
  <cp:lastModifiedBy>Un-named</cp:lastModifiedBy>
  <cp:revision>1</cp:revision>
  <dcterms:created xsi:type="dcterms:W3CDTF">2026-07-24T09:11:28.760Z</dcterms:created>
  <dcterms:modified xsi:type="dcterms:W3CDTF">2026-07-24T09:11:28.761Z</dcterms:modified>
</cp:coreProperties>
</file>

<file path=docProps/custom.xml><?xml version="1.0" encoding="utf-8"?>
<Properties xmlns="http://schemas.openxmlformats.org/officeDocument/2006/custom-properties" xmlns:vt="http://schemas.openxmlformats.org/officeDocument/2006/docPropsVTypes"/>
</file>