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E143D" w:rsidRPr="00E22790" w:rsidRDefault="005E143D" w:rsidP="005E143D">
      <w:pPr>
        <w:jc w:val="center"/>
        <w:rPr>
          <w:b/>
          <w:bCs/>
          <w:sz w:val="40"/>
          <w:szCs w:val="40"/>
        </w:rPr>
      </w:pPr>
      <w:r w:rsidRPr="00E22790">
        <w:rPr>
          <w:b/>
          <w:bCs/>
          <w:sz w:val="40"/>
          <w:szCs w:val="40"/>
        </w:rPr>
        <w:t xml:space="preserve">République Algérienne Démocratique et Populaire </w:t>
      </w:r>
    </w:p>
    <w:p w:rsidR="005E143D" w:rsidRPr="00E22790" w:rsidRDefault="005E143D" w:rsidP="005E143D">
      <w:pPr>
        <w:jc w:val="center"/>
        <w:rPr>
          <w:b/>
          <w:bCs/>
          <w:sz w:val="40"/>
          <w:szCs w:val="40"/>
        </w:rPr>
      </w:pPr>
      <w:r w:rsidRPr="00E22790">
        <w:rPr>
          <w:b/>
          <w:bCs/>
          <w:sz w:val="40"/>
          <w:szCs w:val="40"/>
        </w:rPr>
        <w:t>Université de médecine d’Alger</w:t>
      </w:r>
    </w:p>
    <w:p w:rsidR="005E143D" w:rsidRPr="00E22790" w:rsidRDefault="005E143D" w:rsidP="005E143D">
      <w:pPr>
        <w:jc w:val="center"/>
        <w:rPr>
          <w:b/>
          <w:bCs/>
          <w:sz w:val="40"/>
          <w:szCs w:val="40"/>
        </w:rPr>
      </w:pPr>
      <w:r w:rsidRPr="00E22790">
        <w:rPr>
          <w:b/>
          <w:bCs/>
          <w:sz w:val="40"/>
          <w:szCs w:val="40"/>
        </w:rPr>
        <w:t xml:space="preserve"> Département De Médecine Dentaire</w:t>
      </w:r>
    </w:p>
    <w:p w:rsidR="005E143D" w:rsidRDefault="005E143D" w:rsidP="005E143D">
      <w:pPr>
        <w:jc w:val="center"/>
      </w:pPr>
    </w:p>
    <w:p w:rsidR="005E143D" w:rsidRDefault="005E143D" w:rsidP="005E143D">
      <w:pPr>
        <w:jc w:val="center"/>
      </w:pPr>
    </w:p>
    <w:p w:rsidR="005E143D" w:rsidRDefault="005E143D" w:rsidP="005E143D">
      <w:pPr>
        <w:jc w:val="center"/>
      </w:pPr>
    </w:p>
    <w:p w:rsidR="005E143D" w:rsidRDefault="005E143D" w:rsidP="005E143D">
      <w:pPr>
        <w:jc w:val="center"/>
      </w:pPr>
    </w:p>
    <w:p w:rsidR="00E22790" w:rsidRDefault="00E22790" w:rsidP="005E143D">
      <w:pPr>
        <w:jc w:val="center"/>
      </w:pPr>
    </w:p>
    <w:p w:rsidR="00E22790" w:rsidRDefault="00E22790" w:rsidP="005E143D">
      <w:pPr>
        <w:jc w:val="center"/>
      </w:pPr>
    </w:p>
    <w:p w:rsidR="005E143D" w:rsidRPr="00E22790" w:rsidRDefault="005E143D" w:rsidP="005E143D">
      <w:pPr>
        <w:jc w:val="center"/>
        <w:rPr>
          <w:sz w:val="36"/>
          <w:szCs w:val="36"/>
        </w:rPr>
      </w:pPr>
    </w:p>
    <w:p w:rsidR="005E143D" w:rsidRPr="00E22790" w:rsidRDefault="005E143D" w:rsidP="005E143D">
      <w:pPr>
        <w:jc w:val="center"/>
        <w:rPr>
          <w:b/>
          <w:bCs/>
          <w:sz w:val="36"/>
          <w:szCs w:val="36"/>
        </w:rPr>
      </w:pPr>
      <w:r w:rsidRPr="00E22790">
        <w:rPr>
          <w:b/>
          <w:bCs/>
          <w:sz w:val="36"/>
          <w:szCs w:val="36"/>
        </w:rPr>
        <w:t>Classification et formes cliniques des maladies parodontales</w:t>
      </w:r>
    </w:p>
    <w:p w:rsidR="005E143D" w:rsidRDefault="005E143D">
      <w:pPr>
        <w:rPr>
          <w:b/>
          <w:bCs/>
          <w:sz w:val="28"/>
          <w:szCs w:val="28"/>
        </w:rPr>
      </w:pPr>
    </w:p>
    <w:p w:rsidR="005E143D" w:rsidRDefault="005E143D">
      <w:pPr>
        <w:rPr>
          <w:b/>
          <w:bCs/>
          <w:sz w:val="28"/>
          <w:szCs w:val="28"/>
        </w:rPr>
      </w:pPr>
    </w:p>
    <w:p w:rsidR="005E143D" w:rsidRDefault="005E143D">
      <w:pPr>
        <w:rPr>
          <w:b/>
          <w:bCs/>
          <w:sz w:val="28"/>
          <w:szCs w:val="28"/>
        </w:rPr>
      </w:pPr>
    </w:p>
    <w:p w:rsidR="005E143D" w:rsidRDefault="005E143D">
      <w:pPr>
        <w:rPr>
          <w:b/>
          <w:bCs/>
          <w:sz w:val="28"/>
          <w:szCs w:val="28"/>
        </w:rPr>
      </w:pPr>
    </w:p>
    <w:p w:rsidR="00E22790" w:rsidRDefault="00E22790">
      <w:pPr>
        <w:rPr>
          <w:b/>
          <w:bCs/>
          <w:sz w:val="28"/>
          <w:szCs w:val="28"/>
        </w:rPr>
      </w:pPr>
    </w:p>
    <w:p w:rsidR="00E22790" w:rsidRDefault="00E22790">
      <w:pPr>
        <w:rPr>
          <w:b/>
          <w:bCs/>
          <w:sz w:val="28"/>
          <w:szCs w:val="28"/>
        </w:rPr>
      </w:pPr>
    </w:p>
    <w:p w:rsidR="00E22790" w:rsidRDefault="00E22790">
      <w:pPr>
        <w:rPr>
          <w:b/>
          <w:bCs/>
          <w:sz w:val="28"/>
          <w:szCs w:val="28"/>
        </w:rPr>
      </w:pPr>
    </w:p>
    <w:p w:rsidR="00E22790" w:rsidRDefault="00E22790">
      <w:pPr>
        <w:rPr>
          <w:b/>
          <w:bCs/>
          <w:sz w:val="28"/>
          <w:szCs w:val="28"/>
        </w:rPr>
      </w:pPr>
    </w:p>
    <w:p w:rsidR="00E22790" w:rsidRDefault="00E22790">
      <w:pPr>
        <w:rPr>
          <w:b/>
          <w:bCs/>
          <w:sz w:val="28"/>
          <w:szCs w:val="28"/>
        </w:rPr>
      </w:pPr>
    </w:p>
    <w:p w:rsidR="00E22790" w:rsidRDefault="00E22790">
      <w:pPr>
        <w:rPr>
          <w:b/>
          <w:bCs/>
          <w:sz w:val="28"/>
          <w:szCs w:val="28"/>
        </w:rPr>
      </w:pPr>
    </w:p>
    <w:p w:rsidR="00E22790" w:rsidRDefault="00E22790">
      <w:pPr>
        <w:rPr>
          <w:b/>
          <w:bCs/>
          <w:sz w:val="28"/>
          <w:szCs w:val="28"/>
        </w:rPr>
      </w:pPr>
    </w:p>
    <w:p w:rsidR="005E143D" w:rsidRDefault="00E22790">
      <w:pPr>
        <w:rPr>
          <w:b/>
          <w:bCs/>
          <w:sz w:val="28"/>
          <w:szCs w:val="28"/>
        </w:rPr>
      </w:pPr>
      <w:r w:rsidRPr="00E22790">
        <w:rPr>
          <w:b/>
          <w:bCs/>
          <w:noProof/>
          <w:sz w:val="28"/>
          <w:szCs w:val="28"/>
        </w:rPr>
        <mc:AlternateContent>
          <mc:Choice Requires="wps">
            <w:drawing>
              <wp:anchor distT="45720" distB="45720" distL="114300" distR="114300" simplePos="0" relativeHeight="251661312" behindDoc="0" locked="0" layoutInCell="1" allowOverlap="1">
                <wp:simplePos x="0" y="0"/>
                <wp:positionH relativeFrom="page">
                  <wp:posOffset>4177030</wp:posOffset>
                </wp:positionH>
                <wp:positionV relativeFrom="paragraph">
                  <wp:posOffset>476885</wp:posOffset>
                </wp:positionV>
                <wp:extent cx="3026410" cy="1404620"/>
                <wp:effectExtent l="0" t="0" r="21590" b="25400"/>
                <wp:wrapSquare wrapText="bothSides"/>
                <wp:docPr id="187119351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6410" cy="1404620"/>
                        </a:xfrm>
                        <a:prstGeom prst="rect">
                          <a:avLst/>
                        </a:prstGeom>
                        <a:solidFill>
                          <a:srgbClr val="FFFFFF"/>
                        </a:solidFill>
                        <a:ln w="9525">
                          <a:solidFill>
                            <a:srgbClr val="000000"/>
                          </a:solidFill>
                          <a:miter lim="800000"/>
                          <a:headEnd/>
                          <a:tailEnd/>
                        </a:ln>
                      </wps:spPr>
                      <wps:txbx>
                        <w:txbxContent>
                          <w:p w:rsidR="00E22790" w:rsidRPr="00E22790" w:rsidRDefault="00E22790" w:rsidP="00E22790">
                            <w:pPr>
                              <w:jc w:val="center"/>
                              <w:rPr>
                                <w:b/>
                                <w:bCs/>
                                <w:sz w:val="32"/>
                                <w:szCs w:val="32"/>
                              </w:rPr>
                            </w:pPr>
                            <w:r w:rsidRPr="00E22790">
                              <w:rPr>
                                <w:b/>
                                <w:bCs/>
                                <w:sz w:val="32"/>
                                <w:szCs w:val="32"/>
                              </w:rPr>
                              <w:t>Année universitaire 2024/2025</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Zone de texte 2" o:spid="_x0000_s1026" type="#_x0000_t202" style="position:absolute;margin-left:328.9pt;margin-top:37.55pt;width:238.3pt;height:110.6pt;z-index:251661312;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">
                <v:textbox style="mso-fit-shape-to-text:t">
                  <w:txbxContent>
                    <w:p w:rsidR="00E22790" w:rsidRPr="00E22790" w:rsidRDefault="00E22790" w:rsidP="00E22790">
                      <w:pPr>
                        <w:jc w:val="center"/>
                        <w:rPr>
                          <w:b/>
                          <w:bCs/>
                          <w:sz w:val="32"/>
                          <w:szCs w:val="32"/>
                        </w:rPr>
                      </w:pPr>
                      <w:r w:rsidRPr="00E22790">
                        <w:rPr>
                          <w:b/>
                          <w:bCs/>
                          <w:sz w:val="32"/>
                          <w:szCs w:val="32"/>
                        </w:rPr>
                        <w:t>Année universitaire 2024/2025</w:t>
                      </w:r>
                    </w:p>
                  </w:txbxContent>
                </v:textbox>
                <w10:wrap type="square" anchorx="page"/>
              </v:shape>
            </w:pict>
          </mc:Fallback>
        </mc:AlternateContent>
      </w:r>
      <w:r w:rsidRPr="00E22790">
        <w:rPr>
          <w:b/>
          <w:bCs/>
          <w:noProof/>
          <w:sz w:val="28"/>
          <w:szCs w:val="28"/>
        </w:rPr>
        <mc:AlternateContent>
          <mc:Choice Requires="wps">
            <w:drawing>
              <wp:anchor distT="45720" distB="45720" distL="114300" distR="114300" simplePos="0" relativeHeight="251659264" behindDoc="0" locked="0" layoutInCell="1" allowOverlap="1">
                <wp:simplePos x="0" y="0"/>
                <wp:positionH relativeFrom="column">
                  <wp:posOffset>-489585</wp:posOffset>
                </wp:positionH>
                <wp:positionV relativeFrom="paragraph">
                  <wp:posOffset>452120</wp:posOffset>
                </wp:positionV>
                <wp:extent cx="2360930" cy="1404620"/>
                <wp:effectExtent l="0" t="0" r="22860" b="1143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rsidR="00E22790" w:rsidRPr="00E22790" w:rsidRDefault="00E22790" w:rsidP="00E22790">
                            <w:pPr>
                              <w:jc w:val="center"/>
                              <w:rPr>
                                <w:b/>
                                <w:bCs/>
                                <w:sz w:val="32"/>
                                <w:szCs w:val="32"/>
                              </w:rPr>
                            </w:pPr>
                            <w:r w:rsidRPr="00E22790">
                              <w:rPr>
                                <w:b/>
                                <w:bCs/>
                                <w:sz w:val="32"/>
                                <w:szCs w:val="32"/>
                              </w:rPr>
                              <w:t>DR F. KHALFA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_x0000_s1027" type="#_x0000_t202" style="position:absolute;margin-left:-38.55pt;margin-top:35.6pt;width:185.9pt;height:110.6pt;z-index:2516592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">
                <v:textbox style="mso-fit-shape-to-text:t">
                  <w:txbxContent>
                    <w:p w:rsidR="00E22790" w:rsidRPr="00E22790" w:rsidRDefault="00E22790" w:rsidP="00E22790">
                      <w:pPr>
                        <w:jc w:val="center"/>
                        <w:rPr>
                          <w:b/>
                          <w:bCs/>
                          <w:sz w:val="32"/>
                          <w:szCs w:val="32"/>
                        </w:rPr>
                      </w:pPr>
                      <w:r w:rsidRPr="00E22790">
                        <w:rPr>
                          <w:b/>
                          <w:bCs/>
                          <w:sz w:val="32"/>
                          <w:szCs w:val="32"/>
                        </w:rPr>
                        <w:t>DR F. KHALFA</w:t>
                      </w:r>
                    </w:p>
                  </w:txbxContent>
                </v:textbox>
                <w10:wrap type="square"/>
              </v:shape>
            </w:pict>
          </mc:Fallback>
        </mc:AlternateContent>
      </w:r>
      <w:r w:rsidR="005E143D">
        <w:rPr>
          <w:b/>
          <w:bCs/>
          <w:sz w:val="28"/>
          <w:szCs w:val="28"/>
        </w:rPr>
        <w:br w:type="page"/>
      </w:r>
    </w:p>
    <w:p w:rsidR="005E143D" w:rsidRDefault="005E143D">
      <w:pPr>
        <w:rPr>
          <w:b/>
          <w:bCs/>
          <w:sz w:val="28"/>
          <w:szCs w:val="28"/>
        </w:rPr>
      </w:pPr>
    </w:p>
    <w:p w:rsidR="004B25E0" w:rsidRPr="009F7EF4" w:rsidRDefault="003A3196">
      <w:pPr>
        <w:rPr>
          <w:b/>
          <w:bCs/>
          <w:sz w:val="28"/>
          <w:szCs w:val="28"/>
        </w:rPr>
      </w:pPr>
      <w:r w:rsidRPr="009F7EF4">
        <w:rPr>
          <w:b/>
          <w:bCs/>
          <w:sz w:val="28"/>
          <w:szCs w:val="28"/>
        </w:rPr>
        <w:t>Introduction</w:t>
      </w:r>
    </w:p>
    <w:p w:rsidR="003A3196" w:rsidRDefault="003A3196">
      <w:r w:rsidRPr="003A3196">
        <w:t>Les maladies parodontales sont des maladies multifactorielles de par leurs nombreux facteurs modifiants et</w:t>
      </w:r>
      <w:r w:rsidR="00C04BF8">
        <w:t xml:space="preserve">  </w:t>
      </w:r>
      <w:r w:rsidRPr="003A3196">
        <w:t xml:space="preserve"> aggravants. Leur diagnostic est d’autant plus difficile à cerner si nous </w:t>
      </w:r>
      <w:r w:rsidR="00544C86" w:rsidRPr="003A3196">
        <w:t>n’appuyons</w:t>
      </w:r>
      <w:r w:rsidRPr="003A3196">
        <w:t xml:space="preserve"> pas sur une classification de ces maladies qui nous permette de confronter les données du patient aux données scientifiques et épidémiologiques récentes.</w:t>
      </w:r>
    </w:p>
    <w:p w:rsidR="003A3196" w:rsidRPr="009F7EF4" w:rsidRDefault="003A3196" w:rsidP="009F7EF4">
      <w:pPr>
        <w:pStyle w:val="Paragraphedeliste"/>
        <w:numPr>
          <w:ilvl w:val="0"/>
          <w:numId w:val="3"/>
        </w:numPr>
        <w:rPr>
          <w:b/>
          <w:bCs/>
          <w:sz w:val="28"/>
          <w:szCs w:val="28"/>
        </w:rPr>
      </w:pPr>
      <w:r w:rsidRPr="009F7EF4">
        <w:rPr>
          <w:b/>
          <w:bCs/>
          <w:sz w:val="28"/>
          <w:szCs w:val="28"/>
        </w:rPr>
        <w:t>Rappel historique</w:t>
      </w:r>
    </w:p>
    <w:p w:rsidR="003A3196" w:rsidRDefault="003A3196" w:rsidP="003A3196">
      <w:r>
        <w:t>Il est intéressant de se pencher sur l’historique des maladies parodontales et celui de leurs classifications pour comprendre l’évolution dans le temps de notre approche clinique des parodontopathies. Cette évolution, au fil des années, nous a permis de mieux appréhender les mécanismes complexes rencontrés dans ces maladies inflammatoires d’origine infectieuse et d’en tirer des bénéfices directs pour améliorer le diagnostic, la prévention et le traitement des parodontites.</w:t>
      </w:r>
    </w:p>
    <w:p w:rsidR="003A3196" w:rsidRDefault="003A3196" w:rsidP="000B3BD3">
      <w:r>
        <w:t xml:space="preserve">Il existe, en effet, un parallèle entre l’évolution de nos connaissances des maladies parodontales et celle de leurs </w:t>
      </w:r>
      <w:r w:rsidR="000B3BD3">
        <w:t>classifications. Les premières</w:t>
      </w:r>
      <w:r>
        <w:t xml:space="preserve"> classifications de 1800 à 1920,</w:t>
      </w:r>
      <w:r w:rsidR="000B3BD3">
        <w:t xml:space="preserve"> étaient </w:t>
      </w:r>
      <w:r w:rsidR="00B93674">
        <w:t>fondées sur</w:t>
      </w:r>
      <w:r>
        <w:t xml:space="preserve"> les caractéristiques cliniques des parodontopathies.</w:t>
      </w:r>
    </w:p>
    <w:p w:rsidR="003A3196" w:rsidRDefault="003A3196" w:rsidP="000B3BD3">
      <w:r>
        <w:t xml:space="preserve">La période qui suivit fut riche en recherches sur l’histopathologie </w:t>
      </w:r>
      <w:r w:rsidR="00B93674">
        <w:t>parodontale, Toutes</w:t>
      </w:r>
      <w:r>
        <w:t xml:space="preserve"> les classifications de 1920 à 1970 étaient, par conséquent, basées sur les concepts de pathologie classique.</w:t>
      </w:r>
    </w:p>
    <w:p w:rsidR="003A3196" w:rsidRDefault="000B3BD3" w:rsidP="000B3BD3">
      <w:r>
        <w:t xml:space="preserve">D’autres travaux ont montré que </w:t>
      </w:r>
      <w:r w:rsidR="003A3196">
        <w:t xml:space="preserve">les maladies parodontales sont des désordres multifactoriels qui résultent d’une infection non spécifique et d’un déséquilibre de la relation hôte/bactérie </w:t>
      </w:r>
      <w:r>
        <w:t xml:space="preserve">et ont </w:t>
      </w:r>
      <w:r w:rsidR="00B93674">
        <w:t>montré l’importance</w:t>
      </w:r>
      <w:r w:rsidR="003A3196">
        <w:t xml:space="preserve"> de la plaque bactérienne dans l’étiologie de la maladie par</w:t>
      </w:r>
      <w:r w:rsidR="00765E72">
        <w:t xml:space="preserve">odontale </w:t>
      </w:r>
      <w:r>
        <w:t xml:space="preserve">et </w:t>
      </w:r>
      <w:r w:rsidR="003A3196">
        <w:t>la spécificité microbienne</w:t>
      </w:r>
      <w:r w:rsidR="00F740D0">
        <w:t xml:space="preserve"> et</w:t>
      </w:r>
      <w:r w:rsidR="003A3196">
        <w:t xml:space="preserve"> ont directement contribué au concept « infection/réponse de l’hôte » et guid</w:t>
      </w:r>
      <w:r w:rsidR="00B93674">
        <w:t xml:space="preserve">er </w:t>
      </w:r>
      <w:r w:rsidR="003A3196">
        <w:t>la classification de 1989 (Améric Acad Periodont 1989).</w:t>
      </w:r>
    </w:p>
    <w:p w:rsidR="003A3196" w:rsidRDefault="00765E72" w:rsidP="003F0FE2">
      <w:r>
        <w:t xml:space="preserve">D’autres données </w:t>
      </w:r>
      <w:r w:rsidR="003A3196">
        <w:t>scientifiques et épidémiologiques</w:t>
      </w:r>
      <w:r w:rsidR="003F0FE2">
        <w:t xml:space="preserve"> révèlent que l’âge</w:t>
      </w:r>
      <w:r w:rsidR="003A3196">
        <w:t xml:space="preserve"> du patient paraît plus arbitraire, moins prépondérant (contrairement à l’ancienne classification) par rapport aux critères d’évolutivité et/ou d’agressivité de la maladie. </w:t>
      </w:r>
      <w:r w:rsidR="00B93674">
        <w:t>D’autres</w:t>
      </w:r>
      <w:r w:rsidR="003A3196">
        <w:t xml:space="preserve"> controverses ont été longuement discutées</w:t>
      </w:r>
      <w:r w:rsidR="00B93674">
        <w:t>,</w:t>
      </w:r>
      <w:r w:rsidR="003A3196">
        <w:t xml:space="preserve"> </w:t>
      </w:r>
      <w:r w:rsidR="00B93674">
        <w:t>n</w:t>
      </w:r>
      <w:r w:rsidR="003A3196">
        <w:t>otamment le terme de « parodontites réfractaires » a été remis en question en raison d’une limite difficile à établir entre la récidive et la maladie réfractaire, et l’influence des facteurs systémiques dans l’évolution des parodontopathies est plus présente dans les discussions. Ces no</w:t>
      </w:r>
      <w:r w:rsidR="003F0FE2">
        <w:t xml:space="preserve">uveaux paradigmes amenèrent </w:t>
      </w:r>
      <w:r w:rsidR="00B93674">
        <w:t>la classification</w:t>
      </w:r>
      <w:r w:rsidR="003F0FE2">
        <w:t xml:space="preserve"> de 1999 (AAP 1999).</w:t>
      </w:r>
      <w:r w:rsidR="00B93674">
        <w:t xml:space="preserve"> </w:t>
      </w:r>
    </w:p>
    <w:p w:rsidR="003F0FE2" w:rsidRDefault="00F05ABA" w:rsidP="00F05ABA">
      <w:r w:rsidRPr="00F05ABA">
        <w:t>Seize ans après, la classification des maladies et des affections parodontales et péri-implantaires a été mise à jour par un comité international réunissant la Fédération européenne de parodontologie (EFP) et l’Académie amé</w:t>
      </w:r>
      <w:r w:rsidR="008E5319">
        <w:t>ricaine de parodontologie (AAP)en 2017.</w:t>
      </w:r>
      <w:r w:rsidRPr="00F05ABA">
        <w:t xml:space="preserve"> Des nouveautés majeures sont apparues comme : la définition du parodonte sain, une clarification sur la définition clinique de la gingivite, une no</w:t>
      </w:r>
      <w:r>
        <w:t>uvelle faç</w:t>
      </w:r>
      <w:r w:rsidRPr="00F05ABA">
        <w:t>on de donner le diagnostic des parodontites en fonction de leur sévérité, leur complexité ainsi que de leur vitesse de progression.</w:t>
      </w:r>
    </w:p>
    <w:p w:rsidR="00450BCD" w:rsidRDefault="00450BCD" w:rsidP="00F05ABA"/>
    <w:p w:rsidR="00450BCD" w:rsidRDefault="00450BCD" w:rsidP="00F05ABA"/>
    <w:p w:rsidR="003A3196" w:rsidRDefault="003A3196"/>
    <w:p w:rsidR="003A3196" w:rsidRPr="009F7EF4" w:rsidRDefault="003A3196" w:rsidP="009F7EF4">
      <w:pPr>
        <w:pStyle w:val="Paragraphedeliste"/>
        <w:numPr>
          <w:ilvl w:val="0"/>
          <w:numId w:val="3"/>
        </w:numPr>
        <w:rPr>
          <w:b/>
          <w:bCs/>
          <w:sz w:val="28"/>
          <w:szCs w:val="28"/>
        </w:rPr>
      </w:pPr>
      <w:r w:rsidRPr="009F7EF4">
        <w:rPr>
          <w:b/>
          <w:bCs/>
          <w:sz w:val="28"/>
          <w:szCs w:val="28"/>
        </w:rPr>
        <w:lastRenderedPageBreak/>
        <w:t>Objectifs et buts de la classification</w:t>
      </w:r>
    </w:p>
    <w:p w:rsidR="003A3196" w:rsidRDefault="003A3196" w:rsidP="003A3196">
      <w:r>
        <w:t xml:space="preserve">Notre démarche thérapeutique, guidée par une classification des maladies parodontales et appuyée par une anamnèse complète et des examens complémentaires (bilan </w:t>
      </w:r>
      <w:r w:rsidR="00B93674">
        <w:t>rétro alvéolaire</w:t>
      </w:r>
      <w:r>
        <w:t>, panoramique dentaire, prélèvements bactériens) permet d’aboutir à un diagnostic, un plan de traitement et un pronostic propre à chaque cas clinique.</w:t>
      </w:r>
    </w:p>
    <w:p w:rsidR="00F740D0" w:rsidRDefault="003A3196" w:rsidP="003A3196">
      <w:r>
        <w:t>La classification nous permet en effet de comparer les données du patient aux données scientifiques et épidémiologiques récentes afin d’affiner notre diagnostic.</w:t>
      </w:r>
    </w:p>
    <w:p w:rsidR="003A3196" w:rsidRDefault="003A3196" w:rsidP="003A3196">
      <w:r>
        <w:t xml:space="preserve"> Elle est également indispensable pour réaliser des études épidémiologiques ou cliniques en rendant les résultats comparables entre eux.</w:t>
      </w:r>
    </w:p>
    <w:p w:rsidR="00F740D0" w:rsidRPr="0059689C" w:rsidRDefault="00F740D0" w:rsidP="0059689C">
      <w:pPr>
        <w:pStyle w:val="Paragraphedeliste"/>
        <w:numPr>
          <w:ilvl w:val="0"/>
          <w:numId w:val="3"/>
        </w:numPr>
        <w:rPr>
          <w:b/>
          <w:bCs/>
          <w:sz w:val="28"/>
          <w:szCs w:val="28"/>
        </w:rPr>
      </w:pPr>
      <w:r w:rsidRPr="0059689C">
        <w:rPr>
          <w:b/>
          <w:bCs/>
          <w:sz w:val="28"/>
          <w:szCs w:val="28"/>
        </w:rPr>
        <w:t>Principales Classifications des maladies parodontales</w:t>
      </w:r>
    </w:p>
    <w:p w:rsidR="00F740D0" w:rsidRPr="00E22790" w:rsidRDefault="0059689C" w:rsidP="0059689C">
      <w:pPr>
        <w:rPr>
          <w:b/>
          <w:bCs/>
          <w:sz w:val="28"/>
          <w:szCs w:val="28"/>
        </w:rPr>
      </w:pPr>
      <w:r w:rsidRPr="00E22790">
        <w:rPr>
          <w:b/>
          <w:bCs/>
          <w:sz w:val="28"/>
          <w:szCs w:val="28"/>
        </w:rPr>
        <w:t>3.1.</w:t>
      </w:r>
      <w:r w:rsidR="00F740D0" w:rsidRPr="00E22790">
        <w:rPr>
          <w:b/>
          <w:bCs/>
          <w:sz w:val="28"/>
          <w:szCs w:val="28"/>
        </w:rPr>
        <w:t xml:space="preserve"> La classification de 1989 de </w:t>
      </w:r>
      <w:r w:rsidR="00C04BF8" w:rsidRPr="00E22790">
        <w:rPr>
          <w:b/>
          <w:bCs/>
          <w:sz w:val="28"/>
          <w:szCs w:val="28"/>
        </w:rPr>
        <w:t>l’Académie Américaine</w:t>
      </w:r>
      <w:r w:rsidR="00F740D0" w:rsidRPr="00E22790">
        <w:rPr>
          <w:b/>
          <w:bCs/>
          <w:sz w:val="28"/>
          <w:szCs w:val="28"/>
        </w:rPr>
        <w:t xml:space="preserve"> de parodontologie (AAP)</w:t>
      </w:r>
    </w:p>
    <w:p w:rsidR="00F740D0" w:rsidRDefault="0059689C" w:rsidP="00F740D0">
      <w:r>
        <w:t>Elle</w:t>
      </w:r>
      <w:r w:rsidR="00F740D0" w:rsidRPr="00F740D0">
        <w:t xml:space="preserve"> distingue plusieurs formes de maladies parodontales en fonction de l’âge d’apparition, de la vitesse d’évolution et d’éventuels problèmes gé</w:t>
      </w:r>
      <w:r w:rsidR="00F740D0">
        <w:t>néraux associés.</w:t>
      </w:r>
    </w:p>
    <w:p w:rsidR="00F740D0" w:rsidRPr="0059689C" w:rsidRDefault="00F740D0" w:rsidP="0059689C">
      <w:pPr>
        <w:pStyle w:val="Paragraphedeliste"/>
        <w:numPr>
          <w:ilvl w:val="2"/>
          <w:numId w:val="3"/>
        </w:numPr>
        <w:rPr>
          <w:b/>
          <w:bCs/>
          <w:sz w:val="24"/>
          <w:szCs w:val="24"/>
        </w:rPr>
      </w:pPr>
      <w:r w:rsidRPr="0059689C">
        <w:rPr>
          <w:b/>
          <w:bCs/>
          <w:sz w:val="24"/>
          <w:szCs w:val="24"/>
        </w:rPr>
        <w:t>Les gingivites :</w:t>
      </w:r>
    </w:p>
    <w:p w:rsidR="00F740D0" w:rsidRDefault="00F740D0" w:rsidP="0059689C">
      <w:pPr>
        <w:pStyle w:val="Paragraphedeliste"/>
        <w:numPr>
          <w:ilvl w:val="0"/>
          <w:numId w:val="4"/>
        </w:numPr>
      </w:pPr>
      <w:r>
        <w:t xml:space="preserve">Gingivite inflammatoire d’origine bactérienne : le facteur initiateur de cette gingivite est l’accumulation de la plaque dentaire sur les dents. Un ou plusieurs des signes cliniques suivants peuvent être observés : le changement de couleur (rouge), de contour, et de texture. On note la présence d’œdème, de saignement (provoqué ou spontané), la consistance est molle, et radiologiquement, il n’existe pas de perte osseuse. </w:t>
      </w:r>
    </w:p>
    <w:p w:rsidR="00F740D0" w:rsidRDefault="00F740D0" w:rsidP="0059689C">
      <w:pPr>
        <w:pStyle w:val="Paragraphedeliste"/>
        <w:numPr>
          <w:ilvl w:val="0"/>
          <w:numId w:val="4"/>
        </w:numPr>
      </w:pPr>
      <w:r>
        <w:t>Gingivite et modifications hormonales</w:t>
      </w:r>
    </w:p>
    <w:p w:rsidR="00F740D0" w:rsidRDefault="00F740D0" w:rsidP="0059689C">
      <w:pPr>
        <w:pStyle w:val="Paragraphedeliste"/>
        <w:numPr>
          <w:ilvl w:val="0"/>
          <w:numId w:val="4"/>
        </w:numPr>
      </w:pPr>
      <w:r>
        <w:t>Gingivite et interactions médicamenteuses</w:t>
      </w:r>
    </w:p>
    <w:p w:rsidR="00F740D0" w:rsidRDefault="00F740D0" w:rsidP="0059689C">
      <w:pPr>
        <w:pStyle w:val="Paragraphedeliste"/>
        <w:numPr>
          <w:ilvl w:val="0"/>
          <w:numId w:val="4"/>
        </w:numPr>
      </w:pPr>
      <w:r>
        <w:t>Gingivite et maladies dermatologiques</w:t>
      </w:r>
    </w:p>
    <w:p w:rsidR="00F740D0" w:rsidRDefault="00F740D0" w:rsidP="0059689C">
      <w:pPr>
        <w:pStyle w:val="Paragraphedeliste"/>
        <w:numPr>
          <w:ilvl w:val="0"/>
          <w:numId w:val="4"/>
        </w:numPr>
      </w:pPr>
      <w:r>
        <w:t>Gingivite et maladies systémiques</w:t>
      </w:r>
    </w:p>
    <w:p w:rsidR="00F740D0" w:rsidRDefault="00F740D0" w:rsidP="0059689C">
      <w:pPr>
        <w:pStyle w:val="Paragraphedeliste"/>
        <w:numPr>
          <w:ilvl w:val="0"/>
          <w:numId w:val="4"/>
        </w:numPr>
      </w:pPr>
      <w:r>
        <w:t>Infections spécifiques</w:t>
      </w:r>
    </w:p>
    <w:p w:rsidR="00F740D0" w:rsidRDefault="00F740D0" w:rsidP="0059689C">
      <w:pPr>
        <w:pStyle w:val="Paragraphedeliste"/>
        <w:numPr>
          <w:ilvl w:val="0"/>
          <w:numId w:val="4"/>
        </w:numPr>
      </w:pPr>
      <w:r>
        <w:t>Gingivite ulcéro-nécrotique</w:t>
      </w:r>
    </w:p>
    <w:p w:rsidR="00F740D0" w:rsidRPr="0059689C" w:rsidRDefault="00F740D0" w:rsidP="0059689C">
      <w:pPr>
        <w:pStyle w:val="Paragraphedeliste"/>
        <w:numPr>
          <w:ilvl w:val="2"/>
          <w:numId w:val="3"/>
        </w:numPr>
        <w:rPr>
          <w:b/>
          <w:bCs/>
          <w:sz w:val="24"/>
          <w:szCs w:val="24"/>
        </w:rPr>
      </w:pPr>
      <w:r w:rsidRPr="0059689C">
        <w:rPr>
          <w:b/>
          <w:bCs/>
          <w:sz w:val="24"/>
          <w:szCs w:val="24"/>
        </w:rPr>
        <w:t xml:space="preserve"> Les parodontites : </w:t>
      </w:r>
    </w:p>
    <w:p w:rsidR="00F740D0" w:rsidRDefault="00F740D0" w:rsidP="0059689C">
      <w:pPr>
        <w:pStyle w:val="Paragraphedeliste"/>
        <w:numPr>
          <w:ilvl w:val="0"/>
          <w:numId w:val="5"/>
        </w:numPr>
      </w:pPr>
      <w:r>
        <w:t xml:space="preserve">La Parodontite de l’adulte : c’est de loin la plus fréquente. Elle affecte les sujets âgés généralement de plus de 35 ans. Elle présente la particularité d’être en relation directe avec les dépôts divers (plaque, tartre). La destruction tissulaire s’étale sur des années ou des dizaines d’années. On ne note pas de dysfonction immunitaire et pas d’implication génétique.  </w:t>
      </w:r>
    </w:p>
    <w:p w:rsidR="00F740D0" w:rsidRDefault="00F740D0" w:rsidP="0059689C">
      <w:pPr>
        <w:pStyle w:val="Paragraphedeliste"/>
        <w:numPr>
          <w:ilvl w:val="0"/>
          <w:numId w:val="5"/>
        </w:numPr>
      </w:pPr>
      <w:r>
        <w:t>La Parodontite à début précoce : se différencient en fonction de la localisation ou la généralisation des lésions. Le plus souvent elles sont caractérisées par une faible quantité de plaque dentaire et de tartre par rapport à l’ampleur des lyses osseuses. Ce peut être une parodontite prépubertaire, juvénile ou à progression rapide.</w:t>
      </w:r>
    </w:p>
    <w:p w:rsidR="00F740D0" w:rsidRDefault="00F740D0" w:rsidP="00A76830">
      <w:pPr>
        <w:pStyle w:val="Paragraphedeliste"/>
        <w:numPr>
          <w:ilvl w:val="1"/>
          <w:numId w:val="5"/>
        </w:numPr>
      </w:pPr>
      <w:r>
        <w:t xml:space="preserve">La Parodontite prépubertaire intéresse des sujets très jeunes en denture lactéale ou mixte. Son évolution est rapide, associée à une alvéolyse touchant aussi bien les dents lactéales que les dents définitives. Il faut noter que ces affections sont très rares et le plus souvent associées à un désordre systémique, et qu’elles peuvent être considérées comme l’expression buccale d’un syndrome systémique. </w:t>
      </w:r>
    </w:p>
    <w:p w:rsidR="00F740D0" w:rsidRDefault="00F740D0" w:rsidP="00A76830">
      <w:pPr>
        <w:pStyle w:val="Paragraphedeliste"/>
        <w:numPr>
          <w:ilvl w:val="1"/>
          <w:numId w:val="5"/>
        </w:numPr>
      </w:pPr>
      <w:r>
        <w:lastRenderedPageBreak/>
        <w:t>La parodontite juvénile :   touche des adolescents et de très jeunes adultes (jusqu’à 25 ans</w:t>
      </w:r>
      <w:r w:rsidR="00A76830">
        <w:t>). Elle</w:t>
      </w:r>
      <w:r>
        <w:t xml:space="preserve"> est décrite sous deux formes : localisée ou généralisée. La parodontite juvénile localisée intéresse les incisives et les premières molaires permanentes. </w:t>
      </w:r>
    </w:p>
    <w:p w:rsidR="00A76830" w:rsidRDefault="00F740D0" w:rsidP="00A76830">
      <w:pPr>
        <w:pStyle w:val="Paragraphedeliste"/>
        <w:ind w:left="1440"/>
      </w:pPr>
      <w:r>
        <w:t xml:space="preserve">La parodontite juvénile généralisée intéresse des patients un peu plus âgés, en fin d’adolescence ou jeunes adultes. En plus on retrouve des lésions sur d’autres dents (canines, prémolaires, deuxièmes molaires). </w:t>
      </w:r>
    </w:p>
    <w:p w:rsidR="00F740D0" w:rsidRDefault="00F740D0" w:rsidP="00A76830">
      <w:pPr>
        <w:pStyle w:val="Paragraphedeliste"/>
        <w:numPr>
          <w:ilvl w:val="1"/>
          <w:numId w:val="5"/>
        </w:numPr>
      </w:pPr>
      <w:r>
        <w:t xml:space="preserve">La parodontite à progression rapide : affecte des sujets jeunes, entre 20 et 35 ans. Les lésions sont généralisées, affectant la majorité des dents, sans distinction particulière ni localisation spécifique. Certains patients peuvent présenter des antécédents de parodontite juvénile. La majorité des patients présente des défauts fonctionnels au niveau des neutrophiles ou des monocytes. </w:t>
      </w:r>
    </w:p>
    <w:p w:rsidR="00F740D0" w:rsidRDefault="00F740D0" w:rsidP="0059689C">
      <w:pPr>
        <w:pStyle w:val="Paragraphedeliste"/>
        <w:numPr>
          <w:ilvl w:val="0"/>
          <w:numId w:val="5"/>
        </w:numPr>
      </w:pPr>
      <w:r>
        <w:t>La parodontite associée à des maladies systémiques</w:t>
      </w:r>
    </w:p>
    <w:p w:rsidR="00F740D0" w:rsidRDefault="00A76830" w:rsidP="0059689C">
      <w:pPr>
        <w:pStyle w:val="Paragraphedeliste"/>
        <w:numPr>
          <w:ilvl w:val="0"/>
          <w:numId w:val="5"/>
        </w:numPr>
      </w:pPr>
      <w:r>
        <w:t>La parodontite</w:t>
      </w:r>
      <w:r w:rsidR="00F740D0">
        <w:t xml:space="preserve"> ulcéro-nécrotique</w:t>
      </w:r>
    </w:p>
    <w:p w:rsidR="00F740D0" w:rsidRDefault="00F740D0" w:rsidP="0059689C">
      <w:pPr>
        <w:pStyle w:val="Paragraphedeliste"/>
        <w:numPr>
          <w:ilvl w:val="0"/>
          <w:numId w:val="5"/>
        </w:numPr>
      </w:pPr>
      <w:r>
        <w:t>La parodontite réfractaire qui ne répond pas à la thérapeutique parodontale conventionnelle</w:t>
      </w:r>
    </w:p>
    <w:p w:rsidR="008E5319" w:rsidRPr="00E22790" w:rsidRDefault="0059689C" w:rsidP="0059689C">
      <w:pPr>
        <w:rPr>
          <w:b/>
          <w:bCs/>
          <w:sz w:val="28"/>
          <w:szCs w:val="28"/>
        </w:rPr>
      </w:pPr>
      <w:r w:rsidRPr="00E22790">
        <w:rPr>
          <w:b/>
          <w:bCs/>
          <w:sz w:val="28"/>
          <w:szCs w:val="28"/>
        </w:rPr>
        <w:t>3.2. Classification</w:t>
      </w:r>
      <w:r w:rsidR="008E5319" w:rsidRPr="00E22790">
        <w:rPr>
          <w:b/>
          <w:bCs/>
          <w:sz w:val="28"/>
          <w:szCs w:val="28"/>
        </w:rPr>
        <w:t xml:space="preserve"> </w:t>
      </w:r>
      <w:r w:rsidR="00A81833" w:rsidRPr="00E22790">
        <w:rPr>
          <w:b/>
          <w:bCs/>
          <w:sz w:val="28"/>
          <w:szCs w:val="28"/>
        </w:rPr>
        <w:t>d’Armitage 1999</w:t>
      </w:r>
    </w:p>
    <w:p w:rsidR="008910EE" w:rsidRDefault="00F740D0" w:rsidP="008910EE">
      <w:r w:rsidRPr="00F740D0">
        <w:t>Une nouvelle classification des maladies parodontales a été proposée en 1999 (ARMITAGE). Elle marque un souci de simplification face à un système antérieur de classification jugé trop étroit et trop rigide.</w:t>
      </w:r>
      <w:r w:rsidR="0035172D">
        <w:t xml:space="preserve"> </w:t>
      </w:r>
      <w:r w:rsidRPr="00F740D0">
        <w:t>Cette classification tient compte des différents éléments de diagnostic ainsi que des données épidémiologiques récentes.</w:t>
      </w:r>
    </w:p>
    <w:p w:rsidR="00DF7593" w:rsidRDefault="00DF7593" w:rsidP="008910EE">
      <w:r>
        <w:t>Les principales modifications apportées sont :</w:t>
      </w:r>
    </w:p>
    <w:p w:rsidR="00304854" w:rsidRDefault="00304854" w:rsidP="008910EE">
      <w:pPr>
        <w:pStyle w:val="Paragraphedeliste"/>
        <w:numPr>
          <w:ilvl w:val="0"/>
          <w:numId w:val="16"/>
        </w:numPr>
      </w:pPr>
      <w:r>
        <w:t>Ne tient plus compte de l’âge du patient</w:t>
      </w:r>
      <w:r w:rsidR="008910EE">
        <w:t>.</w:t>
      </w:r>
    </w:p>
    <w:p w:rsidR="00304854" w:rsidRDefault="00304854" w:rsidP="008910EE">
      <w:pPr>
        <w:pStyle w:val="Paragraphedeliste"/>
        <w:numPr>
          <w:ilvl w:val="0"/>
          <w:numId w:val="16"/>
        </w:numPr>
      </w:pPr>
      <w:r>
        <w:t>Les formes à début précoce sont appelées parodontites agressives</w:t>
      </w:r>
      <w:r w:rsidR="008910EE">
        <w:t>.</w:t>
      </w:r>
    </w:p>
    <w:p w:rsidR="00304854" w:rsidRDefault="00304854" w:rsidP="008910EE">
      <w:pPr>
        <w:pStyle w:val="Paragraphedeliste"/>
        <w:numPr>
          <w:ilvl w:val="0"/>
          <w:numId w:val="16"/>
        </w:numPr>
      </w:pPr>
      <w:r>
        <w:t xml:space="preserve">Selon la classification de 1999, le terme de « parodontite chronique » remplace « parodontite de l’adulte ». En effet, cette forme clinique de parodontite n’intéresse pas que l’adulte ; elle peut également être observée chez l’enfant à un stade débutant.  </w:t>
      </w:r>
    </w:p>
    <w:p w:rsidR="00304854" w:rsidRDefault="00304854" w:rsidP="008910EE">
      <w:pPr>
        <w:pStyle w:val="Paragraphedeliste"/>
        <w:numPr>
          <w:ilvl w:val="0"/>
          <w:numId w:val="16"/>
        </w:numPr>
      </w:pPr>
      <w:r>
        <w:t>La parodontite réfractaire disparaît en tant qu’entité</w:t>
      </w:r>
      <w:r w:rsidR="008910EE">
        <w:t>.</w:t>
      </w:r>
    </w:p>
    <w:p w:rsidR="00304854" w:rsidRDefault="00304854" w:rsidP="008910EE">
      <w:pPr>
        <w:pStyle w:val="Paragraphedeliste"/>
        <w:numPr>
          <w:ilvl w:val="0"/>
          <w:numId w:val="16"/>
        </w:numPr>
      </w:pPr>
      <w:r>
        <w:t>Elle précise la classe des « maladies gingivales » (induites et non induites par la plaque bactérienne</w:t>
      </w:r>
      <w:r w:rsidR="008910EE">
        <w:t>.</w:t>
      </w:r>
    </w:p>
    <w:p w:rsidR="00304854" w:rsidRDefault="00304854" w:rsidP="008910EE">
      <w:pPr>
        <w:pStyle w:val="Paragraphedeliste"/>
        <w:numPr>
          <w:ilvl w:val="0"/>
          <w:numId w:val="16"/>
        </w:numPr>
      </w:pPr>
      <w:r>
        <w:t>Elle développe et cerne mieux les caractéristiques des parodontites associées à des maladies systémiques</w:t>
      </w:r>
      <w:r w:rsidR="008910EE">
        <w:t>.</w:t>
      </w:r>
    </w:p>
    <w:p w:rsidR="00304854" w:rsidRDefault="00304854" w:rsidP="008910EE">
      <w:pPr>
        <w:pStyle w:val="Paragraphedeliste"/>
        <w:numPr>
          <w:ilvl w:val="0"/>
          <w:numId w:val="16"/>
        </w:numPr>
      </w:pPr>
      <w:r>
        <w:t>Elle inclut le terme « maladies parodontales nécrotiques »</w:t>
      </w:r>
      <w:r w:rsidR="008910EE">
        <w:t>.</w:t>
      </w:r>
    </w:p>
    <w:p w:rsidR="00304854" w:rsidRDefault="00304854" w:rsidP="008910EE">
      <w:pPr>
        <w:pStyle w:val="Paragraphedeliste"/>
        <w:numPr>
          <w:ilvl w:val="0"/>
          <w:numId w:val="16"/>
        </w:numPr>
      </w:pPr>
      <w:r>
        <w:t>L’abcès parodontal apparaît dans la classification</w:t>
      </w:r>
      <w:r w:rsidR="008910EE">
        <w:t>.</w:t>
      </w:r>
    </w:p>
    <w:p w:rsidR="00304854" w:rsidRDefault="00304854" w:rsidP="008910EE">
      <w:pPr>
        <w:pStyle w:val="Paragraphedeliste"/>
        <w:numPr>
          <w:ilvl w:val="0"/>
          <w:numId w:val="16"/>
        </w:numPr>
      </w:pPr>
      <w:r>
        <w:t>Les lésions endoparodontales font également partie de la classification</w:t>
      </w:r>
      <w:r w:rsidR="008910EE">
        <w:t>.</w:t>
      </w:r>
    </w:p>
    <w:p w:rsidR="00DF7593" w:rsidRDefault="00304854" w:rsidP="008910EE">
      <w:pPr>
        <w:pStyle w:val="Paragraphedeliste"/>
        <w:numPr>
          <w:ilvl w:val="0"/>
          <w:numId w:val="16"/>
        </w:numPr>
      </w:pPr>
      <w:r>
        <w:t>Certaines atteintes sont classées en « conditions défavorables innées ou acquises » dans lesquelles les défauts muco-gingivaux sont pris en compte.</w:t>
      </w:r>
    </w:p>
    <w:p w:rsidR="00DF7593" w:rsidRDefault="00DF7593" w:rsidP="0059689C"/>
    <w:p w:rsidR="009F7EF4" w:rsidRPr="00F71C34" w:rsidRDefault="009F7EF4" w:rsidP="00C04BF8">
      <w:pPr>
        <w:rPr>
          <w:b/>
          <w:bCs/>
          <w:sz w:val="24"/>
          <w:szCs w:val="24"/>
        </w:rPr>
      </w:pPr>
      <w:r w:rsidRPr="00F71C34">
        <w:rPr>
          <w:b/>
          <w:bCs/>
          <w:sz w:val="24"/>
          <w:szCs w:val="24"/>
        </w:rPr>
        <w:t xml:space="preserve"> </w:t>
      </w:r>
      <w:r w:rsidR="00F71C34">
        <w:rPr>
          <w:b/>
          <w:bCs/>
          <w:sz w:val="24"/>
          <w:szCs w:val="24"/>
        </w:rPr>
        <w:t xml:space="preserve">3.2.1. </w:t>
      </w:r>
      <w:r w:rsidRPr="00F71C34">
        <w:rPr>
          <w:b/>
          <w:bCs/>
          <w:sz w:val="24"/>
          <w:szCs w:val="24"/>
        </w:rPr>
        <w:t xml:space="preserve">Maladies gingivales : </w:t>
      </w:r>
    </w:p>
    <w:p w:rsidR="009F7EF4" w:rsidRPr="009F7EF4" w:rsidRDefault="00C04BF8" w:rsidP="00C04BF8">
      <w:pPr>
        <w:ind w:left="410"/>
      </w:pPr>
      <w:r>
        <w:rPr>
          <w:b/>
          <w:bCs/>
        </w:rPr>
        <w:t xml:space="preserve">3.2.1.1 </w:t>
      </w:r>
      <w:r w:rsidRPr="009F7EF4">
        <w:rPr>
          <w:b/>
          <w:bCs/>
        </w:rPr>
        <w:t>Maladies</w:t>
      </w:r>
      <w:r w:rsidR="009F7EF4" w:rsidRPr="009F7EF4">
        <w:rPr>
          <w:b/>
          <w:bCs/>
        </w:rPr>
        <w:t xml:space="preserve"> gingivales induites par la plaque dentaire :</w:t>
      </w:r>
    </w:p>
    <w:p w:rsidR="009F7EF4" w:rsidRPr="009F7EF4" w:rsidRDefault="009F7EF4" w:rsidP="00F71C34">
      <w:pPr>
        <w:pStyle w:val="Paragraphedeliste"/>
        <w:numPr>
          <w:ilvl w:val="0"/>
          <w:numId w:val="6"/>
        </w:numPr>
      </w:pPr>
      <w:r w:rsidRPr="009F7EF4">
        <w:t>Gingivite</w:t>
      </w:r>
      <w:r w:rsidR="008910EE">
        <w:t>s</w:t>
      </w:r>
      <w:r w:rsidRPr="009F7EF4">
        <w:t xml:space="preserve"> </w:t>
      </w:r>
      <w:r w:rsidR="008910EE">
        <w:t xml:space="preserve">induites par la </w:t>
      </w:r>
      <w:r w:rsidRPr="009F7EF4">
        <w:t>plaque uniquement.</w:t>
      </w:r>
    </w:p>
    <w:p w:rsidR="009F7EF4" w:rsidRPr="009F7EF4" w:rsidRDefault="009F7EF4" w:rsidP="00F71C34">
      <w:pPr>
        <w:ind w:left="410"/>
      </w:pPr>
      <w:r w:rsidRPr="009F7EF4">
        <w:t xml:space="preserve">      - Sans facteur locaux.  </w:t>
      </w:r>
    </w:p>
    <w:p w:rsidR="009F7EF4" w:rsidRPr="009F7EF4" w:rsidRDefault="009F7EF4" w:rsidP="008910EE">
      <w:pPr>
        <w:ind w:left="410"/>
      </w:pPr>
      <w:r w:rsidRPr="009F7EF4">
        <w:t xml:space="preserve">      - Avec des facteurs locaux (formes des dents, obturations débordantes, fracture </w:t>
      </w:r>
      <w:r w:rsidR="008910EE" w:rsidRPr="009F7EF4">
        <w:t>dentaire</w:t>
      </w:r>
      <w:r w:rsidR="008910EE">
        <w:t>…</w:t>
      </w:r>
      <w:r w:rsidR="008910EE" w:rsidRPr="009F7EF4">
        <w:t>)</w:t>
      </w:r>
      <w:r w:rsidRPr="009F7EF4">
        <w:t>.</w:t>
      </w:r>
    </w:p>
    <w:p w:rsidR="009F7EF4" w:rsidRPr="009F7EF4" w:rsidRDefault="008910EE" w:rsidP="00F71C34">
      <w:pPr>
        <w:pStyle w:val="Paragraphedeliste"/>
        <w:numPr>
          <w:ilvl w:val="0"/>
          <w:numId w:val="6"/>
        </w:numPr>
      </w:pPr>
      <w:r>
        <w:lastRenderedPageBreak/>
        <w:t>Gingivites induites par la plaque</w:t>
      </w:r>
      <w:r w:rsidR="009F7EF4" w:rsidRPr="009F7EF4">
        <w:t xml:space="preserve"> associée</w:t>
      </w:r>
      <w:r w:rsidR="00FE5369">
        <w:t>s</w:t>
      </w:r>
      <w:r w:rsidR="009F7EF4" w:rsidRPr="009F7EF4">
        <w:t xml:space="preserve"> à des facteurs systémiques.</w:t>
      </w:r>
    </w:p>
    <w:p w:rsidR="009F7EF4" w:rsidRPr="009F7EF4" w:rsidRDefault="009F7EF4" w:rsidP="00F71C34">
      <w:pPr>
        <w:ind w:left="708"/>
      </w:pPr>
      <w:r w:rsidRPr="009F7EF4">
        <w:t xml:space="preserve"> - Associées à des modifications endocriniennes :</w:t>
      </w:r>
    </w:p>
    <w:p w:rsidR="009F7EF4" w:rsidRPr="009F7EF4" w:rsidRDefault="009F7EF4" w:rsidP="00F71C34">
      <w:pPr>
        <w:ind w:left="298"/>
      </w:pPr>
      <w:r w:rsidRPr="009F7EF4">
        <w:t xml:space="preserve">        -  gingivite</w:t>
      </w:r>
      <w:r w:rsidR="00FE5369">
        <w:t>s</w:t>
      </w:r>
      <w:r w:rsidRPr="009F7EF4">
        <w:t xml:space="preserve"> de la puberté.</w:t>
      </w:r>
    </w:p>
    <w:p w:rsidR="009F7EF4" w:rsidRPr="009F7EF4" w:rsidRDefault="009F7EF4" w:rsidP="00F71C34">
      <w:pPr>
        <w:ind w:left="298"/>
      </w:pPr>
      <w:r w:rsidRPr="009F7EF4">
        <w:t xml:space="preserve">        -  gingivite</w:t>
      </w:r>
      <w:r w:rsidR="00FE5369">
        <w:t>s</w:t>
      </w:r>
      <w:r w:rsidRPr="009F7EF4">
        <w:t xml:space="preserve"> associée</w:t>
      </w:r>
      <w:r w:rsidR="00FE5369">
        <w:t>s</w:t>
      </w:r>
      <w:r w:rsidRPr="009F7EF4">
        <w:t xml:space="preserve"> aux cycles menstruels.</w:t>
      </w:r>
    </w:p>
    <w:p w:rsidR="009F7EF4" w:rsidRPr="009F7EF4" w:rsidRDefault="009F7EF4" w:rsidP="00F71C34">
      <w:pPr>
        <w:ind w:left="298"/>
      </w:pPr>
      <w:r w:rsidRPr="009F7EF4">
        <w:t xml:space="preserve">        -  gingivite</w:t>
      </w:r>
      <w:r w:rsidR="00FE5369">
        <w:t>s</w:t>
      </w:r>
      <w:r w:rsidRPr="009F7EF4">
        <w:t xml:space="preserve"> au cours de la grossesse, granulome pyogénique.</w:t>
      </w:r>
    </w:p>
    <w:p w:rsidR="009F7EF4" w:rsidRPr="009F7EF4" w:rsidRDefault="009F7EF4" w:rsidP="00F71C34">
      <w:pPr>
        <w:ind w:left="298"/>
      </w:pPr>
      <w:r w:rsidRPr="009F7EF4">
        <w:t xml:space="preserve">        -  gingivites et </w:t>
      </w:r>
      <w:r w:rsidR="00C04BF8" w:rsidRPr="009F7EF4">
        <w:t>diabète</w:t>
      </w:r>
      <w:r w:rsidRPr="009F7EF4">
        <w:t xml:space="preserve"> sucré.</w:t>
      </w:r>
    </w:p>
    <w:p w:rsidR="009F7EF4" w:rsidRPr="009F7EF4" w:rsidRDefault="00FE5369" w:rsidP="00FE5369">
      <w:pPr>
        <w:ind w:left="708"/>
      </w:pPr>
      <w:r>
        <w:t xml:space="preserve">- </w:t>
      </w:r>
      <w:r w:rsidR="009F7EF4" w:rsidRPr="009F7EF4">
        <w:t xml:space="preserve">Associée à un trouble de la crase sanguine : leucémie, </w:t>
      </w:r>
      <w:r w:rsidR="00C04BF8" w:rsidRPr="009F7EF4">
        <w:t>autres troubles</w:t>
      </w:r>
      <w:r w:rsidR="009F7EF4" w:rsidRPr="009F7EF4">
        <w:t>.</w:t>
      </w:r>
    </w:p>
    <w:p w:rsidR="009F7EF4" w:rsidRPr="009F7EF4" w:rsidRDefault="00FE5369" w:rsidP="00FE5369">
      <w:pPr>
        <w:pStyle w:val="Paragraphedeliste"/>
        <w:ind w:left="708"/>
      </w:pPr>
      <w:r>
        <w:t xml:space="preserve">- </w:t>
      </w:r>
      <w:r w:rsidR="009F7EF4" w:rsidRPr="009F7EF4">
        <w:t xml:space="preserve">Maladies gingivales modifiées par des traitements médicamenteux : médications </w:t>
      </w:r>
      <w:r w:rsidR="00C04BF8" w:rsidRPr="009F7EF4">
        <w:t>antiépileptique</w:t>
      </w:r>
      <w:r w:rsidR="00C04BF8">
        <w:t>s</w:t>
      </w:r>
      <w:r w:rsidR="009F7EF4" w:rsidRPr="009F7EF4">
        <w:t>, contraceptifs oraux.</w:t>
      </w:r>
    </w:p>
    <w:p w:rsidR="009F7EF4" w:rsidRPr="009F7EF4" w:rsidRDefault="00FE5369" w:rsidP="00FE5369">
      <w:pPr>
        <w:pStyle w:val="Paragraphedeliste"/>
        <w:ind w:left="708"/>
      </w:pPr>
      <w:r>
        <w:t xml:space="preserve">- </w:t>
      </w:r>
      <w:r w:rsidR="009F7EF4" w:rsidRPr="009F7EF4">
        <w:t xml:space="preserve">Maladies gingivales modifiées par la malnutrition : déficiences en </w:t>
      </w:r>
      <w:r w:rsidRPr="009F7EF4">
        <w:t xml:space="preserve">vitamines </w:t>
      </w:r>
      <w:r>
        <w:t>(</w:t>
      </w:r>
      <w:r w:rsidR="00C04BF8" w:rsidRPr="009F7EF4">
        <w:t>Vitamine</w:t>
      </w:r>
      <w:r w:rsidR="009F7EF4" w:rsidRPr="009F7EF4">
        <w:t xml:space="preserve"> C), autre déficience.</w:t>
      </w:r>
    </w:p>
    <w:p w:rsidR="009F7EF4" w:rsidRPr="009F7EF4" w:rsidRDefault="00FE5369" w:rsidP="009F7EF4">
      <w:r>
        <w:rPr>
          <w:b/>
          <w:bCs/>
        </w:rPr>
        <w:t xml:space="preserve">3.2.1.2 </w:t>
      </w:r>
      <w:r w:rsidRPr="009F7EF4">
        <w:rPr>
          <w:b/>
          <w:bCs/>
        </w:rPr>
        <w:t>Maladies</w:t>
      </w:r>
      <w:r w:rsidR="009F7EF4" w:rsidRPr="009F7EF4">
        <w:rPr>
          <w:b/>
          <w:bCs/>
        </w:rPr>
        <w:t xml:space="preserve"> gingivales non induites par la plaque dentaire :</w:t>
      </w:r>
    </w:p>
    <w:p w:rsidR="009F7EF4" w:rsidRPr="009F7EF4" w:rsidRDefault="009F7EF4" w:rsidP="00F71C34">
      <w:pPr>
        <w:pStyle w:val="Paragraphedeliste"/>
        <w:numPr>
          <w:ilvl w:val="0"/>
          <w:numId w:val="7"/>
        </w:numPr>
      </w:pPr>
      <w:r w:rsidRPr="009F7EF4">
        <w:t>Origine bactérienne spécifique : Neisseria gonorrhea, Tréponéme, Streptocoque, autres.</w:t>
      </w:r>
    </w:p>
    <w:p w:rsidR="009F7EF4" w:rsidRPr="009F7EF4" w:rsidRDefault="009F7EF4" w:rsidP="00F71C34">
      <w:pPr>
        <w:pStyle w:val="Paragraphedeliste"/>
        <w:numPr>
          <w:ilvl w:val="0"/>
          <w:numId w:val="7"/>
        </w:numPr>
      </w:pPr>
      <w:r w:rsidRPr="009F7EF4">
        <w:t>Origine virale : Gingivo-stomatite herpétique, Herpés, Zona, autre.</w:t>
      </w:r>
    </w:p>
    <w:p w:rsidR="009F7EF4" w:rsidRPr="009F7EF4" w:rsidRDefault="009F7EF4" w:rsidP="00F71C34">
      <w:pPr>
        <w:pStyle w:val="Paragraphedeliste"/>
        <w:numPr>
          <w:ilvl w:val="0"/>
          <w:numId w:val="7"/>
        </w:numPr>
      </w:pPr>
      <w:r w:rsidRPr="009F7EF4">
        <w:t>Origine fongique : Candidose, Erythéme gingival linéaire, Histoplasmose, autre.</w:t>
      </w:r>
    </w:p>
    <w:p w:rsidR="009F7EF4" w:rsidRPr="009F7EF4" w:rsidRDefault="009F7EF4" w:rsidP="00F71C34">
      <w:pPr>
        <w:pStyle w:val="Paragraphedeliste"/>
        <w:numPr>
          <w:ilvl w:val="0"/>
          <w:numId w:val="7"/>
        </w:numPr>
      </w:pPr>
      <w:r w:rsidRPr="009F7EF4">
        <w:t>Origine génétique : fibrome gingivale.</w:t>
      </w:r>
    </w:p>
    <w:p w:rsidR="009F7EF4" w:rsidRPr="009F7EF4" w:rsidRDefault="009F7EF4" w:rsidP="00F71C34">
      <w:pPr>
        <w:pStyle w:val="Paragraphedeliste"/>
        <w:numPr>
          <w:ilvl w:val="0"/>
          <w:numId w:val="7"/>
        </w:numPr>
      </w:pPr>
      <w:r w:rsidRPr="009F7EF4">
        <w:t>Origine systémique :</w:t>
      </w:r>
    </w:p>
    <w:p w:rsidR="009F7EF4" w:rsidRPr="009F7EF4" w:rsidRDefault="00F71C34" w:rsidP="00F71C34">
      <w:pPr>
        <w:ind w:left="410"/>
      </w:pPr>
      <w:r>
        <w:t>-</w:t>
      </w:r>
      <w:r w:rsidR="009F7EF4" w:rsidRPr="009F7EF4">
        <w:t xml:space="preserve"> Désordre muco-cutanés : lichen plan, pemphigus, erythéme multiforme, lupus erythémateux.</w:t>
      </w:r>
    </w:p>
    <w:p w:rsidR="009F7EF4" w:rsidRPr="009F7EF4" w:rsidRDefault="009F7EF4" w:rsidP="00F71C34">
      <w:pPr>
        <w:ind w:left="410"/>
      </w:pPr>
      <w:r w:rsidRPr="009F7EF4">
        <w:t xml:space="preserve">-  Réaction allergique : matériau d’obturation </w:t>
      </w:r>
      <w:r w:rsidR="00F71C34" w:rsidRPr="009F7EF4">
        <w:t>(mercure</w:t>
      </w:r>
      <w:r w:rsidRPr="009F7EF4">
        <w:t xml:space="preserve">, nickel, acrylique), matériau </w:t>
      </w:r>
      <w:r w:rsidR="00F71C34" w:rsidRPr="009F7EF4">
        <w:t>à</w:t>
      </w:r>
      <w:r w:rsidRPr="009F7EF4">
        <w:t xml:space="preserve"> la </w:t>
      </w:r>
      <w:r w:rsidR="00F71C34" w:rsidRPr="009F7EF4">
        <w:t>pâte</w:t>
      </w:r>
      <w:r w:rsidRPr="009F7EF4">
        <w:t xml:space="preserve"> </w:t>
      </w:r>
      <w:r w:rsidR="00F71C34">
        <w:t xml:space="preserve">   </w:t>
      </w:r>
      <w:r w:rsidRPr="009F7EF4">
        <w:t>dentifrice, au bain de bouche, à l’alimentation.</w:t>
      </w:r>
    </w:p>
    <w:p w:rsidR="009F7EF4" w:rsidRPr="009F7EF4" w:rsidRDefault="009F7EF4" w:rsidP="00F71C34">
      <w:pPr>
        <w:ind w:left="410"/>
      </w:pPr>
      <w:r w:rsidRPr="009F7EF4">
        <w:t>-  Lésion traumatique : contact chimique, blessure, brulure.</w:t>
      </w:r>
    </w:p>
    <w:p w:rsidR="009F7EF4" w:rsidRPr="009F7EF4" w:rsidRDefault="009F7EF4" w:rsidP="00F71C34">
      <w:pPr>
        <w:ind w:left="410"/>
      </w:pPr>
      <w:r w:rsidRPr="009F7EF4">
        <w:t>-  Réaction à des corps étrangers.</w:t>
      </w:r>
    </w:p>
    <w:p w:rsidR="009F7EF4" w:rsidRPr="009F7EF4" w:rsidRDefault="009F7EF4" w:rsidP="00F71C34">
      <w:pPr>
        <w:ind w:left="410"/>
      </w:pPr>
      <w:r w:rsidRPr="009F7EF4">
        <w:t>-  Autres origines : réactions auto-immunes.</w:t>
      </w:r>
    </w:p>
    <w:p w:rsidR="009F7EF4" w:rsidRPr="00F71C34" w:rsidRDefault="00F71C34" w:rsidP="009F7EF4">
      <w:pPr>
        <w:rPr>
          <w:sz w:val="24"/>
          <w:szCs w:val="24"/>
        </w:rPr>
      </w:pPr>
      <w:r w:rsidRPr="00F71C34">
        <w:rPr>
          <w:b/>
          <w:bCs/>
          <w:sz w:val="24"/>
          <w:szCs w:val="24"/>
        </w:rPr>
        <w:t xml:space="preserve">3.2.2 </w:t>
      </w:r>
      <w:r w:rsidR="009F7EF4" w:rsidRPr="00F71C34">
        <w:rPr>
          <w:b/>
          <w:bCs/>
          <w:sz w:val="24"/>
          <w:szCs w:val="24"/>
        </w:rPr>
        <w:t>Parodontites :</w:t>
      </w:r>
    </w:p>
    <w:p w:rsidR="009F7EF4" w:rsidRDefault="00E43D73" w:rsidP="009F7EF4">
      <w:pPr>
        <w:rPr>
          <w:b/>
          <w:bCs/>
        </w:rPr>
      </w:pPr>
      <w:r>
        <w:rPr>
          <w:b/>
          <w:bCs/>
        </w:rPr>
        <w:t>3.2.2.1.</w:t>
      </w:r>
      <w:r w:rsidR="009F7EF4" w:rsidRPr="009F7EF4">
        <w:rPr>
          <w:b/>
          <w:bCs/>
        </w:rPr>
        <w:t xml:space="preserve"> Parodontite chronique :</w:t>
      </w:r>
    </w:p>
    <w:p w:rsidR="00E43D73" w:rsidRPr="00E43D73" w:rsidRDefault="00E43D73" w:rsidP="00E43D73">
      <w:pPr>
        <w:numPr>
          <w:ilvl w:val="0"/>
          <w:numId w:val="1"/>
        </w:numPr>
      </w:pPr>
      <w:r w:rsidRPr="00E43D73">
        <w:t>Sur le plan clinique, les parodontites chroniques sont caractérisées par une quantité de plaque bactérienne en relation avec la sévérité de l’atteinte, une altération de la couleur et de la texture gingivale et par une tendance au saignement au sondage.</w:t>
      </w:r>
    </w:p>
    <w:p w:rsidR="00E43D73" w:rsidRPr="00E43D73" w:rsidRDefault="00E43D73" w:rsidP="00E43D73">
      <w:pPr>
        <w:numPr>
          <w:ilvl w:val="0"/>
          <w:numId w:val="1"/>
        </w:numPr>
      </w:pPr>
      <w:r w:rsidRPr="00E43D73">
        <w:t xml:space="preserve">On note la présence de tartre sous gingival. </w:t>
      </w:r>
    </w:p>
    <w:p w:rsidR="00E43D73" w:rsidRPr="00E43D73" w:rsidRDefault="00E43D73" w:rsidP="00E43D73">
      <w:pPr>
        <w:numPr>
          <w:ilvl w:val="0"/>
          <w:numId w:val="1"/>
        </w:numPr>
      </w:pPr>
      <w:r w:rsidRPr="00E43D73">
        <w:t xml:space="preserve">Les cas </w:t>
      </w:r>
      <w:r w:rsidR="00FE5369" w:rsidRPr="00E43D73">
        <w:t>sévères</w:t>
      </w:r>
      <w:r w:rsidRPr="00E43D73">
        <w:t xml:space="preserve"> montrent une mobilité des dents, des migrations et des versions ainsi que des rotations des dents.</w:t>
      </w:r>
    </w:p>
    <w:p w:rsidR="00E43D73" w:rsidRPr="00E43D73" w:rsidRDefault="00E43D73" w:rsidP="00E43D73">
      <w:pPr>
        <w:numPr>
          <w:ilvl w:val="0"/>
          <w:numId w:val="1"/>
        </w:numPr>
      </w:pPr>
      <w:r w:rsidRPr="00E43D73">
        <w:t>L’examen radiographique confirme la présence de défauts osseux. Ces lésions osseuses sont aussi bien d’allure horizontale que verticale.</w:t>
      </w:r>
    </w:p>
    <w:p w:rsidR="00E43D73" w:rsidRPr="00E43D73" w:rsidRDefault="00E43D73" w:rsidP="00E43D73">
      <w:pPr>
        <w:numPr>
          <w:ilvl w:val="0"/>
          <w:numId w:val="1"/>
        </w:numPr>
      </w:pPr>
      <w:r w:rsidRPr="00E43D73">
        <w:t xml:space="preserve">L’évolution n’est pas rapide mais certains sites peuvent évoluer de </w:t>
      </w:r>
      <w:r w:rsidR="00FE5369" w:rsidRPr="00E43D73">
        <w:t>manière</w:t>
      </w:r>
      <w:r w:rsidRPr="00E43D73">
        <w:t xml:space="preserve"> plus </w:t>
      </w:r>
      <w:r w:rsidR="00FE5369" w:rsidRPr="00E43D73">
        <w:t>aigüe</w:t>
      </w:r>
      <w:r w:rsidRPr="00E43D73">
        <w:t>.</w:t>
      </w:r>
    </w:p>
    <w:p w:rsidR="00E43D73" w:rsidRPr="00E43D73" w:rsidRDefault="00E43D73" w:rsidP="00E43D73">
      <w:pPr>
        <w:numPr>
          <w:ilvl w:val="0"/>
          <w:numId w:val="1"/>
        </w:numPr>
      </w:pPr>
      <w:r w:rsidRPr="00E43D73">
        <w:lastRenderedPageBreak/>
        <w:t xml:space="preserve">La flore microbienne est variable </w:t>
      </w:r>
      <w:r w:rsidR="00F768E3" w:rsidRPr="00E43D73">
        <w:t>(porphyromonas</w:t>
      </w:r>
      <w:r w:rsidRPr="00E43D73">
        <w:t xml:space="preserve"> gingivalis, eikenella corrodens, campylobacter rectus).</w:t>
      </w:r>
    </w:p>
    <w:p w:rsidR="00E43D73" w:rsidRPr="00E43D73" w:rsidRDefault="00E43D73" w:rsidP="00E43D73">
      <w:pPr>
        <w:numPr>
          <w:ilvl w:val="0"/>
          <w:numId w:val="1"/>
        </w:numPr>
      </w:pPr>
      <w:r w:rsidRPr="00E43D73">
        <w:t xml:space="preserve">Les parodontites chroniques peuvent </w:t>
      </w:r>
      <w:r w:rsidR="00FE5369" w:rsidRPr="00E43D73">
        <w:t>être</w:t>
      </w:r>
      <w:r w:rsidRPr="00E43D73">
        <w:t xml:space="preserve"> modifiées et / ou associées à des maladies systémiques </w:t>
      </w:r>
      <w:r w:rsidR="00F768E3" w:rsidRPr="00E43D73">
        <w:t>(diabète</w:t>
      </w:r>
      <w:r w:rsidRPr="00E43D73">
        <w:t xml:space="preserve">, infection à VIH) ; elles peuvent </w:t>
      </w:r>
      <w:r w:rsidR="00FE5369" w:rsidRPr="00E43D73">
        <w:t>être</w:t>
      </w:r>
      <w:r w:rsidRPr="00E43D73">
        <w:t xml:space="preserve"> modifiées par des facteurs environnementaux </w:t>
      </w:r>
      <w:r w:rsidR="00F768E3" w:rsidRPr="00E43D73">
        <w:t>(tabac</w:t>
      </w:r>
      <w:r w:rsidRPr="00E43D73">
        <w:t>, stress, ou bien facteur alimentaire).</w:t>
      </w:r>
    </w:p>
    <w:p w:rsidR="00E43D73" w:rsidRPr="009F7EF4" w:rsidRDefault="00E43D73" w:rsidP="009F7EF4"/>
    <w:p w:rsidR="00E43D73" w:rsidRPr="00E43D73" w:rsidRDefault="009F7EF4" w:rsidP="00E43D73">
      <w:pPr>
        <w:pStyle w:val="Paragraphedeliste"/>
        <w:numPr>
          <w:ilvl w:val="0"/>
          <w:numId w:val="9"/>
        </w:numPr>
        <w:rPr>
          <w:b/>
          <w:bCs/>
        </w:rPr>
      </w:pPr>
      <w:r w:rsidRPr="00E43D73">
        <w:rPr>
          <w:b/>
          <w:bCs/>
        </w:rPr>
        <w:t>Classification et étude clinque des parodontites chroniques :</w:t>
      </w:r>
    </w:p>
    <w:p w:rsidR="009F7EF4" w:rsidRPr="009F7EF4" w:rsidRDefault="009F7EF4" w:rsidP="00E43D73">
      <w:r w:rsidRPr="009F7EF4">
        <w:t>La classification des parodontites chroniques peut se faire sur la base de l’étendue et de la sévérité de l’atteinte.</w:t>
      </w:r>
    </w:p>
    <w:p w:rsidR="009F7EF4" w:rsidRPr="009F7EF4" w:rsidRDefault="009F7EF4" w:rsidP="00E43D73">
      <w:pPr>
        <w:pStyle w:val="Paragraphedeliste"/>
        <w:numPr>
          <w:ilvl w:val="0"/>
          <w:numId w:val="10"/>
        </w:numPr>
      </w:pPr>
      <w:r w:rsidRPr="00E43D73">
        <w:rPr>
          <w:b/>
          <w:bCs/>
        </w:rPr>
        <w:t>L’étendue :</w:t>
      </w:r>
      <w:r w:rsidRPr="009F7EF4">
        <w:t xml:space="preserve"> représente le nombre de sites atteints </w:t>
      </w:r>
      <w:r w:rsidR="00E43D73" w:rsidRPr="009F7EF4">
        <w:t>(localisée</w:t>
      </w:r>
      <w:r w:rsidRPr="009F7EF4">
        <w:t xml:space="preserve"> ou généralisée)</w:t>
      </w:r>
    </w:p>
    <w:p w:rsidR="009F7EF4" w:rsidRPr="009F7EF4" w:rsidRDefault="009F7EF4" w:rsidP="009F7EF4">
      <w:r w:rsidRPr="009F7EF4">
        <w:t xml:space="preserve"> </w:t>
      </w:r>
      <w:r w:rsidR="00E43D73">
        <w:t>-</w:t>
      </w:r>
      <w:r w:rsidRPr="009F7EF4">
        <w:t xml:space="preserve"> Localisée : si moins de 30 % des sites représentent une perte d’attache.</w:t>
      </w:r>
    </w:p>
    <w:p w:rsidR="009F7EF4" w:rsidRPr="009F7EF4" w:rsidRDefault="009F7EF4" w:rsidP="009F7EF4">
      <w:r w:rsidRPr="009F7EF4">
        <w:t xml:space="preserve">  </w:t>
      </w:r>
      <w:r w:rsidR="00E43D73">
        <w:t>-</w:t>
      </w:r>
      <w:r w:rsidRPr="009F7EF4">
        <w:t>Généralisée : si plus de 30% des sites présentent une perte d’attache.</w:t>
      </w:r>
    </w:p>
    <w:p w:rsidR="009F7EF4" w:rsidRPr="009F7EF4" w:rsidRDefault="009F7EF4" w:rsidP="00E43D73">
      <w:pPr>
        <w:pStyle w:val="Paragraphedeliste"/>
        <w:numPr>
          <w:ilvl w:val="0"/>
          <w:numId w:val="10"/>
        </w:numPr>
      </w:pPr>
      <w:r w:rsidRPr="00E43D73">
        <w:rPr>
          <w:b/>
          <w:bCs/>
        </w:rPr>
        <w:t>La sévérité :</w:t>
      </w:r>
      <w:r w:rsidRPr="009F7EF4">
        <w:t xml:space="preserve"> la sévérité de la maladie parodontale peut </w:t>
      </w:r>
      <w:r w:rsidR="00E43D73" w:rsidRPr="009F7EF4">
        <w:t>être</w:t>
      </w:r>
      <w:r w:rsidRPr="009F7EF4">
        <w:t xml:space="preserve"> vue soit dans sa globalité</w:t>
      </w:r>
    </w:p>
    <w:p w:rsidR="00FE5369" w:rsidRDefault="00E43D73" w:rsidP="00E43D73">
      <w:r w:rsidRPr="009F7EF4">
        <w:t>(Sur</w:t>
      </w:r>
      <w:r w:rsidR="009F7EF4" w:rsidRPr="009F7EF4">
        <w:t xml:space="preserve"> l’ensemble de la bouche) ou au niveau d’une dent ou d’un site. Elle est définie sur la base du niveau de perte d’attache clinique comme suit :</w:t>
      </w:r>
    </w:p>
    <w:p w:rsidR="00FE5369" w:rsidRDefault="00E43D73" w:rsidP="00E43D73">
      <w:r>
        <w:t>-</w:t>
      </w:r>
      <w:r w:rsidR="00D84613" w:rsidRPr="009F7EF4">
        <w:t>Débutante : si la perte d’attache est comprise entre 1 et 2 mm.</w:t>
      </w:r>
    </w:p>
    <w:p w:rsidR="00E43D73" w:rsidRDefault="00D84613" w:rsidP="00E43D73">
      <w:r w:rsidRPr="009F7EF4">
        <w:t xml:space="preserve"> </w:t>
      </w:r>
      <w:r w:rsidR="00E43D73">
        <w:t>-</w:t>
      </w:r>
      <w:r w:rsidRPr="009F7EF4">
        <w:t>Modérée : si la perte d’attache est comprise entre 3 et 4 mm.</w:t>
      </w:r>
    </w:p>
    <w:p w:rsidR="00AC05A6" w:rsidRPr="009F7EF4" w:rsidRDefault="00E43D73" w:rsidP="00E43D73">
      <w:r>
        <w:t>-</w:t>
      </w:r>
      <w:r w:rsidR="00D84613" w:rsidRPr="009F7EF4">
        <w:t xml:space="preserve"> </w:t>
      </w:r>
      <w:r w:rsidRPr="009F7EF4">
        <w:t>Sévère</w:t>
      </w:r>
      <w:r w:rsidR="00D84613" w:rsidRPr="009F7EF4">
        <w:t xml:space="preserve"> :    si la perte d’attache est supérieure ou égale à 5 </w:t>
      </w:r>
      <w:r w:rsidRPr="009F7EF4">
        <w:t>mm</w:t>
      </w:r>
      <w:r>
        <w:t>.</w:t>
      </w:r>
    </w:p>
    <w:p w:rsidR="00E43D73" w:rsidRDefault="00DF7593" w:rsidP="009F7EF4">
      <w:r w:rsidRPr="00E43D73">
        <w:rPr>
          <w:b/>
          <w:bCs/>
          <w:sz w:val="24"/>
          <w:szCs w:val="24"/>
        </w:rPr>
        <w:t>3.2.2</w:t>
      </w:r>
      <w:r>
        <w:rPr>
          <w:b/>
          <w:bCs/>
          <w:sz w:val="24"/>
          <w:szCs w:val="24"/>
        </w:rPr>
        <w:t>.2</w:t>
      </w:r>
      <w:r w:rsidRPr="00E43D73">
        <w:rPr>
          <w:b/>
          <w:bCs/>
          <w:sz w:val="24"/>
          <w:szCs w:val="24"/>
        </w:rPr>
        <w:t xml:space="preserve"> Parodontite</w:t>
      </w:r>
      <w:r w:rsidR="009F7EF4" w:rsidRPr="00E43D73">
        <w:rPr>
          <w:b/>
          <w:bCs/>
          <w:sz w:val="24"/>
          <w:szCs w:val="24"/>
        </w:rPr>
        <w:t xml:space="preserve"> agressive</w:t>
      </w:r>
      <w:r w:rsidR="009F7EF4" w:rsidRPr="009F7EF4">
        <w:t> :</w:t>
      </w:r>
    </w:p>
    <w:p w:rsidR="00E43D73" w:rsidRDefault="009F7EF4" w:rsidP="00E43D73">
      <w:r w:rsidRPr="009F7EF4">
        <w:t xml:space="preserve"> La parodontite agressive représente une entité spécifique, clairement différente de la parodontite chronique, la classification est basée sur l’étendue des lésions. On distingue la parodontite agressive localisée et la parodontite agressive généralisée.</w:t>
      </w:r>
    </w:p>
    <w:p w:rsidR="00E43D73" w:rsidRDefault="00DF7593" w:rsidP="00DF7593">
      <w:pPr>
        <w:pStyle w:val="Paragraphedeliste"/>
        <w:numPr>
          <w:ilvl w:val="0"/>
          <w:numId w:val="10"/>
        </w:numPr>
      </w:pPr>
      <w:r w:rsidRPr="00DF7593">
        <w:rPr>
          <w:b/>
          <w:bCs/>
        </w:rPr>
        <w:t>Caractéristiques</w:t>
      </w:r>
      <w:r w:rsidR="00E43D73" w:rsidRPr="00DF7593">
        <w:rPr>
          <w:b/>
          <w:bCs/>
        </w:rPr>
        <w:t xml:space="preserve"> communes des parodontites agressives localisées et généralisées</w:t>
      </w:r>
      <w:r w:rsidR="00E43D73">
        <w:t xml:space="preserve"> :</w:t>
      </w:r>
    </w:p>
    <w:p w:rsidR="00E43D73" w:rsidRDefault="00E43D73" w:rsidP="00E43D73">
      <w:r>
        <w:t>- Patients en bonne santé</w:t>
      </w:r>
    </w:p>
    <w:p w:rsidR="00E43D73" w:rsidRDefault="00E43D73" w:rsidP="00E43D73">
      <w:r>
        <w:t>- Patients présentant des pertes d’attaches et des alvéolyses rapides.</w:t>
      </w:r>
    </w:p>
    <w:p w:rsidR="00E43D73" w:rsidRDefault="00E43D73" w:rsidP="00E43D73">
      <w:r>
        <w:t>- présence d’une composante familiale.</w:t>
      </w:r>
    </w:p>
    <w:p w:rsidR="00E43D73" w:rsidRDefault="00E43D73" w:rsidP="00E43D73">
      <w:r>
        <w:t>- La quantité de plaque bactérienne dans la cavité buccale est en i</w:t>
      </w:r>
      <w:r w:rsidR="00FE5369">
        <w:t>n</w:t>
      </w:r>
      <w:r>
        <w:t>adéquation avec la sévérité de la destruction des tissus parodontaux.</w:t>
      </w:r>
    </w:p>
    <w:p w:rsidR="00E43D73" w:rsidRDefault="00E43D73" w:rsidP="00E43D73">
      <w:r>
        <w:t>- Les pourcentages au sein de la flore d’actinobacillus actinomycetemcomitans et dans certaines populations, de porphyromonas gingivalis sont importants.</w:t>
      </w:r>
    </w:p>
    <w:p w:rsidR="00E43D73" w:rsidRDefault="00E43D73" w:rsidP="00E43D73">
      <w:r>
        <w:t xml:space="preserve">- La présence d’anomalies dans les </w:t>
      </w:r>
      <w:r w:rsidR="00FE5369">
        <w:t>systèmes</w:t>
      </w:r>
      <w:r>
        <w:t xml:space="preserve"> phagocytaires.</w:t>
      </w:r>
    </w:p>
    <w:p w:rsidR="00E43D73" w:rsidRDefault="00E43D73" w:rsidP="00E43D73">
      <w:r>
        <w:t xml:space="preserve">-L’éventuelle survenue d’un </w:t>
      </w:r>
      <w:r w:rsidR="00FE5369">
        <w:t>arrêt</w:t>
      </w:r>
      <w:r>
        <w:t xml:space="preserve"> </w:t>
      </w:r>
      <w:r w:rsidR="00FE5369">
        <w:t>spontané</w:t>
      </w:r>
      <w:r>
        <w:t xml:space="preserve"> de la progression de la perte d’attache et osseuse.</w:t>
      </w:r>
    </w:p>
    <w:p w:rsidR="009F7EF4" w:rsidRPr="00DF7593" w:rsidRDefault="009F7EF4" w:rsidP="00E43D73">
      <w:pPr>
        <w:pStyle w:val="Paragraphedeliste"/>
        <w:numPr>
          <w:ilvl w:val="0"/>
          <w:numId w:val="10"/>
        </w:numPr>
        <w:rPr>
          <w:b/>
          <w:bCs/>
        </w:rPr>
      </w:pPr>
      <w:r w:rsidRPr="00DF7593">
        <w:rPr>
          <w:b/>
          <w:bCs/>
        </w:rPr>
        <w:t>Caractéristique de la parodontite agressive localisée :</w:t>
      </w:r>
    </w:p>
    <w:p w:rsidR="009F7EF4" w:rsidRPr="009F7EF4" w:rsidRDefault="009F7EF4" w:rsidP="009F7EF4">
      <w:r w:rsidRPr="009F7EF4">
        <w:t xml:space="preserve">- </w:t>
      </w:r>
      <w:r w:rsidR="00E43D73" w:rsidRPr="009F7EF4">
        <w:t>L’Age</w:t>
      </w:r>
      <w:r w:rsidRPr="009F7EF4">
        <w:t xml:space="preserve"> de survenue est proche de l’adolescence.</w:t>
      </w:r>
    </w:p>
    <w:p w:rsidR="009F7EF4" w:rsidRPr="009F7EF4" w:rsidRDefault="009F7EF4" w:rsidP="009F7EF4">
      <w:r w:rsidRPr="009F7EF4">
        <w:lastRenderedPageBreak/>
        <w:t>- La localisation spécifique au niveau des 1éres molaires et des incisives, avec présence d’une perte d’attache interproximale sur au moins 2 dents permanentes, dont une 1ére molaire, et intéressant au plus 2 dents supplémentaires autres que les incisives et les 1éres molaires.</w:t>
      </w:r>
    </w:p>
    <w:p w:rsidR="009F7EF4" w:rsidRPr="009F7EF4" w:rsidRDefault="009F7EF4" w:rsidP="009F7EF4">
      <w:r w:rsidRPr="009F7EF4">
        <w:t>- Les défauts osseux généralement symétriques montrent à la radiographie un aspect qualifié </w:t>
      </w:r>
      <w:r w:rsidR="00E43D73" w:rsidRPr="009F7EF4">
        <w:t>« d’image</w:t>
      </w:r>
      <w:r w:rsidRPr="009F7EF4">
        <w:t xml:space="preserve"> en miroir ».</w:t>
      </w:r>
    </w:p>
    <w:p w:rsidR="009F7EF4" w:rsidRPr="009F7EF4" w:rsidRDefault="009F7EF4" w:rsidP="009F7EF4">
      <w:r w:rsidRPr="009F7EF4">
        <w:t>- Présence d’une réponse anticorps sérique forte aux agents infectants.</w:t>
      </w:r>
    </w:p>
    <w:p w:rsidR="009F7EF4" w:rsidRPr="009F7EF4" w:rsidRDefault="009F7EF4" w:rsidP="00E43D73">
      <w:r w:rsidRPr="009F7EF4">
        <w:t xml:space="preserve"> </w:t>
      </w:r>
      <w:r w:rsidR="00D1167E">
        <w:t xml:space="preserve">- </w:t>
      </w:r>
      <w:r w:rsidRPr="009F7EF4">
        <w:t xml:space="preserve">Les patients atteints de parodontite agressive localisée sont généralement </w:t>
      </w:r>
      <w:r w:rsidR="00E43D73" w:rsidRPr="009F7EF4">
        <w:t>indemnes</w:t>
      </w:r>
      <w:r w:rsidRPr="009F7EF4">
        <w:t xml:space="preserve"> de caries. Les incisives peuvent montrer des dysplasies de l’email.</w:t>
      </w:r>
    </w:p>
    <w:p w:rsidR="009F7EF4" w:rsidRPr="00DF7593" w:rsidRDefault="00DF7593" w:rsidP="00E43D73">
      <w:pPr>
        <w:pStyle w:val="Paragraphedeliste"/>
        <w:numPr>
          <w:ilvl w:val="0"/>
          <w:numId w:val="10"/>
        </w:numPr>
        <w:rPr>
          <w:b/>
          <w:bCs/>
        </w:rPr>
      </w:pPr>
      <w:r w:rsidRPr="00DF7593">
        <w:rPr>
          <w:b/>
          <w:bCs/>
        </w:rPr>
        <w:t>Caractéristiques</w:t>
      </w:r>
      <w:r w:rsidR="009F7EF4" w:rsidRPr="00DF7593">
        <w:rPr>
          <w:b/>
          <w:bCs/>
        </w:rPr>
        <w:t xml:space="preserve"> de la parodontite agressive généralisée :</w:t>
      </w:r>
    </w:p>
    <w:p w:rsidR="009F7EF4" w:rsidRPr="009F7EF4" w:rsidRDefault="009F7EF4" w:rsidP="009F7EF4">
      <w:r w:rsidRPr="009F7EF4">
        <w:t xml:space="preserve">- Elle affecte habituellement des patients de moins de 30 ans, mais qui peuvent également </w:t>
      </w:r>
      <w:r w:rsidR="00DF7593" w:rsidRPr="009F7EF4">
        <w:t>être</w:t>
      </w:r>
      <w:r w:rsidRPr="009F7EF4">
        <w:t xml:space="preserve"> plus </w:t>
      </w:r>
      <w:r w:rsidR="00DF7593" w:rsidRPr="009F7EF4">
        <w:t>âgés</w:t>
      </w:r>
      <w:r w:rsidRPr="009F7EF4">
        <w:t>.</w:t>
      </w:r>
    </w:p>
    <w:p w:rsidR="009F7EF4" w:rsidRPr="009F7EF4" w:rsidRDefault="009F7EF4" w:rsidP="009F7EF4">
      <w:r w:rsidRPr="009F7EF4">
        <w:t>- La réponse anticorps sérique</w:t>
      </w:r>
      <w:r w:rsidR="00D1167E">
        <w:t>s</w:t>
      </w:r>
      <w:r w:rsidRPr="009F7EF4">
        <w:t xml:space="preserve"> aux agents infectants est faible.</w:t>
      </w:r>
    </w:p>
    <w:p w:rsidR="009F7EF4" w:rsidRPr="009F7EF4" w:rsidRDefault="009F7EF4" w:rsidP="009F7EF4">
      <w:r w:rsidRPr="009F7EF4">
        <w:t>- La maladie progresse par épisode de perte d’attache et de destruction osseuse prononcées.</w:t>
      </w:r>
    </w:p>
    <w:p w:rsidR="009F7EF4" w:rsidRDefault="009F7EF4" w:rsidP="009F7EF4">
      <w:r w:rsidRPr="009F7EF4">
        <w:t>- On note la présence d’une perte d’attache interproximale généralisée affectant au moins 3 dents autres que les incisives et les 1éres molaires.</w:t>
      </w:r>
    </w:p>
    <w:p w:rsidR="009F7EF4" w:rsidRPr="005254E9" w:rsidRDefault="00DF7593" w:rsidP="009F7EF4">
      <w:pPr>
        <w:rPr>
          <w:b/>
          <w:bCs/>
          <w:sz w:val="24"/>
          <w:szCs w:val="24"/>
        </w:rPr>
      </w:pPr>
      <w:r w:rsidRPr="00DF7593">
        <w:rPr>
          <w:b/>
          <w:bCs/>
          <w:sz w:val="24"/>
          <w:szCs w:val="24"/>
        </w:rPr>
        <w:t xml:space="preserve">3.2.2.3 </w:t>
      </w:r>
      <w:r w:rsidR="009F7EF4" w:rsidRPr="00DF7593">
        <w:rPr>
          <w:b/>
          <w:bCs/>
          <w:sz w:val="24"/>
          <w:szCs w:val="24"/>
        </w:rPr>
        <w:t>Parodontites, manifestations de maladies systémiques :</w:t>
      </w:r>
    </w:p>
    <w:p w:rsidR="009F7EF4" w:rsidRPr="009F7EF4" w:rsidRDefault="009F7EF4" w:rsidP="00DF7593">
      <w:pPr>
        <w:pStyle w:val="Paragraphedeliste"/>
        <w:numPr>
          <w:ilvl w:val="0"/>
          <w:numId w:val="10"/>
        </w:numPr>
      </w:pPr>
      <w:r w:rsidRPr="009F7EF4">
        <w:t>Parodontites associées à des désordres hématologiques : neutropénie, leucémie, infection au VIH.</w:t>
      </w:r>
    </w:p>
    <w:p w:rsidR="009F7EF4" w:rsidRPr="009F7EF4" w:rsidRDefault="00DF7593" w:rsidP="00DF7593">
      <w:pPr>
        <w:pStyle w:val="Paragraphedeliste"/>
        <w:numPr>
          <w:ilvl w:val="0"/>
          <w:numId w:val="10"/>
        </w:numPr>
      </w:pPr>
      <w:r w:rsidRPr="009F7EF4">
        <w:t>Parodontites</w:t>
      </w:r>
      <w:r w:rsidR="009F7EF4" w:rsidRPr="009F7EF4">
        <w:t xml:space="preserve"> associées à des désordres génétiques :</w:t>
      </w:r>
    </w:p>
    <w:p w:rsidR="009F7EF4" w:rsidRPr="009F7EF4" w:rsidRDefault="009F7EF4" w:rsidP="00DF7593">
      <w:pPr>
        <w:ind w:left="708"/>
      </w:pPr>
      <w:r w:rsidRPr="009F7EF4">
        <w:t xml:space="preserve"> * Neutropénie familiale</w:t>
      </w:r>
    </w:p>
    <w:p w:rsidR="009F7EF4" w:rsidRPr="009F7EF4" w:rsidRDefault="009F7EF4" w:rsidP="00DF7593">
      <w:pPr>
        <w:ind w:left="708"/>
      </w:pPr>
      <w:r w:rsidRPr="009F7EF4">
        <w:t>*  Syndrome de Down</w:t>
      </w:r>
    </w:p>
    <w:p w:rsidR="009F7EF4" w:rsidRPr="009F7EF4" w:rsidRDefault="009F7EF4" w:rsidP="00DF7593">
      <w:pPr>
        <w:ind w:left="708"/>
      </w:pPr>
      <w:r w:rsidRPr="009F7EF4">
        <w:t>*  Syndrome de Papillon-Lefévre</w:t>
      </w:r>
    </w:p>
    <w:p w:rsidR="009F7EF4" w:rsidRPr="009F7EF4" w:rsidRDefault="009F7EF4" w:rsidP="00DF7593">
      <w:pPr>
        <w:ind w:left="708"/>
      </w:pPr>
      <w:r w:rsidRPr="009F7EF4">
        <w:t>*  Agranulocytose</w:t>
      </w:r>
    </w:p>
    <w:p w:rsidR="009F7EF4" w:rsidRPr="009F7EF4" w:rsidRDefault="009F7EF4" w:rsidP="00DF7593">
      <w:pPr>
        <w:ind w:left="708"/>
      </w:pPr>
      <w:r w:rsidRPr="009F7EF4">
        <w:t xml:space="preserve">*  Syndrome de </w:t>
      </w:r>
      <w:r w:rsidR="00F768E3">
        <w:t>C</w:t>
      </w:r>
      <w:r w:rsidRPr="009F7EF4">
        <w:t>ohen</w:t>
      </w:r>
    </w:p>
    <w:p w:rsidR="009F7EF4" w:rsidRPr="009F7EF4" w:rsidRDefault="009F7EF4" w:rsidP="00DF7593">
      <w:pPr>
        <w:ind w:left="708"/>
      </w:pPr>
      <w:r w:rsidRPr="009F7EF4">
        <w:t>*  Hypophosphatasie</w:t>
      </w:r>
    </w:p>
    <w:p w:rsidR="009F7EF4" w:rsidRPr="009F7EF4" w:rsidRDefault="009F7EF4" w:rsidP="00DF7593">
      <w:pPr>
        <w:ind w:left="708"/>
      </w:pPr>
      <w:r w:rsidRPr="009F7EF4">
        <w:t>*  syndrome de déficience d’adhésion des leucocytes</w:t>
      </w:r>
    </w:p>
    <w:p w:rsidR="009F7EF4" w:rsidRDefault="009F7EF4" w:rsidP="00DF7593">
      <w:pPr>
        <w:ind w:left="708"/>
      </w:pPr>
      <w:r w:rsidRPr="009F7EF4">
        <w:t>*  Histocytose X</w:t>
      </w:r>
    </w:p>
    <w:p w:rsidR="009F7EF4" w:rsidRPr="009F7EF4" w:rsidRDefault="00DF7593" w:rsidP="00DF7593">
      <w:pPr>
        <w:ind w:left="426" w:hanging="426"/>
      </w:pPr>
      <w:r>
        <w:rPr>
          <w:b/>
          <w:bCs/>
        </w:rPr>
        <w:t>3.2.2.4</w:t>
      </w:r>
      <w:r w:rsidR="009F7EF4" w:rsidRPr="009F7EF4">
        <w:rPr>
          <w:b/>
          <w:bCs/>
        </w:rPr>
        <w:t xml:space="preserve"> Parodontite d’origine non </w:t>
      </w:r>
      <w:r w:rsidR="009F7EF4" w:rsidRPr="00E22790">
        <w:rPr>
          <w:b/>
          <w:bCs/>
          <w:sz w:val="24"/>
          <w:szCs w:val="24"/>
        </w:rPr>
        <w:t>déterminée</w:t>
      </w:r>
    </w:p>
    <w:p w:rsidR="00DF7593" w:rsidRDefault="00DF7593" w:rsidP="009F7EF4">
      <w:pPr>
        <w:rPr>
          <w:b/>
          <w:bCs/>
        </w:rPr>
      </w:pPr>
      <w:r w:rsidRPr="00DF7593">
        <w:rPr>
          <w:b/>
          <w:bCs/>
          <w:sz w:val="24"/>
          <w:szCs w:val="24"/>
        </w:rPr>
        <w:t>3.2.3</w:t>
      </w:r>
      <w:r w:rsidR="009F7EF4" w:rsidRPr="00DF7593">
        <w:rPr>
          <w:b/>
          <w:bCs/>
          <w:sz w:val="24"/>
          <w:szCs w:val="24"/>
        </w:rPr>
        <w:t xml:space="preserve"> Maladies parodontales ulcéro-nécrotique</w:t>
      </w:r>
      <w:r w:rsidR="009F7EF4" w:rsidRPr="009F7EF4">
        <w:rPr>
          <w:b/>
          <w:bCs/>
        </w:rPr>
        <w:t> :</w:t>
      </w:r>
    </w:p>
    <w:p w:rsidR="009F7EF4" w:rsidRPr="009F7EF4" w:rsidRDefault="009F7EF4" w:rsidP="009F7EF4">
      <w:r w:rsidRPr="009F7EF4">
        <w:rPr>
          <w:b/>
          <w:bCs/>
        </w:rPr>
        <w:t xml:space="preserve"> </w:t>
      </w:r>
      <w:r w:rsidR="00DF7593" w:rsidRPr="009F7EF4">
        <w:t>Gingivites</w:t>
      </w:r>
      <w:r w:rsidRPr="009F7EF4">
        <w:t xml:space="preserve"> ulcéro-nécrotiques, parodontites ulcéro-nécrotiques</w:t>
      </w:r>
      <w:r w:rsidRPr="009F7EF4">
        <w:rPr>
          <w:b/>
          <w:bCs/>
        </w:rPr>
        <w:t>.</w:t>
      </w:r>
    </w:p>
    <w:p w:rsidR="009F7EF4" w:rsidRPr="009F7EF4" w:rsidRDefault="00DF7593" w:rsidP="009F7EF4">
      <w:r w:rsidRPr="00DF7593">
        <w:rPr>
          <w:b/>
          <w:bCs/>
          <w:sz w:val="24"/>
          <w:szCs w:val="24"/>
        </w:rPr>
        <w:t xml:space="preserve">3.2.4 </w:t>
      </w:r>
      <w:r w:rsidR="00B748D6" w:rsidRPr="00DF7593">
        <w:rPr>
          <w:b/>
          <w:bCs/>
          <w:sz w:val="24"/>
          <w:szCs w:val="24"/>
        </w:rPr>
        <w:t>Abcès</w:t>
      </w:r>
      <w:r w:rsidR="009F7EF4" w:rsidRPr="00DF7593">
        <w:rPr>
          <w:b/>
          <w:bCs/>
          <w:sz w:val="24"/>
          <w:szCs w:val="24"/>
        </w:rPr>
        <w:t xml:space="preserve"> parodontal</w:t>
      </w:r>
      <w:r w:rsidR="009F7EF4" w:rsidRPr="009F7EF4">
        <w:rPr>
          <w:b/>
          <w:bCs/>
        </w:rPr>
        <w:t xml:space="preserve"> : </w:t>
      </w:r>
      <w:r w:rsidRPr="009F7EF4">
        <w:t>abcès</w:t>
      </w:r>
      <w:r w:rsidR="009F7EF4" w:rsidRPr="009F7EF4">
        <w:t xml:space="preserve"> gingival, </w:t>
      </w:r>
      <w:r w:rsidR="00B748D6" w:rsidRPr="009F7EF4">
        <w:t>abcès</w:t>
      </w:r>
      <w:r w:rsidR="009F7EF4" w:rsidRPr="009F7EF4">
        <w:t xml:space="preserve"> parodontal, </w:t>
      </w:r>
      <w:r w:rsidR="00B748D6" w:rsidRPr="009F7EF4">
        <w:t>abcès</w:t>
      </w:r>
      <w:r w:rsidR="009F7EF4" w:rsidRPr="009F7EF4">
        <w:t xml:space="preserve"> péricoronaire.</w:t>
      </w:r>
    </w:p>
    <w:p w:rsidR="009F7EF4" w:rsidRPr="009F7EF4" w:rsidRDefault="00DF7593" w:rsidP="009F7EF4">
      <w:r w:rsidRPr="00DF7593">
        <w:rPr>
          <w:b/>
          <w:bCs/>
          <w:sz w:val="24"/>
          <w:szCs w:val="24"/>
        </w:rPr>
        <w:t>3.2.5 Parodontite</w:t>
      </w:r>
      <w:r w:rsidR="009F7EF4" w:rsidRPr="00DF7593">
        <w:rPr>
          <w:b/>
          <w:bCs/>
          <w:sz w:val="24"/>
          <w:szCs w:val="24"/>
        </w:rPr>
        <w:t xml:space="preserve"> associée </w:t>
      </w:r>
      <w:r w:rsidRPr="00DF7593">
        <w:rPr>
          <w:b/>
          <w:bCs/>
          <w:sz w:val="24"/>
          <w:szCs w:val="24"/>
        </w:rPr>
        <w:t>à</w:t>
      </w:r>
      <w:r w:rsidR="009F7EF4" w:rsidRPr="00DF7593">
        <w:rPr>
          <w:b/>
          <w:bCs/>
          <w:sz w:val="24"/>
          <w:szCs w:val="24"/>
        </w:rPr>
        <w:t xml:space="preserve"> une pathologie endodontique</w:t>
      </w:r>
      <w:r w:rsidR="009F7EF4" w:rsidRPr="009F7EF4">
        <w:rPr>
          <w:b/>
          <w:bCs/>
        </w:rPr>
        <w:t> :</w:t>
      </w:r>
      <w:r w:rsidR="009F7EF4" w:rsidRPr="009F7EF4">
        <w:t xml:space="preserve"> lésions combinées endo-parodontales.</w:t>
      </w:r>
    </w:p>
    <w:p w:rsidR="009F7EF4" w:rsidRPr="00DF7593" w:rsidRDefault="00DF7593" w:rsidP="009F7EF4">
      <w:pPr>
        <w:rPr>
          <w:sz w:val="24"/>
          <w:szCs w:val="24"/>
        </w:rPr>
      </w:pPr>
      <w:r w:rsidRPr="00DF7593">
        <w:rPr>
          <w:b/>
          <w:bCs/>
          <w:sz w:val="24"/>
          <w:szCs w:val="24"/>
        </w:rPr>
        <w:t xml:space="preserve">3.2.6 </w:t>
      </w:r>
      <w:r w:rsidR="009F7EF4" w:rsidRPr="00DF7593">
        <w:rPr>
          <w:b/>
          <w:bCs/>
          <w:sz w:val="24"/>
          <w:szCs w:val="24"/>
        </w:rPr>
        <w:t xml:space="preserve">conditions parodontales défavorables innées ou acquises : </w:t>
      </w:r>
    </w:p>
    <w:p w:rsidR="009F7EF4" w:rsidRPr="009F7EF4" w:rsidRDefault="009F7EF4" w:rsidP="00DF7593">
      <w:pPr>
        <w:pStyle w:val="Paragraphedeliste"/>
        <w:numPr>
          <w:ilvl w:val="0"/>
          <w:numId w:val="11"/>
        </w:numPr>
      </w:pPr>
      <w:r w:rsidRPr="009F7EF4">
        <w:lastRenderedPageBreak/>
        <w:t>Facteurs anatomiques favorisants la rétention de plaque. La morphologie des dents ou leurs positions, leur chevauchement peuvent créer des conditions parodontales défavorables.</w:t>
      </w:r>
    </w:p>
    <w:p w:rsidR="009F7EF4" w:rsidRPr="009F7EF4" w:rsidRDefault="009F7EF4" w:rsidP="00DF7593">
      <w:pPr>
        <w:pStyle w:val="Paragraphedeliste"/>
        <w:numPr>
          <w:ilvl w:val="0"/>
          <w:numId w:val="11"/>
        </w:numPr>
      </w:pPr>
      <w:r w:rsidRPr="009F7EF4">
        <w:t>L’insuffisance ou l’absence de la gencive adhérente kératinisée peut contribuer à l’apparition d’une atteinte parodontale.</w:t>
      </w:r>
    </w:p>
    <w:p w:rsidR="009F7EF4" w:rsidRPr="009F7EF4" w:rsidRDefault="009F7EF4" w:rsidP="00DF7593">
      <w:pPr>
        <w:pStyle w:val="Paragraphedeliste"/>
        <w:numPr>
          <w:ilvl w:val="0"/>
          <w:numId w:val="11"/>
        </w:numPr>
      </w:pPr>
      <w:r w:rsidRPr="009F7EF4">
        <w:t>Un complexe muco-gingivale inadéquat, anomalie d’insertion de freins qui peuvent être à l’origine de pertes d’attache associées à des récessions.</w:t>
      </w:r>
    </w:p>
    <w:p w:rsidR="009F7EF4" w:rsidRPr="009F7EF4" w:rsidRDefault="009F7EF4" w:rsidP="00DF7593">
      <w:pPr>
        <w:pStyle w:val="Paragraphedeliste"/>
        <w:numPr>
          <w:ilvl w:val="0"/>
          <w:numId w:val="11"/>
        </w:numPr>
      </w:pPr>
      <w:r w:rsidRPr="009F7EF4">
        <w:t>Le trauma occlusal primaire ou secondaire constitue également une condition défavorable au maintien de la santé parodontale.</w:t>
      </w:r>
    </w:p>
    <w:p w:rsidR="009F7EF4" w:rsidRPr="00E22790" w:rsidRDefault="00DF7593" w:rsidP="009F7EF4">
      <w:pPr>
        <w:rPr>
          <w:b/>
          <w:bCs/>
          <w:sz w:val="28"/>
          <w:szCs w:val="28"/>
        </w:rPr>
      </w:pPr>
      <w:r w:rsidRPr="00E22790">
        <w:rPr>
          <w:b/>
          <w:bCs/>
          <w:sz w:val="28"/>
          <w:szCs w:val="28"/>
        </w:rPr>
        <w:t>3.</w:t>
      </w:r>
      <w:r w:rsidR="00B748D6" w:rsidRPr="00E22790">
        <w:rPr>
          <w:b/>
          <w:bCs/>
          <w:sz w:val="28"/>
          <w:szCs w:val="28"/>
        </w:rPr>
        <w:t>3. Classification</w:t>
      </w:r>
      <w:r w:rsidR="004B5F0D" w:rsidRPr="00E22790">
        <w:rPr>
          <w:b/>
          <w:bCs/>
          <w:sz w:val="28"/>
          <w:szCs w:val="28"/>
        </w:rPr>
        <w:t xml:space="preserve"> </w:t>
      </w:r>
      <w:r w:rsidR="00B748D6" w:rsidRPr="00E22790">
        <w:rPr>
          <w:b/>
          <w:bCs/>
          <w:sz w:val="28"/>
          <w:szCs w:val="28"/>
        </w:rPr>
        <w:t>Chicago</w:t>
      </w:r>
      <w:r w:rsidR="004B5F0D" w:rsidRPr="00E22790">
        <w:rPr>
          <w:b/>
          <w:bCs/>
          <w:sz w:val="28"/>
          <w:szCs w:val="28"/>
        </w:rPr>
        <w:t xml:space="preserve"> 2017</w:t>
      </w:r>
    </w:p>
    <w:p w:rsidR="004B5F0D" w:rsidRDefault="00E06E11" w:rsidP="004B5F0D">
      <w:r w:rsidRPr="00E06E11">
        <w:t>Un comité organisateur de l'AAP et de l'EFP a commandé 19 articles de synthèse et quatre rapports de consensus couvrant des domaines pertinents de la parodontologie et</w:t>
      </w:r>
      <w:r w:rsidR="004B5F0D">
        <w:t xml:space="preserve"> de la dentisterie implantaire.</w:t>
      </w:r>
    </w:p>
    <w:p w:rsidR="004B5F0D" w:rsidRDefault="00E06E11" w:rsidP="004B5F0D">
      <w:r w:rsidRPr="00E06E11">
        <w:t>Les auteurs ont été chargés de mettre à jour la classification de 1999 des mala</w:t>
      </w:r>
      <w:r w:rsidR="004B5F0D">
        <w:t>dies et affections parodontales</w:t>
      </w:r>
      <w:r w:rsidRPr="00E06E11">
        <w:t xml:space="preserve"> et de développer un système similaire pour les maladies et</w:t>
      </w:r>
      <w:r w:rsidR="004B5F0D">
        <w:t xml:space="preserve"> affections péri-implantaires.</w:t>
      </w:r>
    </w:p>
    <w:p w:rsidR="004B5F0D" w:rsidRDefault="00E06E11" w:rsidP="004B5F0D">
      <w:r w:rsidRPr="00E06E11">
        <w:t>Il a également été demandé aux examinateurs et aux groupes de travail d'établir des définitions de cas pertinentes et de fournir des critères de diagnostic pour aider les cliniciens à utiliser</w:t>
      </w:r>
      <w:r w:rsidR="004B5F0D">
        <w:t xml:space="preserve"> une nouvelle classification. </w:t>
      </w:r>
      <w:r w:rsidR="004B5F0D" w:rsidRPr="004B5F0D">
        <w:t>Toutes les conclusions et recommandations de l’atelier ont été acceptées par consensus.</w:t>
      </w:r>
    </w:p>
    <w:p w:rsidR="004B5F0D" w:rsidRPr="00D84A21" w:rsidRDefault="004B5F0D" w:rsidP="004B5F0D">
      <w:pPr>
        <w:rPr>
          <w:b/>
          <w:bCs/>
        </w:rPr>
      </w:pPr>
      <w:r w:rsidRPr="00D84A21">
        <w:rPr>
          <w:b/>
          <w:bCs/>
        </w:rPr>
        <w:t xml:space="preserve">3.3.1. </w:t>
      </w:r>
      <w:r w:rsidR="00B748D6" w:rsidRPr="00D84A21">
        <w:rPr>
          <w:b/>
          <w:bCs/>
        </w:rPr>
        <w:t>Santé</w:t>
      </w:r>
      <w:r w:rsidRPr="00D84A21">
        <w:rPr>
          <w:b/>
          <w:bCs/>
        </w:rPr>
        <w:t xml:space="preserve"> parodontale et gingivite</w:t>
      </w:r>
    </w:p>
    <w:p w:rsidR="004B5F0D" w:rsidRDefault="004B5F0D" w:rsidP="004B5F0D">
      <w:r w:rsidRPr="004B5F0D">
        <w:t>Le système de classification de 1999 a été le premier à reconnaître la nécessité de classer les maladies et affections gingivales, mais son approche présentait de nombreuses lacunes.</w:t>
      </w:r>
    </w:p>
    <w:p w:rsidR="00ED55E5" w:rsidRDefault="004B5F0D" w:rsidP="004B5F0D">
      <w:r w:rsidRPr="004B5F0D">
        <w:t xml:space="preserve"> • Il ne définissait pas la « santé » et la description de la gingivite était inutilement complexe.</w:t>
      </w:r>
    </w:p>
    <w:p w:rsidR="00ED55E5" w:rsidRDefault="004B5F0D" w:rsidP="004B5F0D">
      <w:r w:rsidRPr="004B5F0D">
        <w:t xml:space="preserve"> • La nouvelle classification de 2017 fournit une définition claire de la santé parodontale, tant histologiquement que cliniquement.</w:t>
      </w:r>
    </w:p>
    <w:p w:rsidR="00ED55E5" w:rsidRDefault="004B5F0D" w:rsidP="004B5F0D">
      <w:r w:rsidRPr="004B5F0D">
        <w:t xml:space="preserve"> • Elle simplifie également la définition de la gingivite en deux catégories : la gingivite induite par la plaque et les maladies gingivales non induites par la plaque.</w:t>
      </w:r>
    </w:p>
    <w:p w:rsidR="004B5F0D" w:rsidRDefault="004B5F0D" w:rsidP="004B5F0D">
      <w:r w:rsidRPr="004B5F0D">
        <w:t xml:space="preserve"> • La santé gingivale est définie à la fois sur un parodonte intact et réduit, alors que la santé / la stabilité est définie pour un patient avec antécédent de maladie parodontale traité avec succès.</w:t>
      </w:r>
    </w:p>
    <w:p w:rsidR="00ED55E5" w:rsidRPr="00D84A21" w:rsidRDefault="00ED55E5" w:rsidP="004B5F0D">
      <w:pPr>
        <w:rPr>
          <w:b/>
          <w:bCs/>
        </w:rPr>
      </w:pPr>
      <w:r w:rsidRPr="00D84A21">
        <w:rPr>
          <w:b/>
          <w:bCs/>
        </w:rPr>
        <w:t xml:space="preserve">3.3.1.1. </w:t>
      </w:r>
      <w:r w:rsidR="00F97AE3" w:rsidRPr="00D84A21">
        <w:rPr>
          <w:b/>
          <w:bCs/>
        </w:rPr>
        <w:t>La</w:t>
      </w:r>
      <w:r w:rsidRPr="00D84A21">
        <w:rPr>
          <w:b/>
          <w:bCs/>
        </w:rPr>
        <w:t xml:space="preserve"> santé parodontale</w:t>
      </w:r>
    </w:p>
    <w:p w:rsidR="00F97AE3" w:rsidRDefault="00ED55E5" w:rsidP="00ED55E5">
      <w:r>
        <w:t xml:space="preserve">La santé gingivale clinique a été définie, dans le cas d’un parodonte intact et réduit chez un patient ne présentant pas de parodontite, avec moins de 10% de saignements sur des profondeurs de sondage ≤3 </w:t>
      </w:r>
      <w:r w:rsidR="005254E9">
        <w:t>mm.</w:t>
      </w:r>
      <w:r>
        <w:t xml:space="preserve"> Le parodonte intact n’a pas de perte d’attache, alors que le parodonte réduit présent</w:t>
      </w:r>
      <w:r w:rsidR="00F97AE3">
        <w:t>e</w:t>
      </w:r>
      <w:r>
        <w:t xml:space="preserve"> une perte d’attache évidente.</w:t>
      </w:r>
    </w:p>
    <w:p w:rsidR="00ED55E5" w:rsidRDefault="00ED55E5" w:rsidP="00ED55E5">
      <w:r>
        <w:t xml:space="preserve"> Dans le parodonte réduit chez un patient avec antécédent de maladie parodontale traitée avec succès, la définition de la santé autorise des profondeurs de sondage allant jusqu’à 4 mm (englobant le concept de « poche fermée »). Cependant, il ne doit pas y avoir de saignement au sondage sur un site de 4 mm, car cela représenterait la probabilité d’une parodontite récurrente et indiquerait la nécessité d’une intervention corrective.</w:t>
      </w:r>
    </w:p>
    <w:p w:rsidR="005254E9" w:rsidRDefault="005254E9" w:rsidP="004B5F0D">
      <w:pPr>
        <w:rPr>
          <w:b/>
          <w:bCs/>
          <w:sz w:val="24"/>
          <w:szCs w:val="24"/>
        </w:rPr>
      </w:pPr>
    </w:p>
    <w:p w:rsidR="004B5F0D" w:rsidRPr="00703D7E" w:rsidRDefault="00ED55E5" w:rsidP="004B5F0D">
      <w:pPr>
        <w:rPr>
          <w:b/>
          <w:bCs/>
          <w:sz w:val="24"/>
          <w:szCs w:val="24"/>
        </w:rPr>
      </w:pPr>
      <w:r w:rsidRPr="00703D7E">
        <w:rPr>
          <w:b/>
          <w:bCs/>
          <w:sz w:val="24"/>
          <w:szCs w:val="24"/>
        </w:rPr>
        <w:lastRenderedPageBreak/>
        <w:t>3.3.1.2.</w:t>
      </w:r>
      <w:r w:rsidR="00703D7E">
        <w:rPr>
          <w:b/>
          <w:bCs/>
          <w:sz w:val="24"/>
          <w:szCs w:val="24"/>
        </w:rPr>
        <w:t xml:space="preserve"> L</w:t>
      </w:r>
      <w:r w:rsidRPr="00703D7E">
        <w:rPr>
          <w:b/>
          <w:bCs/>
          <w:sz w:val="24"/>
          <w:szCs w:val="24"/>
        </w:rPr>
        <w:t>a gingivite</w:t>
      </w:r>
    </w:p>
    <w:p w:rsidR="00984020" w:rsidRDefault="00ED55E5" w:rsidP="00ED55E5">
      <w:r>
        <w:t>La gingivite induite par le biofilm de la plaque dentaire</w:t>
      </w:r>
    </w:p>
    <w:p w:rsidR="00984020" w:rsidRDefault="00ED55E5" w:rsidP="00ED55E5">
      <w:r>
        <w:t xml:space="preserve"> </w:t>
      </w:r>
      <w:r w:rsidR="00D84A21">
        <w:t>Se</w:t>
      </w:r>
      <w:r>
        <w:t xml:space="preserve"> divise en trois catégories :</w:t>
      </w:r>
    </w:p>
    <w:p w:rsidR="00984020" w:rsidRDefault="00ED55E5" w:rsidP="00ED55E5">
      <w:r>
        <w:t xml:space="preserve"> • associée seulement au biofilm ;</w:t>
      </w:r>
    </w:p>
    <w:p w:rsidR="00984020" w:rsidRDefault="00ED55E5" w:rsidP="00ED55E5">
      <w:r>
        <w:t xml:space="preserve"> • modifiée par des </w:t>
      </w:r>
      <w:r w:rsidR="00984020">
        <w:t>facteurs systémiques ou locaux :</w:t>
      </w:r>
    </w:p>
    <w:p w:rsidR="00984020" w:rsidRDefault="00984020" w:rsidP="00ED55E5">
      <w:r>
        <w:t>Les facteurs prédisposants (facteurs de risque locaux) qui entraînent une accumulation accrue de plaque ont été définis comme suit : • facteurs de rétention de la plaque (par exemple des sur contours de restauration ou des limites prothétiques sous gingivales) ; • sècheresse buccale.</w:t>
      </w:r>
    </w:p>
    <w:p w:rsidR="00F97AE3" w:rsidRDefault="00984020" w:rsidP="00ED55E5">
      <w:r>
        <w:t xml:space="preserve">Les facteurs modifiants (facteurs de risque systémiques) qui modifient la réponse immuno-inflammatoire de la plaque ont également été définis : </w:t>
      </w:r>
    </w:p>
    <w:p w:rsidR="00ED55E5" w:rsidRDefault="00984020" w:rsidP="00ED55E5">
      <w:r>
        <w:t>• la cigarette ; • l’hyperglycémie (patients atteints de diabète) ; • une faible teneur en micronutriments anti oxydant (par exemple, vitamine C) ; • les médicaments, en particulier les médicaments immuno- modulateurs ; • les niveaux élevés d’hormones stéroïdiennes ; • troubles hématologiques (par exemple, neutropénie</w:t>
      </w:r>
      <w:r w:rsidR="005254E9">
        <w:t>). •</w:t>
      </w:r>
      <w:r w:rsidR="00ED55E5">
        <w:t xml:space="preserve"> modifiée par une prise médicamenteuse.</w:t>
      </w:r>
    </w:p>
    <w:p w:rsidR="00984020" w:rsidRDefault="00984020" w:rsidP="00F97AE3">
      <w:r>
        <w:t>Dans le contexte du patient parodontal, le terme « inflammation gingivale » est utilisé plutôt que « gingivite ». Bien que ces deux termes signifient la même chose d’un point de vue technique, il a été décidé qu’on ne pouvait pas avoir un patient qui était défini à la fois comme un « cas » de parodontite et un « cas » de gingivite. Néanmoins, un patient avec antécédent de maladie parodontale peut avoir des sites d’inflammation gingivale avec des profondeurs de sondage ≤ 3 mm après traitement, mais ces patients ne nécessitent pas de surfaçage radiculaire, mais plutôt un renforcement de l’hygiène buccodentaire et l’élimination de la plaque pour gérer l’inflammation gingivale localisée.</w:t>
      </w:r>
    </w:p>
    <w:p w:rsidR="00984020" w:rsidRPr="0035172D" w:rsidRDefault="00F97AE3" w:rsidP="00984020">
      <w:pPr>
        <w:pStyle w:val="Paragraphedeliste"/>
        <w:ind w:left="0"/>
        <w:rPr>
          <w:b/>
          <w:bCs/>
          <w:sz w:val="24"/>
          <w:szCs w:val="24"/>
        </w:rPr>
      </w:pPr>
      <w:r w:rsidRPr="0035172D">
        <w:rPr>
          <w:b/>
          <w:bCs/>
          <w:sz w:val="24"/>
          <w:szCs w:val="24"/>
        </w:rPr>
        <w:t xml:space="preserve">3.3.2 </w:t>
      </w:r>
      <w:r w:rsidR="00984020" w:rsidRPr="0035172D">
        <w:rPr>
          <w:b/>
          <w:bCs/>
          <w:sz w:val="24"/>
          <w:szCs w:val="24"/>
        </w:rPr>
        <w:t>L</w:t>
      </w:r>
      <w:r w:rsidRPr="0035172D">
        <w:rPr>
          <w:b/>
          <w:bCs/>
          <w:sz w:val="24"/>
          <w:szCs w:val="24"/>
        </w:rPr>
        <w:t>es</w:t>
      </w:r>
      <w:r w:rsidR="00984020" w:rsidRPr="0035172D">
        <w:rPr>
          <w:b/>
          <w:bCs/>
          <w:sz w:val="24"/>
          <w:szCs w:val="24"/>
        </w:rPr>
        <w:t xml:space="preserve"> p</w:t>
      </w:r>
      <w:r w:rsidRPr="0035172D">
        <w:rPr>
          <w:b/>
          <w:bCs/>
          <w:sz w:val="24"/>
          <w:szCs w:val="24"/>
        </w:rPr>
        <w:t>a</w:t>
      </w:r>
      <w:r w:rsidR="00984020" w:rsidRPr="0035172D">
        <w:rPr>
          <w:b/>
          <w:bCs/>
          <w:sz w:val="24"/>
          <w:szCs w:val="24"/>
        </w:rPr>
        <w:t>rodontite</w:t>
      </w:r>
      <w:r w:rsidRPr="0035172D">
        <w:rPr>
          <w:b/>
          <w:bCs/>
          <w:sz w:val="24"/>
          <w:szCs w:val="24"/>
        </w:rPr>
        <w:t>s</w:t>
      </w:r>
    </w:p>
    <w:p w:rsidR="00984020" w:rsidRDefault="00984020" w:rsidP="00984020">
      <w:pPr>
        <w:pStyle w:val="Paragraphedeliste"/>
        <w:ind w:left="0"/>
      </w:pPr>
      <w:r>
        <w:t xml:space="preserve">Les tentatives de classer les parodontites ont eu du mal à déterminer s’il s’agit de diverses maladies ou de variations d’une seule </w:t>
      </w:r>
      <w:r w:rsidR="005254E9">
        <w:t>maladie. Il</w:t>
      </w:r>
      <w:r>
        <w:t xml:space="preserve"> n’y a aucune preuve qui permette une différenciation entre parodontite « chronique » et « agressive ».</w:t>
      </w:r>
    </w:p>
    <w:p w:rsidR="00984020" w:rsidRDefault="00984020" w:rsidP="00984020">
      <w:pPr>
        <w:pStyle w:val="Paragraphedeliste"/>
        <w:ind w:left="0"/>
      </w:pPr>
      <w:r>
        <w:t xml:space="preserve"> Trois formes de parodontite ont été identifiées : (1) parodontite, (2) parodontite nécrosante, (3) parodontite comme manifestation directe de maladies systémiques. </w:t>
      </w:r>
    </w:p>
    <w:p w:rsidR="00682E6A" w:rsidRDefault="00984020" w:rsidP="00984020">
      <w:pPr>
        <w:pStyle w:val="Paragraphedeliste"/>
        <w:ind w:left="0"/>
      </w:pPr>
      <w:r>
        <w:t>• Un système de classification doit inclure les facteurs de complexité et de risque ainsi que la sévérité de la maladie.</w:t>
      </w:r>
    </w:p>
    <w:p w:rsidR="00984020" w:rsidRDefault="00984020" w:rsidP="00984020">
      <w:pPr>
        <w:pStyle w:val="Paragraphedeliste"/>
        <w:ind w:left="0"/>
      </w:pPr>
      <w:r>
        <w:t xml:space="preserve"> • Les cas individuels de parodontite doivent être caractérisés en fonction d’un stade et d’un grade de la maladie.</w:t>
      </w:r>
    </w:p>
    <w:p w:rsidR="00F97AE3" w:rsidRDefault="00682E6A" w:rsidP="00984020">
      <w:pPr>
        <w:pStyle w:val="Paragraphedeliste"/>
        <w:ind w:left="0"/>
      </w:pPr>
      <w:r>
        <w:t xml:space="preserve">Un patient est un cas de parodontite lorsque : </w:t>
      </w:r>
    </w:p>
    <w:p w:rsidR="00566843" w:rsidRDefault="00682E6A" w:rsidP="00984020">
      <w:pPr>
        <w:pStyle w:val="Paragraphedeliste"/>
        <w:ind w:left="0"/>
      </w:pPr>
      <w:r>
        <w:t xml:space="preserve">• </w:t>
      </w:r>
      <w:r w:rsidR="00F97AE3">
        <w:t xml:space="preserve">perte d’attache </w:t>
      </w:r>
      <w:r>
        <w:t>interdentaire est détectable sur</w:t>
      </w:r>
      <w:r w:rsidR="00F97AE3">
        <w:t xml:space="preserve"> au moins </w:t>
      </w:r>
      <w:r>
        <w:t xml:space="preserve">2 dents non adjacentes, ou </w:t>
      </w:r>
      <w:r w:rsidR="00566843">
        <w:t>perte d’attache</w:t>
      </w:r>
      <w:r>
        <w:t xml:space="preserve"> vestibulaire /linguale ≥3mm avec présence de poche &gt; 3 </w:t>
      </w:r>
      <w:r w:rsidR="00566843">
        <w:t>mm détectable</w:t>
      </w:r>
      <w:r>
        <w:t xml:space="preserve"> sur</w:t>
      </w:r>
      <w:r w:rsidR="00566843">
        <w:t xml:space="preserve"> </w:t>
      </w:r>
      <w:r w:rsidR="00F97AE3">
        <w:t xml:space="preserve">au moins </w:t>
      </w:r>
      <w:r>
        <w:t>2 dents ;</w:t>
      </w:r>
    </w:p>
    <w:p w:rsidR="00566843" w:rsidRDefault="00682E6A" w:rsidP="00984020">
      <w:pPr>
        <w:pStyle w:val="Paragraphedeliste"/>
        <w:ind w:left="0"/>
      </w:pPr>
      <w:r>
        <w:t xml:space="preserve"> • </w:t>
      </w:r>
      <w:r w:rsidR="00566843">
        <w:t xml:space="preserve">la perte d’attache </w:t>
      </w:r>
      <w:r>
        <w:t xml:space="preserve">observée ne peut être attribuée à des causes non parodontales telles que : </w:t>
      </w:r>
    </w:p>
    <w:p w:rsidR="00682E6A" w:rsidRDefault="00682E6A" w:rsidP="00984020">
      <w:pPr>
        <w:pStyle w:val="Paragraphedeliste"/>
        <w:ind w:left="0"/>
      </w:pPr>
      <w:r>
        <w:t xml:space="preserve">Une récession gingivale d’origine traumatique ; Une carie dentaire s’étendant dans la région cervicale de la dent </w:t>
      </w:r>
      <w:r w:rsidR="00566843">
        <w:t>; La</w:t>
      </w:r>
      <w:r>
        <w:t xml:space="preserve"> présence d’une CAL sur la face distale d’une seconde molaire et associée à une malposition ou l’extraction d’une troisième molaire </w:t>
      </w:r>
      <w:r w:rsidR="00566843">
        <w:t>; Une</w:t>
      </w:r>
      <w:r>
        <w:t xml:space="preserve"> lésion endodontique se drainant par le parodonte marginal ; La survenue d’une fracture radiculaire verticale.</w:t>
      </w:r>
    </w:p>
    <w:p w:rsidR="00682E6A" w:rsidRDefault="00682E6A" w:rsidP="00984020">
      <w:pPr>
        <w:pStyle w:val="Paragraphedeliste"/>
        <w:ind w:left="0"/>
      </w:pPr>
    </w:p>
    <w:p w:rsidR="00566843" w:rsidRDefault="00682E6A" w:rsidP="004B5F0D">
      <w:r>
        <w:lastRenderedPageBreak/>
        <w:t xml:space="preserve">Sur la base de la physiopathologie, trois formes de parodontite clairement différentes ont été identifiées : 1. Parodontite ; 2. Parodontite nécrosante ; 3. Parodontite comme manifestation directe de maladies systémiques. Le diagnostic différentiel, permettant d’établir quelle forme de maladie est présente, se base sur l’historique du patient, les signes et les symptômes spécifiques de la parodontite nécrosante, et la présence ou l’absence d’une maladie systémique susceptible de modifier définitivement la réponse immunitaire de l’hôte. La parodontite nécrosante se caractérise par un historique de douleur, la présence d’une ulcération du bord marginal de la gencive ou de dépôts de fibrine sur des sites caractérisés par des papilles décapitées et, dans certains cas, l’exposition de l’os alvéolaire marginal. </w:t>
      </w:r>
    </w:p>
    <w:p w:rsidR="00682E6A" w:rsidRPr="00F768E3" w:rsidRDefault="00682E6A" w:rsidP="00566843">
      <w:pPr>
        <w:pStyle w:val="Paragraphedeliste"/>
        <w:numPr>
          <w:ilvl w:val="0"/>
          <w:numId w:val="9"/>
        </w:numPr>
        <w:rPr>
          <w:b/>
          <w:bCs/>
        </w:rPr>
      </w:pPr>
      <w:r w:rsidRPr="00F768E3">
        <w:rPr>
          <w:b/>
          <w:bCs/>
        </w:rPr>
        <w:t xml:space="preserve">Stades </w:t>
      </w:r>
    </w:p>
    <w:p w:rsidR="00566843" w:rsidRDefault="00682E6A" w:rsidP="004B5F0D">
      <w:r>
        <w:t xml:space="preserve">Il y a deux éléments dans le processus d’attribution des stades de la parodontite chez un patient : la sévérité et la complexité. </w:t>
      </w:r>
    </w:p>
    <w:p w:rsidR="00682E6A" w:rsidRDefault="00682E6A" w:rsidP="004B5F0D">
      <w:r>
        <w:t>Le score de sévérité est principalement basé sur la perte d’attache interdentaire attribuable à la parodontite (CAL) et sur la perte osseuse marginale. Il est attribué en fonction de la dent la plus affectée. Le score de complexité est basé sur la complexité du traitement du cas. Il tient compte de facteurs incluant la présence de profondeurs de sondage augmentée, de défauts verticaux, d’atteintes de furcation, d’hypermobilité dentaires, de déplacement ou de migration des dents, de la perte de dents, d’un défaut crestal et de la perte de la fonction masticatoire.</w:t>
      </w:r>
    </w:p>
    <w:p w:rsidR="004D51F9" w:rsidRDefault="004D51F9" w:rsidP="004B5F0D"/>
    <w:p w:rsidR="004D51F9" w:rsidRDefault="004D51F9" w:rsidP="004B5F0D">
      <w:r>
        <w:rPr>
          <w:noProof/>
        </w:rPr>
        <w:drawing>
          <wp:inline distT="0" distB="0" distL="0" distR="0" wp14:anchorId="01EF7F74" wp14:editId="7ACA1FAD">
            <wp:extent cx="5760720" cy="2811780"/>
            <wp:effectExtent l="0" t="0" r="0" b="7620"/>
            <wp:docPr id="499353889" name="Image 4">
              <a:extLst xmlns:a="http://schemas.openxmlformats.org/drawingml/2006/main">
                <a:ext uri="{FF2B5EF4-FFF2-40B4-BE49-F238E27FC236}">
                  <a16:creationId xmlns:a16="http://schemas.microsoft.com/office/drawing/2014/main" id="{79C30516-3468-7704-1127-A50B088409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79C30516-3468-7704-1127-A50B08840969}"/>
                        </a:ext>
                      </a:extLst>
                    </pic:cNvPr>
                    <pic:cNvPicPr>
                      <a:picLocks noChangeAspect="1"/>
                    </pic:cNvPicPr>
                  </pic:nvPicPr>
                  <pic:blipFill>
                    <a:blip r:embed="rId8"/>
                    <a:stretch>
                      <a:fillRect/>
                    </a:stretch>
                  </pic:blipFill>
                  <pic:spPr>
                    <a:xfrm>
                      <a:off x="0" y="0"/>
                      <a:ext cx="5760720" cy="2811780"/>
                    </a:xfrm>
                    <a:prstGeom prst="rect">
                      <a:avLst/>
                    </a:prstGeom>
                  </pic:spPr>
                </pic:pic>
              </a:graphicData>
            </a:graphic>
          </wp:inline>
        </w:drawing>
      </w:r>
    </w:p>
    <w:p w:rsidR="004D51F9" w:rsidRDefault="004D51F9" w:rsidP="004B5F0D"/>
    <w:p w:rsidR="00682E6A" w:rsidRPr="00F768E3" w:rsidRDefault="00682E6A" w:rsidP="00566843">
      <w:pPr>
        <w:pStyle w:val="Paragraphedeliste"/>
        <w:numPr>
          <w:ilvl w:val="0"/>
          <w:numId w:val="9"/>
        </w:numPr>
        <w:rPr>
          <w:b/>
          <w:bCs/>
        </w:rPr>
      </w:pPr>
      <w:r w:rsidRPr="00F768E3">
        <w:rPr>
          <w:b/>
          <w:bCs/>
        </w:rPr>
        <w:t>Grades</w:t>
      </w:r>
    </w:p>
    <w:p w:rsidR="00566843" w:rsidRDefault="00682E6A" w:rsidP="004B5F0D">
      <w:r>
        <w:t xml:space="preserve">L’attribution d’un grade à un patient atteint de parodontite consiste à estimer le risque de progression de la parodontite ainsi </w:t>
      </w:r>
      <w:r w:rsidR="00566843">
        <w:t xml:space="preserve">que </w:t>
      </w:r>
      <w:r>
        <w:t>la réponse attendue au traitement standard. Cette estimation permet de donner des indications sur les besoins en traitements nécessaires ainsi que sur la prévention secondaire après traitement.</w:t>
      </w:r>
    </w:p>
    <w:p w:rsidR="00682E6A" w:rsidRDefault="00682E6A" w:rsidP="004B5F0D">
      <w:r>
        <w:t xml:space="preserve">L’attribution de grade ajoute une autre dimension et permet de déterminer le taux de progression, en utilisant des indices d’évidences directes ou indirectes. Les indices directs se basent sur </w:t>
      </w:r>
      <w:r>
        <w:lastRenderedPageBreak/>
        <w:t xml:space="preserve">l’observation longitudinale à </w:t>
      </w:r>
      <w:r w:rsidR="00544C86">
        <w:t>disposition :</w:t>
      </w:r>
      <w:r>
        <w:t xml:space="preserve"> par exemple, sous la forme de radiographies </w:t>
      </w:r>
      <w:r w:rsidR="00544C86">
        <w:t>de diagnostics</w:t>
      </w:r>
      <w:r>
        <w:t xml:space="preserve"> antérieurs. Les indices indirects se basent sur la corrélation entre la perte osseuse au niveau de la dent la plus touchée de la dentition et l’âge (calculée selon le pourcentage de perte osseuse radiographique relative à la longueur des racines divisée par l’âge du sujet). Le grade de la parodontite peut être modifié par la présence de facteurs de risque. </w:t>
      </w:r>
    </w:p>
    <w:p w:rsidR="00E06E11" w:rsidRDefault="004D51F9" w:rsidP="00E06E11">
      <w:r>
        <w:rPr>
          <w:noProof/>
        </w:rPr>
        <w:drawing>
          <wp:inline distT="0" distB="0" distL="0" distR="0" wp14:anchorId="30ECDD0D" wp14:editId="4989198D">
            <wp:extent cx="5760720" cy="1847850"/>
            <wp:effectExtent l="0" t="0" r="0" b="0"/>
            <wp:docPr id="5" name="Image 4">
              <a:extLst xmlns:a="http://schemas.openxmlformats.org/drawingml/2006/main">
                <a:ext uri="{FF2B5EF4-FFF2-40B4-BE49-F238E27FC236}">
                  <a16:creationId xmlns:a16="http://schemas.microsoft.com/office/drawing/2014/main" id="{3E337B62-63FA-7BE2-8E52-C4187BB7D2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a:extLst>
                        <a:ext uri="{FF2B5EF4-FFF2-40B4-BE49-F238E27FC236}">
                          <a16:creationId xmlns:a16="http://schemas.microsoft.com/office/drawing/2014/main" id="{3E337B62-63FA-7BE2-8E52-C4187BB7D2DC}"/>
                        </a:ext>
                      </a:extLst>
                    </pic:cNvPr>
                    <pic:cNvPicPr>
                      <a:picLocks noChangeAspect="1"/>
                    </pic:cNvPicPr>
                  </pic:nvPicPr>
                  <pic:blipFill>
                    <a:blip r:embed="rId9"/>
                    <a:stretch>
                      <a:fillRect/>
                    </a:stretch>
                  </pic:blipFill>
                  <pic:spPr>
                    <a:xfrm>
                      <a:off x="0" y="0"/>
                      <a:ext cx="5760720" cy="1847850"/>
                    </a:xfrm>
                    <a:prstGeom prst="rect">
                      <a:avLst/>
                    </a:prstGeom>
                  </pic:spPr>
                </pic:pic>
              </a:graphicData>
            </a:graphic>
          </wp:inline>
        </w:drawing>
      </w:r>
    </w:p>
    <w:p w:rsidR="004D51F9" w:rsidRPr="004D51F9" w:rsidRDefault="004D51F9" w:rsidP="00E06E11"/>
    <w:p w:rsidR="00431087" w:rsidRDefault="00682E6A" w:rsidP="00E06E11">
      <w:r>
        <w:t>• De nombreux troubles systémiques peuvent influer sur l’apparition et la progression des parodontites, ou peuvent affaiblir les structures parodontales.</w:t>
      </w:r>
    </w:p>
    <w:p w:rsidR="00431087" w:rsidRDefault="00682E6A" w:rsidP="00E06E11">
      <w:r>
        <w:t xml:space="preserve"> • La nouvelle classification des récessions gingivales est basée sur la perte d’attache interproximale et y associe différents paramètres cliniques, comme le phénotype gingival, ou les caractéristiques de la surface radiculaire exposée. </w:t>
      </w:r>
    </w:p>
    <w:p w:rsidR="00431087" w:rsidRDefault="00682E6A" w:rsidP="00E06E11">
      <w:r>
        <w:t>• Les forces occlusales peuvent endommager les dents et le système d’attache parodontale. • Les affections développementales ou acquises associées aux dents ou aux prothèses peuvent prédisposer aux maladies du parodonte.</w:t>
      </w:r>
    </w:p>
    <w:p w:rsidR="00682E6A" w:rsidRDefault="00682E6A" w:rsidP="00E06E11">
      <w:r>
        <w:t xml:space="preserve"> • Les abcès parodontaux et les lésions endo-parodontales peuvent également affecter le parodonte.</w:t>
      </w:r>
    </w:p>
    <w:p w:rsidR="004D51F9" w:rsidRDefault="00682E6A" w:rsidP="00E06E11">
      <w:r>
        <w:t xml:space="preserve">Parodontites étant des manifestations d’une maladie systémique </w:t>
      </w:r>
    </w:p>
    <w:p w:rsidR="00D84613" w:rsidRPr="004D51F9" w:rsidRDefault="00F90935" w:rsidP="00E06E11">
      <w:r>
        <w:rPr>
          <w:b/>
          <w:bCs/>
          <w:sz w:val="24"/>
          <w:szCs w:val="24"/>
        </w:rPr>
        <w:t>3.3.3.</w:t>
      </w:r>
      <w:r w:rsidRPr="004D51F9">
        <w:rPr>
          <w:b/>
          <w:bCs/>
          <w:sz w:val="24"/>
          <w:szCs w:val="24"/>
        </w:rPr>
        <w:t xml:space="preserve"> Troubles</w:t>
      </w:r>
      <w:r w:rsidR="00682E6A" w:rsidRPr="004D51F9">
        <w:rPr>
          <w:b/>
          <w:bCs/>
          <w:sz w:val="24"/>
          <w:szCs w:val="24"/>
        </w:rPr>
        <w:t xml:space="preserve"> systémiques ayant un impact majeur sur la perte de tissus parodontaux en </w:t>
      </w:r>
      <w:r w:rsidR="004D51F9">
        <w:rPr>
          <w:b/>
          <w:bCs/>
          <w:sz w:val="24"/>
          <w:szCs w:val="24"/>
        </w:rPr>
        <w:t xml:space="preserve">  </w:t>
      </w:r>
      <w:r w:rsidR="00682E6A" w:rsidRPr="004D51F9">
        <w:rPr>
          <w:b/>
          <w:bCs/>
          <w:sz w:val="24"/>
          <w:szCs w:val="24"/>
        </w:rPr>
        <w:t>agissant sur</w:t>
      </w:r>
      <w:r w:rsidR="004D51F9">
        <w:rPr>
          <w:b/>
          <w:bCs/>
          <w:sz w:val="24"/>
          <w:szCs w:val="24"/>
        </w:rPr>
        <w:t xml:space="preserve"> l</w:t>
      </w:r>
      <w:r w:rsidR="00544C86" w:rsidRPr="004D51F9">
        <w:rPr>
          <w:b/>
          <w:bCs/>
          <w:sz w:val="24"/>
          <w:szCs w:val="24"/>
        </w:rPr>
        <w:t>’inflammation</w:t>
      </w:r>
      <w:r w:rsidR="00682E6A" w:rsidRPr="004D51F9">
        <w:rPr>
          <w:b/>
          <w:bCs/>
          <w:sz w:val="24"/>
          <w:szCs w:val="24"/>
        </w:rPr>
        <w:t xml:space="preserve"> parodontale :</w:t>
      </w:r>
    </w:p>
    <w:p w:rsidR="00D84613" w:rsidRDefault="00682E6A" w:rsidP="00E06E11">
      <w:r>
        <w:t xml:space="preserve"> </w:t>
      </w:r>
      <w:r w:rsidR="004D51F9">
        <w:t xml:space="preserve">- </w:t>
      </w:r>
      <w:r>
        <w:t>Les troubles génétiques</w:t>
      </w:r>
    </w:p>
    <w:p w:rsidR="00D84613" w:rsidRDefault="00682E6A" w:rsidP="00E06E11">
      <w:r>
        <w:t xml:space="preserve"> - Maladies associées à des troubles immunologiques (p. ex. syndrome de Papillon-Lefèvre)</w:t>
      </w:r>
    </w:p>
    <w:p w:rsidR="00D84613" w:rsidRDefault="00682E6A" w:rsidP="00E06E11">
      <w:r>
        <w:t xml:space="preserve"> - Maladies touchant la muqueuse buccale et le tissu gingival (p. ex., l’épidermolyse bulleuse)</w:t>
      </w:r>
    </w:p>
    <w:p w:rsidR="00D84613" w:rsidRDefault="00682E6A" w:rsidP="00E06E11">
      <w:r>
        <w:t xml:space="preserve"> </w:t>
      </w:r>
      <w:r w:rsidR="00D84613">
        <w:t>- Maladies aff</w:t>
      </w:r>
      <w:r>
        <w:t>ectant les tissus conjonctifs (p. ex. les syndromes d’Ehlers-Danlos)</w:t>
      </w:r>
    </w:p>
    <w:p w:rsidR="00D84613" w:rsidRDefault="00682E6A" w:rsidP="00E06E11">
      <w:r>
        <w:t xml:space="preserve"> - Troubles métaboliques et endocriniens (p. ex. l’hypophosphatasie)</w:t>
      </w:r>
    </w:p>
    <w:p w:rsidR="00D84613" w:rsidRDefault="00682E6A" w:rsidP="00E06E11">
      <w:r>
        <w:t xml:space="preserve"> </w:t>
      </w:r>
      <w:r w:rsidR="00071E5F">
        <w:t xml:space="preserve">- </w:t>
      </w:r>
      <w:r>
        <w:t>Maladies d’immunodéficience acquise (p. ex. l’infection par le VIH)</w:t>
      </w:r>
    </w:p>
    <w:p w:rsidR="00682E6A" w:rsidRPr="00E06E11" w:rsidRDefault="00D84613" w:rsidP="00E06E11">
      <w:r>
        <w:t xml:space="preserve"> </w:t>
      </w:r>
      <w:r w:rsidR="00071E5F">
        <w:t xml:space="preserve">- </w:t>
      </w:r>
      <w:r>
        <w:t>Maladies infl</w:t>
      </w:r>
      <w:r w:rsidR="00682E6A">
        <w:t>ammatoires (p. ex. maladie intestinale inflammatoire)</w:t>
      </w:r>
    </w:p>
    <w:p w:rsidR="00A81833" w:rsidRDefault="00A81833" w:rsidP="003A3196"/>
    <w:p w:rsidR="00D84613" w:rsidRPr="004D51F9" w:rsidRDefault="00F90935">
      <w:pPr>
        <w:rPr>
          <w:b/>
          <w:bCs/>
          <w:sz w:val="24"/>
          <w:szCs w:val="24"/>
        </w:rPr>
      </w:pPr>
      <w:r>
        <w:rPr>
          <w:b/>
          <w:bCs/>
          <w:sz w:val="24"/>
          <w:szCs w:val="24"/>
        </w:rPr>
        <w:t xml:space="preserve">3.3.4. </w:t>
      </w:r>
      <w:r w:rsidR="00D84613" w:rsidRPr="004D51F9">
        <w:rPr>
          <w:b/>
          <w:bCs/>
          <w:sz w:val="24"/>
          <w:szCs w:val="24"/>
        </w:rPr>
        <w:t>Autres troubles systémiques qui influencent la pathogenèse des maladies parodontales :</w:t>
      </w:r>
    </w:p>
    <w:p w:rsidR="00D84613" w:rsidRDefault="00D84613">
      <w:r>
        <w:lastRenderedPageBreak/>
        <w:t xml:space="preserve"> • Diabète sucré</w:t>
      </w:r>
    </w:p>
    <w:p w:rsidR="00D84613" w:rsidRDefault="00D84613">
      <w:r>
        <w:t xml:space="preserve"> • Obésité</w:t>
      </w:r>
    </w:p>
    <w:p w:rsidR="003A3196" w:rsidRDefault="00D84613">
      <w:r>
        <w:t xml:space="preserve"> • Tabagisme (dépendance à la nicotine)</w:t>
      </w:r>
    </w:p>
    <w:p w:rsidR="00F90935" w:rsidRDefault="00F90935"/>
    <w:p w:rsidR="00D84613" w:rsidRPr="00703D7E" w:rsidRDefault="00F90935" w:rsidP="00D84613">
      <w:pPr>
        <w:rPr>
          <w:b/>
          <w:bCs/>
          <w:sz w:val="24"/>
          <w:szCs w:val="24"/>
        </w:rPr>
      </w:pPr>
      <w:r w:rsidRPr="00703D7E">
        <w:rPr>
          <w:b/>
          <w:bCs/>
          <w:sz w:val="24"/>
          <w:szCs w:val="24"/>
        </w:rPr>
        <w:t xml:space="preserve">3.3.5. </w:t>
      </w:r>
      <w:r w:rsidR="00D84613" w:rsidRPr="00703D7E">
        <w:rPr>
          <w:b/>
          <w:bCs/>
          <w:sz w:val="24"/>
          <w:szCs w:val="24"/>
        </w:rPr>
        <w:t>Maladies ou affections systémiques affectant les tissus de soutien parodontaux</w:t>
      </w:r>
    </w:p>
    <w:p w:rsidR="00D84613" w:rsidRDefault="00D84613">
      <w:r>
        <w:t>Troubles systémiques pouvant entraîner une perte de tissus parodontaux indépendamment des maladies parodontales :</w:t>
      </w:r>
    </w:p>
    <w:p w:rsidR="00D84613" w:rsidRDefault="00D84613">
      <w:r>
        <w:t xml:space="preserve"> • Tumeurs (par exemple, carcinome épidermoïde oral) </w:t>
      </w:r>
    </w:p>
    <w:p w:rsidR="003A3196" w:rsidRDefault="00D84613">
      <w:r>
        <w:t>• Autres troubles pouvant affecter les tissus parodontaux (par exemple, l’histiocytose à cellules de Langerhans)</w:t>
      </w:r>
      <w:r w:rsidR="00F90935">
        <w:t>.</w:t>
      </w:r>
    </w:p>
    <w:p w:rsidR="00F768E3" w:rsidRDefault="00544C86" w:rsidP="00F768E3">
      <w:pPr>
        <w:rPr>
          <w:b/>
          <w:bCs/>
          <w:sz w:val="28"/>
          <w:szCs w:val="28"/>
        </w:rPr>
      </w:pPr>
      <w:r w:rsidRPr="00544C86">
        <w:rPr>
          <w:b/>
          <w:bCs/>
          <w:sz w:val="28"/>
          <w:szCs w:val="28"/>
        </w:rPr>
        <w:t>Conclusion</w:t>
      </w:r>
    </w:p>
    <w:p w:rsidR="00544C86" w:rsidRPr="005254E9" w:rsidRDefault="00544C86" w:rsidP="00F768E3">
      <w:pPr>
        <w:rPr>
          <w:b/>
          <w:bCs/>
        </w:rPr>
      </w:pPr>
      <w:r w:rsidRPr="005254E9">
        <w:rPr>
          <w:rFonts w:eastAsiaTheme="minorEastAsia" w:cstheme="minorHAnsi"/>
          <w:color w:val="000000" w:themeColor="text1"/>
          <w:kern w:val="24"/>
        </w:rPr>
        <w:t>Beaucoup de gens semblent croire que les systèmes de classification sont des entités rigides et fixes qui ne devraient pas être modifié</w:t>
      </w:r>
      <w:r w:rsidR="00703D7E" w:rsidRPr="005254E9">
        <w:rPr>
          <w:rFonts w:eastAsiaTheme="minorEastAsia" w:cstheme="minorHAnsi"/>
          <w:color w:val="000000" w:themeColor="text1"/>
          <w:kern w:val="24"/>
        </w:rPr>
        <w:t>s</w:t>
      </w:r>
      <w:r w:rsidRPr="005254E9">
        <w:rPr>
          <w:rFonts w:eastAsiaTheme="minorEastAsia" w:cstheme="minorHAnsi"/>
          <w:color w:val="000000" w:themeColor="text1"/>
          <w:kern w:val="24"/>
        </w:rPr>
        <w:t xml:space="preserve">. </w:t>
      </w:r>
    </w:p>
    <w:p w:rsidR="00544C86" w:rsidRPr="005254E9" w:rsidRDefault="00544C86" w:rsidP="00544C86">
      <w:pPr>
        <w:pStyle w:val="NormalWeb"/>
        <w:spacing w:before="200" w:beforeAutospacing="0" w:after="120" w:afterAutospacing="0" w:line="288" w:lineRule="auto"/>
        <w:rPr>
          <w:rFonts w:asciiTheme="minorHAnsi" w:hAnsiTheme="minorHAnsi" w:cstheme="minorHAnsi"/>
          <w:sz w:val="22"/>
          <w:szCs w:val="22"/>
        </w:rPr>
      </w:pPr>
      <w:r w:rsidRPr="005254E9">
        <w:rPr>
          <w:rFonts w:asciiTheme="minorHAnsi" w:eastAsiaTheme="minorEastAsia" w:hAnsiTheme="minorHAnsi" w:cstheme="minorHAnsi"/>
          <w:color w:val="000000" w:themeColor="text1"/>
          <w:kern w:val="24"/>
          <w:sz w:val="22"/>
          <w:szCs w:val="22"/>
        </w:rPr>
        <w:t>En fait, les systèmes de classification devraient être considérés comme des travaux dynamiques en cours qui doivent être périodiquement modifié</w:t>
      </w:r>
      <w:r w:rsidR="00703D7E" w:rsidRPr="005254E9">
        <w:rPr>
          <w:rFonts w:asciiTheme="minorHAnsi" w:eastAsiaTheme="minorEastAsia" w:hAnsiTheme="minorHAnsi" w:cstheme="minorHAnsi"/>
          <w:color w:val="000000" w:themeColor="text1"/>
          <w:kern w:val="24"/>
          <w:sz w:val="22"/>
          <w:szCs w:val="22"/>
        </w:rPr>
        <w:t>s</w:t>
      </w:r>
      <w:r w:rsidRPr="005254E9">
        <w:rPr>
          <w:rFonts w:asciiTheme="minorHAnsi" w:eastAsiaTheme="minorEastAsia" w:hAnsiTheme="minorHAnsi" w:cstheme="minorHAnsi"/>
          <w:color w:val="000000" w:themeColor="text1"/>
          <w:kern w:val="24"/>
          <w:sz w:val="22"/>
          <w:szCs w:val="22"/>
        </w:rPr>
        <w:t xml:space="preserve"> en fonction de la réflexion actuelle et de nouvelles connaissances. </w:t>
      </w:r>
    </w:p>
    <w:p w:rsidR="00544C86" w:rsidRPr="005254E9" w:rsidRDefault="00544C86" w:rsidP="00544C86">
      <w:pPr>
        <w:pStyle w:val="NormalWeb"/>
        <w:spacing w:before="200" w:beforeAutospacing="0" w:after="120" w:afterAutospacing="0" w:line="288" w:lineRule="auto"/>
        <w:rPr>
          <w:rFonts w:asciiTheme="minorHAnsi" w:hAnsiTheme="minorHAnsi" w:cstheme="minorHAnsi"/>
          <w:sz w:val="22"/>
          <w:szCs w:val="22"/>
        </w:rPr>
      </w:pPr>
      <w:r w:rsidRPr="005254E9">
        <w:rPr>
          <w:rFonts w:asciiTheme="minorHAnsi" w:eastAsiaTheme="minorEastAsia" w:hAnsiTheme="minorHAnsi" w:cstheme="minorHAnsi"/>
          <w:color w:val="000000" w:themeColor="text1"/>
          <w:kern w:val="24"/>
          <w:sz w:val="22"/>
          <w:szCs w:val="22"/>
        </w:rPr>
        <w:t>Malheureusement, il semble qu'une fois les gens apprennent et acceptent une classification donnée, aussi imparfaite soit-elle, ils sont extrêmement réticents à accepter des révisions de leur système de nomenclature.</w:t>
      </w:r>
    </w:p>
    <w:p w:rsidR="00544C86" w:rsidRDefault="00544C86"/>
    <w:sectPr w:rsidR="00544C86" w:rsidSect="00703D7E">
      <w:headerReference w:type="even" r:id="rId10"/>
      <w:headerReference w:type="default" r:id="rId11"/>
      <w:footerReference w:type="even" r:id="rId12"/>
      <w:footerReference w:type="default" r:id="rId13"/>
      <w:headerReference w:type="first" r:id="rId14"/>
      <w:footerReference w:type="first" r:id="rId15"/>
      <w:pgSz w:w="11906" w:h="16838"/>
      <w:pgMar w:top="1417" w:right="1417" w:bottom="1417"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C4701" w:rsidRDefault="006C4701" w:rsidP="00DE41E5">
      <w:pPr>
        <w:spacing w:after="0" w:line="240" w:lineRule="auto"/>
      </w:pPr>
      <w:r>
        <w:separator/>
      </w:r>
    </w:p>
  </w:endnote>
  <w:endnote w:type="continuationSeparator" w:id="0">
    <w:p w:rsidR="006C4701" w:rsidRDefault="006C4701" w:rsidP="00DE41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6802" w:rsidRDefault="0057680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330742"/>
      <w:docPartObj>
        <w:docPartGallery w:val="Page Numbers (Bottom of Page)"/>
        <w:docPartUnique/>
      </w:docPartObj>
    </w:sdtPr>
    <w:sdtContent>
      <w:p w:rsidR="00703D7E" w:rsidRDefault="00703D7E">
        <w:pPr>
          <w:pStyle w:val="Pieddepage"/>
          <w:jc w:val="right"/>
        </w:pPr>
        <w:r>
          <w:fldChar w:fldCharType="begin"/>
        </w:r>
        <w:r>
          <w:instrText>PAGE   \* MERGEFORMAT</w:instrText>
        </w:r>
        <w:r>
          <w:fldChar w:fldCharType="separate"/>
        </w:r>
        <w:r>
          <w:t>2</w:t>
        </w:r>
        <w:r>
          <w:fldChar w:fldCharType="end"/>
        </w:r>
      </w:p>
    </w:sdtContent>
  </w:sdt>
  <w:p w:rsidR="00703D7E" w:rsidRDefault="00703D7E">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6802" w:rsidRDefault="0057680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C4701" w:rsidRDefault="006C4701" w:rsidP="00DE41E5">
      <w:pPr>
        <w:spacing w:after="0" w:line="240" w:lineRule="auto"/>
      </w:pPr>
      <w:r>
        <w:separator/>
      </w:r>
    </w:p>
  </w:footnote>
  <w:footnote w:type="continuationSeparator" w:id="0">
    <w:p w:rsidR="006C4701" w:rsidRDefault="006C4701" w:rsidP="00DE41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6802" w:rsidRDefault="0057680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E41E5" w:rsidRDefault="00DE41E5">
    <w:pPr>
      <w:pStyle w:val="En-tte"/>
    </w:pPr>
    <w:r>
      <w:t>Cour</w:t>
    </w:r>
    <w:r w:rsidR="00576802">
      <w:t>s</w:t>
    </w:r>
    <w:r>
      <w:t xml:space="preserve"> de parodontologie : 3</w:t>
    </w:r>
    <w:r w:rsidRPr="00DE41E5">
      <w:rPr>
        <w:vertAlign w:val="superscript"/>
      </w:rPr>
      <w:t>ème</w:t>
    </w:r>
    <w:r>
      <w:t xml:space="preserve"> année         classification et formes cliniques des maladies parodontales</w:t>
    </w:r>
  </w:p>
  <w:p w:rsidR="00DE41E5" w:rsidRDefault="00DE41E5">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76802" w:rsidRDefault="00576802">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15DC"/>
    <w:multiLevelType w:val="hybridMultilevel"/>
    <w:tmpl w:val="46EE879E"/>
    <w:lvl w:ilvl="0" w:tplc="040C0005">
      <w:start w:val="1"/>
      <w:numFmt w:val="bullet"/>
      <w:lvlText w:val=""/>
      <w:lvlJc w:val="left"/>
      <w:pPr>
        <w:ind w:left="770" w:hanging="360"/>
      </w:pPr>
      <w:rPr>
        <w:rFonts w:ascii="Wingdings" w:hAnsi="Wingdings"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1" w15:restartNumberingAfterBreak="0">
    <w:nsid w:val="17537F6F"/>
    <w:multiLevelType w:val="hybridMultilevel"/>
    <w:tmpl w:val="FA08945E"/>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E8D35F7"/>
    <w:multiLevelType w:val="hybridMultilevel"/>
    <w:tmpl w:val="226024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2AB52880"/>
    <w:multiLevelType w:val="hybridMultilevel"/>
    <w:tmpl w:val="DA568E1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EE23F9E"/>
    <w:multiLevelType w:val="hybridMultilevel"/>
    <w:tmpl w:val="BF2EFFF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36BB71AC"/>
    <w:multiLevelType w:val="hybridMultilevel"/>
    <w:tmpl w:val="663EDC3E"/>
    <w:lvl w:ilvl="0" w:tplc="DD20D63C">
      <w:start w:val="1"/>
      <w:numFmt w:val="bullet"/>
      <w:lvlText w:val="-"/>
      <w:lvlJc w:val="left"/>
      <w:pPr>
        <w:tabs>
          <w:tab w:val="num" w:pos="720"/>
        </w:tabs>
        <w:ind w:left="720" w:hanging="360"/>
      </w:pPr>
      <w:rPr>
        <w:rFonts w:ascii="Times New Roman" w:hAnsi="Times New Roman" w:hint="default"/>
      </w:rPr>
    </w:lvl>
    <w:lvl w:ilvl="1" w:tplc="5324DB48" w:tentative="1">
      <w:start w:val="1"/>
      <w:numFmt w:val="bullet"/>
      <w:lvlText w:val="-"/>
      <w:lvlJc w:val="left"/>
      <w:pPr>
        <w:tabs>
          <w:tab w:val="num" w:pos="1440"/>
        </w:tabs>
        <w:ind w:left="1440" w:hanging="360"/>
      </w:pPr>
      <w:rPr>
        <w:rFonts w:ascii="Times New Roman" w:hAnsi="Times New Roman" w:hint="default"/>
      </w:rPr>
    </w:lvl>
    <w:lvl w:ilvl="2" w:tplc="E278A176" w:tentative="1">
      <w:start w:val="1"/>
      <w:numFmt w:val="bullet"/>
      <w:lvlText w:val="-"/>
      <w:lvlJc w:val="left"/>
      <w:pPr>
        <w:tabs>
          <w:tab w:val="num" w:pos="2160"/>
        </w:tabs>
        <w:ind w:left="2160" w:hanging="360"/>
      </w:pPr>
      <w:rPr>
        <w:rFonts w:ascii="Times New Roman" w:hAnsi="Times New Roman" w:hint="default"/>
      </w:rPr>
    </w:lvl>
    <w:lvl w:ilvl="3" w:tplc="9A32E922" w:tentative="1">
      <w:start w:val="1"/>
      <w:numFmt w:val="bullet"/>
      <w:lvlText w:val="-"/>
      <w:lvlJc w:val="left"/>
      <w:pPr>
        <w:tabs>
          <w:tab w:val="num" w:pos="2880"/>
        </w:tabs>
        <w:ind w:left="2880" w:hanging="360"/>
      </w:pPr>
      <w:rPr>
        <w:rFonts w:ascii="Times New Roman" w:hAnsi="Times New Roman" w:hint="default"/>
      </w:rPr>
    </w:lvl>
    <w:lvl w:ilvl="4" w:tplc="49662B52" w:tentative="1">
      <w:start w:val="1"/>
      <w:numFmt w:val="bullet"/>
      <w:lvlText w:val="-"/>
      <w:lvlJc w:val="left"/>
      <w:pPr>
        <w:tabs>
          <w:tab w:val="num" w:pos="3600"/>
        </w:tabs>
        <w:ind w:left="3600" w:hanging="360"/>
      </w:pPr>
      <w:rPr>
        <w:rFonts w:ascii="Times New Roman" w:hAnsi="Times New Roman" w:hint="default"/>
      </w:rPr>
    </w:lvl>
    <w:lvl w:ilvl="5" w:tplc="5CD8517A" w:tentative="1">
      <w:start w:val="1"/>
      <w:numFmt w:val="bullet"/>
      <w:lvlText w:val="-"/>
      <w:lvlJc w:val="left"/>
      <w:pPr>
        <w:tabs>
          <w:tab w:val="num" w:pos="4320"/>
        </w:tabs>
        <w:ind w:left="4320" w:hanging="360"/>
      </w:pPr>
      <w:rPr>
        <w:rFonts w:ascii="Times New Roman" w:hAnsi="Times New Roman" w:hint="default"/>
      </w:rPr>
    </w:lvl>
    <w:lvl w:ilvl="6" w:tplc="13B2E0BA" w:tentative="1">
      <w:start w:val="1"/>
      <w:numFmt w:val="bullet"/>
      <w:lvlText w:val="-"/>
      <w:lvlJc w:val="left"/>
      <w:pPr>
        <w:tabs>
          <w:tab w:val="num" w:pos="5040"/>
        </w:tabs>
        <w:ind w:left="5040" w:hanging="360"/>
      </w:pPr>
      <w:rPr>
        <w:rFonts w:ascii="Times New Roman" w:hAnsi="Times New Roman" w:hint="default"/>
      </w:rPr>
    </w:lvl>
    <w:lvl w:ilvl="7" w:tplc="D2E8BC74" w:tentative="1">
      <w:start w:val="1"/>
      <w:numFmt w:val="bullet"/>
      <w:lvlText w:val="-"/>
      <w:lvlJc w:val="left"/>
      <w:pPr>
        <w:tabs>
          <w:tab w:val="num" w:pos="5760"/>
        </w:tabs>
        <w:ind w:left="5760" w:hanging="360"/>
      </w:pPr>
      <w:rPr>
        <w:rFonts w:ascii="Times New Roman" w:hAnsi="Times New Roman" w:hint="default"/>
      </w:rPr>
    </w:lvl>
    <w:lvl w:ilvl="8" w:tplc="44CCD208"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450641F9"/>
    <w:multiLevelType w:val="hybridMultilevel"/>
    <w:tmpl w:val="A1CEF13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6236726"/>
    <w:multiLevelType w:val="hybridMultilevel"/>
    <w:tmpl w:val="B3C87D80"/>
    <w:lvl w:ilvl="0" w:tplc="040C0001">
      <w:start w:val="1"/>
      <w:numFmt w:val="bullet"/>
      <w:lvlText w:val=""/>
      <w:lvlJc w:val="left"/>
      <w:pPr>
        <w:ind w:left="770" w:hanging="360"/>
      </w:pPr>
      <w:rPr>
        <w:rFonts w:ascii="Symbol" w:hAnsi="Symbol"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8" w15:restartNumberingAfterBreak="0">
    <w:nsid w:val="49563B6D"/>
    <w:multiLevelType w:val="hybridMultilevel"/>
    <w:tmpl w:val="2D2A0C58"/>
    <w:lvl w:ilvl="0" w:tplc="040C0005">
      <w:start w:val="1"/>
      <w:numFmt w:val="bullet"/>
      <w:lvlText w:val=""/>
      <w:lvlJc w:val="left"/>
      <w:pPr>
        <w:ind w:left="770" w:hanging="360"/>
      </w:pPr>
      <w:rPr>
        <w:rFonts w:ascii="Wingdings" w:hAnsi="Wingdings"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9" w15:restartNumberingAfterBreak="0">
    <w:nsid w:val="536A4D59"/>
    <w:multiLevelType w:val="hybridMultilevel"/>
    <w:tmpl w:val="35D0F60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538963E1"/>
    <w:multiLevelType w:val="hybridMultilevel"/>
    <w:tmpl w:val="46D85C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54312A6D"/>
    <w:multiLevelType w:val="hybridMultilevel"/>
    <w:tmpl w:val="9F143B40"/>
    <w:lvl w:ilvl="0" w:tplc="040C0005">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573143E3"/>
    <w:multiLevelType w:val="hybridMultilevel"/>
    <w:tmpl w:val="1B725416"/>
    <w:lvl w:ilvl="0" w:tplc="6094AAE0">
      <w:start w:val="1"/>
      <w:numFmt w:val="bullet"/>
      <w:lvlText w:val="•"/>
      <w:lvlJc w:val="left"/>
      <w:pPr>
        <w:tabs>
          <w:tab w:val="num" w:pos="720"/>
        </w:tabs>
        <w:ind w:left="720" w:hanging="360"/>
      </w:pPr>
      <w:rPr>
        <w:rFonts w:ascii="Arial" w:hAnsi="Arial" w:hint="default"/>
      </w:rPr>
    </w:lvl>
    <w:lvl w:ilvl="1" w:tplc="01C2A82A" w:tentative="1">
      <w:start w:val="1"/>
      <w:numFmt w:val="bullet"/>
      <w:lvlText w:val="•"/>
      <w:lvlJc w:val="left"/>
      <w:pPr>
        <w:tabs>
          <w:tab w:val="num" w:pos="1440"/>
        </w:tabs>
        <w:ind w:left="1440" w:hanging="360"/>
      </w:pPr>
      <w:rPr>
        <w:rFonts w:ascii="Arial" w:hAnsi="Arial" w:hint="default"/>
      </w:rPr>
    </w:lvl>
    <w:lvl w:ilvl="2" w:tplc="06764278" w:tentative="1">
      <w:start w:val="1"/>
      <w:numFmt w:val="bullet"/>
      <w:lvlText w:val="•"/>
      <w:lvlJc w:val="left"/>
      <w:pPr>
        <w:tabs>
          <w:tab w:val="num" w:pos="2160"/>
        </w:tabs>
        <w:ind w:left="2160" w:hanging="360"/>
      </w:pPr>
      <w:rPr>
        <w:rFonts w:ascii="Arial" w:hAnsi="Arial" w:hint="default"/>
      </w:rPr>
    </w:lvl>
    <w:lvl w:ilvl="3" w:tplc="5038D002" w:tentative="1">
      <w:start w:val="1"/>
      <w:numFmt w:val="bullet"/>
      <w:lvlText w:val="•"/>
      <w:lvlJc w:val="left"/>
      <w:pPr>
        <w:tabs>
          <w:tab w:val="num" w:pos="2880"/>
        </w:tabs>
        <w:ind w:left="2880" w:hanging="360"/>
      </w:pPr>
      <w:rPr>
        <w:rFonts w:ascii="Arial" w:hAnsi="Arial" w:hint="default"/>
      </w:rPr>
    </w:lvl>
    <w:lvl w:ilvl="4" w:tplc="6F3CD942" w:tentative="1">
      <w:start w:val="1"/>
      <w:numFmt w:val="bullet"/>
      <w:lvlText w:val="•"/>
      <w:lvlJc w:val="left"/>
      <w:pPr>
        <w:tabs>
          <w:tab w:val="num" w:pos="3600"/>
        </w:tabs>
        <w:ind w:left="3600" w:hanging="360"/>
      </w:pPr>
      <w:rPr>
        <w:rFonts w:ascii="Arial" w:hAnsi="Arial" w:hint="default"/>
      </w:rPr>
    </w:lvl>
    <w:lvl w:ilvl="5" w:tplc="370051E2" w:tentative="1">
      <w:start w:val="1"/>
      <w:numFmt w:val="bullet"/>
      <w:lvlText w:val="•"/>
      <w:lvlJc w:val="left"/>
      <w:pPr>
        <w:tabs>
          <w:tab w:val="num" w:pos="4320"/>
        </w:tabs>
        <w:ind w:left="4320" w:hanging="360"/>
      </w:pPr>
      <w:rPr>
        <w:rFonts w:ascii="Arial" w:hAnsi="Arial" w:hint="default"/>
      </w:rPr>
    </w:lvl>
    <w:lvl w:ilvl="6" w:tplc="9D08CEDC" w:tentative="1">
      <w:start w:val="1"/>
      <w:numFmt w:val="bullet"/>
      <w:lvlText w:val="•"/>
      <w:lvlJc w:val="left"/>
      <w:pPr>
        <w:tabs>
          <w:tab w:val="num" w:pos="5040"/>
        </w:tabs>
        <w:ind w:left="5040" w:hanging="360"/>
      </w:pPr>
      <w:rPr>
        <w:rFonts w:ascii="Arial" w:hAnsi="Arial" w:hint="default"/>
      </w:rPr>
    </w:lvl>
    <w:lvl w:ilvl="7" w:tplc="82E4C578" w:tentative="1">
      <w:start w:val="1"/>
      <w:numFmt w:val="bullet"/>
      <w:lvlText w:val="•"/>
      <w:lvlJc w:val="left"/>
      <w:pPr>
        <w:tabs>
          <w:tab w:val="num" w:pos="5760"/>
        </w:tabs>
        <w:ind w:left="5760" w:hanging="360"/>
      </w:pPr>
      <w:rPr>
        <w:rFonts w:ascii="Arial" w:hAnsi="Arial" w:hint="default"/>
      </w:rPr>
    </w:lvl>
    <w:lvl w:ilvl="8" w:tplc="168A169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5975304C"/>
    <w:multiLevelType w:val="hybridMultilevel"/>
    <w:tmpl w:val="10FC19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60F13B9C"/>
    <w:multiLevelType w:val="multilevel"/>
    <w:tmpl w:val="5D70ED14"/>
    <w:lvl w:ilvl="0">
      <w:start w:val="1"/>
      <w:numFmt w:val="decimal"/>
      <w:lvlText w:val="%1."/>
      <w:lvlJc w:val="left"/>
      <w:pPr>
        <w:ind w:left="36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5" w15:restartNumberingAfterBreak="0">
    <w:nsid w:val="73A419CA"/>
    <w:multiLevelType w:val="hybridMultilevel"/>
    <w:tmpl w:val="12FA4B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784422008">
    <w:abstractNumId w:val="12"/>
  </w:num>
  <w:num w:numId="2" w16cid:durableId="1278217216">
    <w:abstractNumId w:val="5"/>
  </w:num>
  <w:num w:numId="3" w16cid:durableId="1468475882">
    <w:abstractNumId w:val="14"/>
  </w:num>
  <w:num w:numId="4" w16cid:durableId="602540016">
    <w:abstractNumId w:val="10"/>
  </w:num>
  <w:num w:numId="5" w16cid:durableId="1793160538">
    <w:abstractNumId w:val="1"/>
  </w:num>
  <w:num w:numId="6" w16cid:durableId="902370352">
    <w:abstractNumId w:val="8"/>
  </w:num>
  <w:num w:numId="7" w16cid:durableId="454830835">
    <w:abstractNumId w:val="0"/>
  </w:num>
  <w:num w:numId="8" w16cid:durableId="1066953753">
    <w:abstractNumId w:val="7"/>
  </w:num>
  <w:num w:numId="9" w16cid:durableId="1093089656">
    <w:abstractNumId w:val="3"/>
  </w:num>
  <w:num w:numId="10" w16cid:durableId="1690136813">
    <w:abstractNumId w:val="15"/>
  </w:num>
  <w:num w:numId="11" w16cid:durableId="253173724">
    <w:abstractNumId w:val="13"/>
  </w:num>
  <w:num w:numId="12" w16cid:durableId="1251887957">
    <w:abstractNumId w:val="6"/>
  </w:num>
  <w:num w:numId="13" w16cid:durableId="96483817">
    <w:abstractNumId w:val="4"/>
  </w:num>
  <w:num w:numId="14" w16cid:durableId="303698822">
    <w:abstractNumId w:val="2"/>
  </w:num>
  <w:num w:numId="15" w16cid:durableId="1131092330">
    <w:abstractNumId w:val="9"/>
  </w:num>
  <w:num w:numId="16" w16cid:durableId="12620330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196"/>
    <w:rsid w:val="0004718A"/>
    <w:rsid w:val="00071E5F"/>
    <w:rsid w:val="00085A62"/>
    <w:rsid w:val="000A1935"/>
    <w:rsid w:val="000B3BD3"/>
    <w:rsid w:val="00103649"/>
    <w:rsid w:val="00304854"/>
    <w:rsid w:val="0035172D"/>
    <w:rsid w:val="003A3196"/>
    <w:rsid w:val="003C0F9B"/>
    <w:rsid w:val="003F0FE2"/>
    <w:rsid w:val="00431087"/>
    <w:rsid w:val="00450BCD"/>
    <w:rsid w:val="00453060"/>
    <w:rsid w:val="004B25E0"/>
    <w:rsid w:val="004B5F0D"/>
    <w:rsid w:val="004D51F9"/>
    <w:rsid w:val="005254E9"/>
    <w:rsid w:val="00544C86"/>
    <w:rsid w:val="00566843"/>
    <w:rsid w:val="00576802"/>
    <w:rsid w:val="0059689C"/>
    <w:rsid w:val="005E143D"/>
    <w:rsid w:val="00611D7C"/>
    <w:rsid w:val="00665918"/>
    <w:rsid w:val="00682E6A"/>
    <w:rsid w:val="006C4701"/>
    <w:rsid w:val="006F1E32"/>
    <w:rsid w:val="00703D7E"/>
    <w:rsid w:val="00765E72"/>
    <w:rsid w:val="00792DDE"/>
    <w:rsid w:val="00806C86"/>
    <w:rsid w:val="00814625"/>
    <w:rsid w:val="008910EE"/>
    <w:rsid w:val="008E376B"/>
    <w:rsid w:val="008E5319"/>
    <w:rsid w:val="0094597C"/>
    <w:rsid w:val="00954621"/>
    <w:rsid w:val="00961DF1"/>
    <w:rsid w:val="00972ADB"/>
    <w:rsid w:val="00984020"/>
    <w:rsid w:val="009F7EF4"/>
    <w:rsid w:val="00A76830"/>
    <w:rsid w:val="00A81833"/>
    <w:rsid w:val="00A91AC0"/>
    <w:rsid w:val="00AA17E6"/>
    <w:rsid w:val="00AC05A6"/>
    <w:rsid w:val="00B748D6"/>
    <w:rsid w:val="00B93674"/>
    <w:rsid w:val="00C04BF8"/>
    <w:rsid w:val="00C239AC"/>
    <w:rsid w:val="00C62914"/>
    <w:rsid w:val="00C932EA"/>
    <w:rsid w:val="00D1167E"/>
    <w:rsid w:val="00D84613"/>
    <w:rsid w:val="00D84A21"/>
    <w:rsid w:val="00DE41E5"/>
    <w:rsid w:val="00DF029A"/>
    <w:rsid w:val="00DF7593"/>
    <w:rsid w:val="00E06E11"/>
    <w:rsid w:val="00E22790"/>
    <w:rsid w:val="00E43D73"/>
    <w:rsid w:val="00E80ACB"/>
    <w:rsid w:val="00ED0007"/>
    <w:rsid w:val="00ED55E5"/>
    <w:rsid w:val="00EF32F9"/>
    <w:rsid w:val="00F05ABA"/>
    <w:rsid w:val="00F129F6"/>
    <w:rsid w:val="00F71C34"/>
    <w:rsid w:val="00F740D0"/>
    <w:rsid w:val="00F768E3"/>
    <w:rsid w:val="00F90935"/>
    <w:rsid w:val="00F97AE3"/>
    <w:rsid w:val="00FD2D2D"/>
    <w:rsid w:val="00FE536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F60AD2"/>
  <w15:chartTrackingRefBased/>
  <w15:docId w15:val="{CD9346AC-ECF9-4C8B-9AFE-7DB9AE564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F7EF4"/>
    <w:pPr>
      <w:ind w:left="720"/>
      <w:contextualSpacing/>
    </w:pPr>
  </w:style>
  <w:style w:type="paragraph" w:styleId="PrformatHTML">
    <w:name w:val="HTML Preformatted"/>
    <w:basedOn w:val="Normal"/>
    <w:link w:val="PrformatHTMLCar"/>
    <w:uiPriority w:val="99"/>
    <w:semiHidden/>
    <w:unhideWhenUsed/>
    <w:rsid w:val="004B5F0D"/>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4B5F0D"/>
    <w:rPr>
      <w:rFonts w:ascii="Consolas" w:hAnsi="Consolas"/>
      <w:sz w:val="20"/>
      <w:szCs w:val="20"/>
    </w:rPr>
  </w:style>
  <w:style w:type="paragraph" w:styleId="NormalWeb">
    <w:name w:val="Normal (Web)"/>
    <w:basedOn w:val="Normal"/>
    <w:uiPriority w:val="99"/>
    <w:semiHidden/>
    <w:unhideWhenUsed/>
    <w:rsid w:val="00544C86"/>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DE41E5"/>
    <w:pPr>
      <w:tabs>
        <w:tab w:val="center" w:pos="4536"/>
        <w:tab w:val="right" w:pos="9072"/>
      </w:tabs>
      <w:spacing w:after="0" w:line="240" w:lineRule="auto"/>
    </w:pPr>
  </w:style>
  <w:style w:type="character" w:customStyle="1" w:styleId="En-tteCar">
    <w:name w:val="En-tête Car"/>
    <w:basedOn w:val="Policepardfaut"/>
    <w:link w:val="En-tte"/>
    <w:uiPriority w:val="99"/>
    <w:rsid w:val="00DE41E5"/>
  </w:style>
  <w:style w:type="paragraph" w:styleId="Pieddepage">
    <w:name w:val="footer"/>
    <w:basedOn w:val="Normal"/>
    <w:link w:val="PieddepageCar"/>
    <w:uiPriority w:val="99"/>
    <w:unhideWhenUsed/>
    <w:rsid w:val="00DE41E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E41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9000">
      <w:bodyDiv w:val="1"/>
      <w:marLeft w:val="0"/>
      <w:marRight w:val="0"/>
      <w:marTop w:val="0"/>
      <w:marBottom w:val="0"/>
      <w:divBdr>
        <w:top w:val="none" w:sz="0" w:space="0" w:color="auto"/>
        <w:left w:val="none" w:sz="0" w:space="0" w:color="auto"/>
        <w:bottom w:val="none" w:sz="0" w:space="0" w:color="auto"/>
        <w:right w:val="none" w:sz="0" w:space="0" w:color="auto"/>
      </w:divBdr>
    </w:div>
    <w:div w:id="239872946">
      <w:bodyDiv w:val="1"/>
      <w:marLeft w:val="0"/>
      <w:marRight w:val="0"/>
      <w:marTop w:val="0"/>
      <w:marBottom w:val="0"/>
      <w:divBdr>
        <w:top w:val="none" w:sz="0" w:space="0" w:color="auto"/>
        <w:left w:val="none" w:sz="0" w:space="0" w:color="auto"/>
        <w:bottom w:val="none" w:sz="0" w:space="0" w:color="auto"/>
        <w:right w:val="none" w:sz="0" w:space="0" w:color="auto"/>
      </w:divBdr>
    </w:div>
    <w:div w:id="524710688">
      <w:bodyDiv w:val="1"/>
      <w:marLeft w:val="0"/>
      <w:marRight w:val="0"/>
      <w:marTop w:val="0"/>
      <w:marBottom w:val="0"/>
      <w:divBdr>
        <w:top w:val="none" w:sz="0" w:space="0" w:color="auto"/>
        <w:left w:val="none" w:sz="0" w:space="0" w:color="auto"/>
        <w:bottom w:val="none" w:sz="0" w:space="0" w:color="auto"/>
        <w:right w:val="none" w:sz="0" w:space="0" w:color="auto"/>
      </w:divBdr>
    </w:div>
    <w:div w:id="626593669">
      <w:bodyDiv w:val="1"/>
      <w:marLeft w:val="0"/>
      <w:marRight w:val="0"/>
      <w:marTop w:val="0"/>
      <w:marBottom w:val="0"/>
      <w:divBdr>
        <w:top w:val="none" w:sz="0" w:space="0" w:color="auto"/>
        <w:left w:val="none" w:sz="0" w:space="0" w:color="auto"/>
        <w:bottom w:val="none" w:sz="0" w:space="0" w:color="auto"/>
        <w:right w:val="none" w:sz="0" w:space="0" w:color="auto"/>
      </w:divBdr>
    </w:div>
    <w:div w:id="967777853">
      <w:bodyDiv w:val="1"/>
      <w:marLeft w:val="0"/>
      <w:marRight w:val="0"/>
      <w:marTop w:val="0"/>
      <w:marBottom w:val="0"/>
      <w:divBdr>
        <w:top w:val="none" w:sz="0" w:space="0" w:color="auto"/>
        <w:left w:val="none" w:sz="0" w:space="0" w:color="auto"/>
        <w:bottom w:val="none" w:sz="0" w:space="0" w:color="auto"/>
        <w:right w:val="none" w:sz="0" w:space="0" w:color="auto"/>
      </w:divBdr>
    </w:div>
    <w:div w:id="1325208083">
      <w:bodyDiv w:val="1"/>
      <w:marLeft w:val="0"/>
      <w:marRight w:val="0"/>
      <w:marTop w:val="0"/>
      <w:marBottom w:val="0"/>
      <w:divBdr>
        <w:top w:val="none" w:sz="0" w:space="0" w:color="auto"/>
        <w:left w:val="none" w:sz="0" w:space="0" w:color="auto"/>
        <w:bottom w:val="none" w:sz="0" w:space="0" w:color="auto"/>
        <w:right w:val="none" w:sz="0" w:space="0" w:color="auto"/>
      </w:divBdr>
    </w:div>
    <w:div w:id="1604845736">
      <w:bodyDiv w:val="1"/>
      <w:marLeft w:val="0"/>
      <w:marRight w:val="0"/>
      <w:marTop w:val="0"/>
      <w:marBottom w:val="0"/>
      <w:divBdr>
        <w:top w:val="none" w:sz="0" w:space="0" w:color="auto"/>
        <w:left w:val="none" w:sz="0" w:space="0" w:color="auto"/>
        <w:bottom w:val="none" w:sz="0" w:space="0" w:color="auto"/>
        <w:right w:val="none" w:sz="0" w:space="0" w:color="auto"/>
      </w:divBdr>
    </w:div>
    <w:div w:id="1622498504">
      <w:bodyDiv w:val="1"/>
      <w:marLeft w:val="0"/>
      <w:marRight w:val="0"/>
      <w:marTop w:val="0"/>
      <w:marBottom w:val="0"/>
      <w:divBdr>
        <w:top w:val="none" w:sz="0" w:space="0" w:color="auto"/>
        <w:left w:val="none" w:sz="0" w:space="0" w:color="auto"/>
        <w:bottom w:val="none" w:sz="0" w:space="0" w:color="auto"/>
        <w:right w:val="none" w:sz="0" w:space="0" w:color="auto"/>
      </w:divBdr>
      <w:divsChild>
        <w:div w:id="902179173">
          <w:marLeft w:val="446"/>
          <w:marRight w:val="0"/>
          <w:marTop w:val="0"/>
          <w:marBottom w:val="0"/>
          <w:divBdr>
            <w:top w:val="none" w:sz="0" w:space="0" w:color="auto"/>
            <w:left w:val="none" w:sz="0" w:space="0" w:color="auto"/>
            <w:bottom w:val="none" w:sz="0" w:space="0" w:color="auto"/>
            <w:right w:val="none" w:sz="0" w:space="0" w:color="auto"/>
          </w:divBdr>
        </w:div>
      </w:divsChild>
    </w:div>
    <w:div w:id="1866553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57F02-1E34-45F9-8358-4E0FBC182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346</TotalTime>
  <Pages>12</Pages>
  <Words>3974</Words>
  <Characters>21859</Characters>
  <Application>Microsoft Office Word</Application>
  <DocSecurity>0</DocSecurity>
  <Lines>182</Lines>
  <Paragraphs>51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Administrateur</dc:creator>
  <cp:keywords/>
  <dc:description/>
  <cp:lastModifiedBy>feriel feriel</cp:lastModifiedBy>
  <cp:revision>16</cp:revision>
  <dcterms:created xsi:type="dcterms:W3CDTF">2024-11-13T06:00:00Z</dcterms:created>
  <dcterms:modified xsi:type="dcterms:W3CDTF">2024-12-20T17:50:00Z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id="5aVgztFm"/&gt;&lt;style id="http://www.zotero.org/styles/vancouver" locale="fr-FR" hasBibliography="1" bibliographyStyleHasBeenSet="0"/&gt;&lt;prefs&gt;&lt;pref name="fieldType" value="Field"/&gt;&lt;/prefs&gt;&lt;/data&gt;</vt:lpwstr>
  </property>
</Properties>
</file>