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338FF">
      <w:pPr>
        <w:rPr>
          <w:sz w:val="24"/>
          <w:szCs w:val="32"/>
        </w:rPr>
      </w:pPr>
    </w:p>
    <w:p w14:paraId="4E97D6BA">
      <w:pPr>
        <w:jc w:val="center"/>
        <w:rPr>
          <w:rFonts w:hint="default"/>
          <w:b/>
          <w:bCs/>
          <w:color w:val="C00000"/>
          <w:sz w:val="32"/>
          <w:szCs w:val="32"/>
          <w:u w:val="double"/>
          <w:lang w:val="en-US"/>
        </w:rPr>
      </w:pPr>
      <w:r>
        <w:rPr>
          <w:b/>
          <w:bCs/>
          <w:color w:val="C00000"/>
          <w:sz w:val="32"/>
          <w:szCs w:val="32"/>
          <w:u w:val="double"/>
        </w:rPr>
        <w:t>L</w:t>
      </w:r>
      <w:r>
        <w:rPr>
          <w:rFonts w:hint="default"/>
          <w:b/>
          <w:bCs/>
          <w:color w:val="C00000"/>
          <w:sz w:val="32"/>
          <w:szCs w:val="32"/>
          <w:u w:val="double"/>
          <w:lang w:val="en-US"/>
        </w:rPr>
        <w:t>es Prothèses Immédiates: Provisoire et d’Usage</w:t>
      </w:r>
    </w:p>
    <w:p w14:paraId="48890CA2">
      <w:pPr>
        <w:rPr>
          <w:b/>
          <w:bCs/>
          <w:sz w:val="24"/>
          <w:szCs w:val="24"/>
        </w:rPr>
      </w:pPr>
    </w:p>
    <w:p w14:paraId="385A77ED">
      <w:pPr>
        <w:rPr>
          <w:b/>
          <w:bCs/>
          <w:sz w:val="24"/>
          <w:szCs w:val="24"/>
        </w:rPr>
      </w:pPr>
    </w:p>
    <w:p w14:paraId="7321C8F6">
      <w:pPr>
        <w:rPr>
          <w:b/>
          <w:bCs/>
          <w:sz w:val="24"/>
          <w:szCs w:val="24"/>
        </w:rPr>
      </w:pPr>
    </w:p>
    <w:p w14:paraId="2AFD9530">
      <w:pPr>
        <w:rPr>
          <w:b/>
          <w:bCs/>
          <w:sz w:val="24"/>
          <w:szCs w:val="24"/>
        </w:rPr>
      </w:pPr>
      <w:r>
        <w:rPr>
          <w:b/>
          <w:bCs/>
          <w:sz w:val="24"/>
          <w:szCs w:val="24"/>
        </w:rPr>
        <w:t>Plan :</w:t>
      </w:r>
    </w:p>
    <w:p w14:paraId="3E9FE1EE">
      <w:pPr>
        <w:pStyle w:val="250"/>
        <w:numPr>
          <w:ilvl w:val="0"/>
          <w:numId w:val="11"/>
        </w:numPr>
        <w:rPr>
          <w:b/>
          <w:bCs/>
          <w:sz w:val="24"/>
          <w:szCs w:val="24"/>
        </w:rPr>
      </w:pPr>
      <w:r>
        <w:rPr>
          <w:b/>
          <w:bCs/>
          <w:sz w:val="24"/>
          <w:szCs w:val="24"/>
        </w:rPr>
        <w:t>Introduction</w:t>
      </w:r>
    </w:p>
    <w:p w14:paraId="37C7194F">
      <w:pPr>
        <w:pStyle w:val="250"/>
        <w:numPr>
          <w:ilvl w:val="0"/>
          <w:numId w:val="11"/>
        </w:numPr>
        <w:rPr>
          <w:b/>
          <w:bCs/>
          <w:sz w:val="24"/>
          <w:szCs w:val="24"/>
        </w:rPr>
      </w:pPr>
      <w:r>
        <w:rPr>
          <w:rFonts w:hint="default"/>
          <w:b/>
          <w:bCs/>
          <w:sz w:val="24"/>
          <w:szCs w:val="24"/>
          <w:lang w:val="en-US"/>
        </w:rPr>
        <w:t xml:space="preserve">Définitions </w:t>
      </w:r>
    </w:p>
    <w:p w14:paraId="02288F0E">
      <w:pPr>
        <w:pStyle w:val="250"/>
        <w:numPr>
          <w:ilvl w:val="0"/>
          <w:numId w:val="11"/>
        </w:numPr>
        <w:rPr>
          <w:b/>
          <w:bCs/>
          <w:sz w:val="24"/>
          <w:szCs w:val="24"/>
        </w:rPr>
      </w:pPr>
      <w:r>
        <w:rPr>
          <w:rFonts w:hint="default"/>
          <w:b/>
          <w:bCs/>
          <w:sz w:val="24"/>
          <w:szCs w:val="24"/>
          <w:lang w:val="en-US"/>
        </w:rPr>
        <w:t xml:space="preserve">Objetctifs </w:t>
      </w:r>
      <w:r>
        <w:rPr>
          <w:b/>
          <w:bCs/>
          <w:sz w:val="24"/>
          <w:szCs w:val="24"/>
        </w:rPr>
        <w:t> </w:t>
      </w:r>
    </w:p>
    <w:p w14:paraId="3A77C682">
      <w:pPr>
        <w:pStyle w:val="250"/>
        <w:numPr>
          <w:ilvl w:val="0"/>
          <w:numId w:val="11"/>
        </w:numPr>
        <w:rPr>
          <w:b/>
          <w:bCs/>
          <w:sz w:val="24"/>
          <w:szCs w:val="24"/>
        </w:rPr>
      </w:pPr>
      <w:r>
        <w:rPr>
          <w:rFonts w:hint="default"/>
          <w:b/>
          <w:bCs/>
          <w:sz w:val="24"/>
          <w:szCs w:val="24"/>
          <w:lang w:val="en-US"/>
        </w:rPr>
        <w:t>Indications et contre indications</w:t>
      </w:r>
    </w:p>
    <w:p w14:paraId="4053C5A0">
      <w:pPr>
        <w:pStyle w:val="250"/>
        <w:numPr>
          <w:ilvl w:val="0"/>
          <w:numId w:val="11"/>
        </w:numPr>
        <w:rPr>
          <w:b/>
          <w:bCs/>
          <w:sz w:val="24"/>
          <w:szCs w:val="24"/>
        </w:rPr>
      </w:pPr>
      <w:r>
        <w:rPr>
          <w:rFonts w:hint="default"/>
          <w:b/>
          <w:bCs/>
          <w:sz w:val="24"/>
          <w:szCs w:val="24"/>
          <w:lang w:val="en-US"/>
        </w:rPr>
        <w:t>Protocole clinique et laboratoire de réalisation</w:t>
      </w:r>
    </w:p>
    <w:p w14:paraId="353E040F">
      <w:pPr>
        <w:pStyle w:val="250"/>
        <w:numPr>
          <w:ilvl w:val="0"/>
          <w:numId w:val="11"/>
        </w:numPr>
        <w:rPr>
          <w:b/>
          <w:bCs/>
          <w:sz w:val="24"/>
          <w:szCs w:val="24"/>
        </w:rPr>
      </w:pPr>
      <w:r>
        <w:rPr>
          <w:rFonts w:hint="default"/>
          <w:b/>
          <w:bCs/>
          <w:sz w:val="24"/>
          <w:szCs w:val="24"/>
          <w:lang w:val="en-US"/>
        </w:rPr>
        <w:t>Place du numérique dans la réalisation des prothèses immédiates</w:t>
      </w:r>
    </w:p>
    <w:p w14:paraId="21681ECE">
      <w:pPr>
        <w:pStyle w:val="250"/>
        <w:numPr>
          <w:ilvl w:val="0"/>
          <w:numId w:val="11"/>
        </w:numPr>
        <w:rPr>
          <w:b/>
          <w:bCs/>
          <w:sz w:val="24"/>
          <w:szCs w:val="24"/>
        </w:rPr>
      </w:pPr>
      <w:r>
        <w:rPr>
          <w:b/>
          <w:bCs/>
          <w:sz w:val="24"/>
          <w:szCs w:val="24"/>
        </w:rPr>
        <w:t>Conclusion</w:t>
      </w:r>
    </w:p>
    <w:p w14:paraId="3098A5AD">
      <w:pPr>
        <w:pStyle w:val="250"/>
        <w:numPr>
          <w:ilvl w:val="0"/>
          <w:numId w:val="0"/>
        </w:numPr>
        <w:ind w:left="360" w:leftChars="0"/>
        <w:rPr>
          <w:b/>
          <w:bCs/>
          <w:sz w:val="24"/>
          <w:szCs w:val="24"/>
        </w:rPr>
      </w:pPr>
      <w:r>
        <w:rPr>
          <w:rFonts w:hint="default"/>
          <w:b/>
          <w:bCs/>
          <w:sz w:val="24"/>
          <w:szCs w:val="24"/>
          <w:lang w:val="en-US"/>
        </w:rPr>
        <w:t xml:space="preserve"> Bibliographie </w:t>
      </w:r>
      <w:r>
        <w:rPr>
          <w:b/>
          <w:bCs/>
          <w:sz w:val="24"/>
          <w:szCs w:val="24"/>
        </w:rPr>
        <w:t xml:space="preserve"> </w:t>
      </w:r>
    </w:p>
    <w:p w14:paraId="5C602D63"/>
    <w:p w14:paraId="62F5866D"/>
    <w:p w14:paraId="014360A8"/>
    <w:p w14:paraId="0E5CE91D"/>
    <w:p w14:paraId="17BEC180"/>
    <w:p w14:paraId="1E0BDDB4"/>
    <w:p w14:paraId="3CE98F09"/>
    <w:p w14:paraId="6237C820"/>
    <w:p w14:paraId="3F455C7F"/>
    <w:p w14:paraId="42E24D0B"/>
    <w:p w14:paraId="6B7C7EC2"/>
    <w:p w14:paraId="3172826F"/>
    <w:p w14:paraId="6B7D19D8">
      <w:pPr>
        <w:numPr>
          <w:ilvl w:val="0"/>
          <w:numId w:val="12"/>
        </w:numPr>
        <w:rPr>
          <w:rFonts w:hint="default"/>
          <w:sz w:val="24"/>
          <w:szCs w:val="24"/>
          <w:u w:val="thick"/>
          <w:lang w:val="en-US"/>
        </w:rPr>
      </w:pPr>
      <w:r>
        <w:rPr>
          <w:sz w:val="24"/>
          <w:szCs w:val="24"/>
          <w:u w:val="thick"/>
        </w:rPr>
        <mc:AlternateContent>
          <mc:Choice Requires="wps">
            <w:drawing>
              <wp:anchor distT="0" distB="0" distL="114300" distR="114300" simplePos="0" relativeHeight="251659264" behindDoc="0" locked="0" layoutInCell="1" allowOverlap="1">
                <wp:simplePos x="0" y="0"/>
                <wp:positionH relativeFrom="column">
                  <wp:posOffset>64770</wp:posOffset>
                </wp:positionH>
                <wp:positionV relativeFrom="paragraph">
                  <wp:posOffset>-412115</wp:posOffset>
                </wp:positionV>
                <wp:extent cx="6551295" cy="0"/>
                <wp:effectExtent l="0" t="15875" r="1905" b="22225"/>
                <wp:wrapNone/>
                <wp:docPr id="4" name="Straight Connector 4"/>
                <wp:cNvGraphicFramePr/>
                <a:graphic xmlns:a="http://schemas.openxmlformats.org/drawingml/2006/main">
                  <a:graphicData uri="http://schemas.microsoft.com/office/word/2010/wordprocessingShape">
                    <wps:wsp>
                      <wps:cNvCnPr/>
                      <wps:spPr>
                        <a:xfrm>
                          <a:off x="407670" y="878840"/>
                          <a:ext cx="6551295" cy="0"/>
                        </a:xfrm>
                        <a:prstGeom prst="line">
                          <a:avLst/>
                        </a:prstGeom>
                        <a:ln w="31750">
                          <a:solidFill>
                            <a:srgbClr val="C00000"/>
                          </a:solidFill>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1pt;margin-top:-32.45pt;height:0pt;width:515.85pt;z-index:251659264;mso-width-relative:page;mso-height-relative:page;" filled="f" stroked="t" coordsize="21600,21600" o:gfxdata="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6Rah7tgAAAALAQAADwAAAAAAAAABACAAAAAiAAAAZHJzL2Rvd25yZXYueG1sUEsBAhQA&#10;FAAAAAgAh07iQJDvd5a5AQAAbgMAAA4AAAAAAAAAAQAgAAAAJwEAAGRycy9lMm9Eb2MueG1sUEsF&#10;BgAAAAAGAAYAWQEAAFIFAAAAAA==&#10;">
                <v:fill on="f" focussize="0,0"/>
                <v:stroke weight="2.5pt" color="#C00000" joinstyle="round"/>
                <v:imagedata o:title=""/>
                <o:lock v:ext="edit" aspectratio="f"/>
              </v:line>
            </w:pict>
          </mc:Fallback>
        </mc:AlternateContent>
      </w:r>
      <w:r>
        <w:rPr>
          <w:rFonts w:hint="default"/>
          <w:sz w:val="24"/>
          <w:szCs w:val="24"/>
          <w:u w:val="thick"/>
          <w:lang w:val="en-US"/>
        </w:rPr>
        <w:t>Introduction:</w:t>
      </w:r>
    </w:p>
    <w:p w14:paraId="6729A64C">
      <w:pPr>
        <w:numPr>
          <w:ilvl w:val="0"/>
          <w:numId w:val="0"/>
        </w:numPr>
        <w:rPr>
          <w:rFonts w:hint="default"/>
          <w:b w:val="0"/>
          <w:bCs w:val="0"/>
          <w:sz w:val="24"/>
          <w:szCs w:val="24"/>
          <w:lang w:val="en-US"/>
        </w:rPr>
      </w:pPr>
      <w:r>
        <w:rPr>
          <w:rFonts w:hint="default"/>
          <w:sz w:val="24"/>
          <w:szCs w:val="24"/>
          <w:lang w:val="en-US"/>
        </w:rPr>
        <w:t xml:space="preserve">La perte des dents antérieures qu’elle soit partielle ou totale, constitue une urgence aussi bien </w:t>
      </w:r>
      <w:r>
        <w:rPr>
          <w:rFonts w:hint="default"/>
          <w:b/>
          <w:bCs/>
          <w:sz w:val="24"/>
          <w:szCs w:val="24"/>
          <w:lang w:val="en-US"/>
        </w:rPr>
        <w:t>fonctionnelle qu’esthétique,</w:t>
      </w:r>
      <w:r>
        <w:rPr>
          <w:rFonts w:hint="default"/>
          <w:b w:val="0"/>
          <w:bCs w:val="0"/>
          <w:sz w:val="24"/>
          <w:szCs w:val="24"/>
          <w:lang w:val="en-US"/>
        </w:rPr>
        <w:t xml:space="preserve"> pouvant avoir un impact psychologique important pour le patient.</w:t>
      </w:r>
    </w:p>
    <w:p w14:paraId="2B841946">
      <w:pPr>
        <w:numPr>
          <w:ilvl w:val="0"/>
          <w:numId w:val="0"/>
        </w:numPr>
        <w:rPr>
          <w:rFonts w:hint="default"/>
          <w:b w:val="0"/>
          <w:bCs w:val="0"/>
          <w:sz w:val="24"/>
          <w:szCs w:val="24"/>
          <w:lang w:val="en-US"/>
        </w:rPr>
      </w:pPr>
      <w:r>
        <w:rPr>
          <w:rFonts w:hint="default"/>
          <w:b w:val="0"/>
          <w:bCs w:val="0"/>
          <w:sz w:val="24"/>
          <w:szCs w:val="24"/>
          <w:lang w:val="en-US"/>
        </w:rPr>
        <w:t>Afin d’éviter une période d’édentement transitoire, la prothèse immédiate s’impose comme une solution thérapeutique de choix.</w:t>
      </w:r>
    </w:p>
    <w:p w14:paraId="26FD2796">
      <w:pPr>
        <w:numPr>
          <w:ilvl w:val="0"/>
          <w:numId w:val="12"/>
        </w:numPr>
        <w:ind w:left="0" w:leftChars="0" w:firstLine="0" w:firstLineChars="0"/>
        <w:rPr>
          <w:rFonts w:hint="default"/>
          <w:b w:val="0"/>
          <w:bCs w:val="0"/>
          <w:sz w:val="24"/>
          <w:szCs w:val="24"/>
          <w:u w:val="thick"/>
          <w:lang w:val="en-US"/>
        </w:rPr>
      </w:pPr>
      <w:r>
        <w:rPr>
          <w:rFonts w:hint="default"/>
          <w:b w:val="0"/>
          <w:bCs w:val="0"/>
          <w:sz w:val="24"/>
          <w:szCs w:val="24"/>
          <w:u w:val="thick"/>
          <w:lang w:val="en-US"/>
        </w:rPr>
        <w:t>Définitions:</w:t>
      </w:r>
    </w:p>
    <w:p w14:paraId="091083A6">
      <w:pPr>
        <w:numPr>
          <w:ilvl w:val="1"/>
          <w:numId w:val="12"/>
        </w:numPr>
        <w:ind w:left="220" w:leftChars="0" w:firstLineChars="0"/>
        <w:rPr>
          <w:rFonts w:hint="default"/>
          <w:b w:val="0"/>
          <w:bCs w:val="0"/>
          <w:i w:val="0"/>
          <w:iCs w:val="0"/>
          <w:sz w:val="24"/>
          <w:szCs w:val="24"/>
          <w:u w:val="none"/>
          <w:lang w:val="en-US"/>
        </w:rPr>
      </w:pPr>
      <w:r>
        <w:rPr>
          <w:rFonts w:hint="default"/>
          <w:b w:val="0"/>
          <w:bCs w:val="0"/>
          <w:i/>
          <w:iCs/>
          <w:sz w:val="24"/>
          <w:szCs w:val="24"/>
          <w:u w:val="wave"/>
          <w:lang w:val="en-US"/>
        </w:rPr>
        <w:t>La prothèse immédiate provisoire ou transitoire:</w:t>
      </w:r>
      <w:r>
        <w:rPr>
          <w:rFonts w:hint="default"/>
          <w:b w:val="0"/>
          <w:bCs w:val="0"/>
          <w:i w:val="0"/>
          <w:iCs w:val="0"/>
          <w:sz w:val="24"/>
          <w:szCs w:val="24"/>
          <w:u w:val="none"/>
          <w:lang w:val="en-US"/>
        </w:rPr>
        <w:t xml:space="preserve"> est une prothèse amovible, réalisée avant l’extraction des dents restantes et mise en place immédiatement après leur avulsion selon un protocole de réalisation clinique et laboratoire simplifié. Cette prothèse dure un laps de temps déterminé pour être remplacée une fois la cicatrisation est terminée par une prothèse conventionnelle définitive.</w:t>
      </w:r>
    </w:p>
    <w:p w14:paraId="0239777A">
      <w:pPr>
        <w:numPr>
          <w:ilvl w:val="1"/>
          <w:numId w:val="12"/>
        </w:numPr>
        <w:ind w:left="220" w:leftChars="0" w:firstLineChars="0"/>
        <w:rPr>
          <w:rFonts w:hint="default"/>
          <w:b w:val="0"/>
          <w:bCs w:val="0"/>
          <w:i w:val="0"/>
          <w:iCs w:val="0"/>
          <w:sz w:val="22"/>
          <w:u w:val="none"/>
          <w:lang w:val="en-US"/>
        </w:rPr>
      </w:pPr>
      <w:r>
        <w:rPr>
          <w:sz w:val="24"/>
          <w:highlight w:val="yellow"/>
        </w:rPr>
        <mc:AlternateContent>
          <mc:Choice Requires="wps">
            <w:drawing>
              <wp:anchor distT="0" distB="0" distL="114300" distR="114300" simplePos="0" relativeHeight="251660288" behindDoc="0" locked="0" layoutInCell="1" allowOverlap="1">
                <wp:simplePos x="0" y="0"/>
                <wp:positionH relativeFrom="column">
                  <wp:posOffset>-11430</wp:posOffset>
                </wp:positionH>
                <wp:positionV relativeFrom="paragraph">
                  <wp:posOffset>941070</wp:posOffset>
                </wp:positionV>
                <wp:extent cx="6645910" cy="459105"/>
                <wp:effectExtent l="6350" t="6350" r="27940" b="17145"/>
                <wp:wrapNone/>
                <wp:docPr id="5" name="Rectangles 5"/>
                <wp:cNvGraphicFramePr/>
                <a:graphic xmlns:a="http://schemas.openxmlformats.org/drawingml/2006/main">
                  <a:graphicData uri="http://schemas.microsoft.com/office/word/2010/wordprocessingShape">
                    <wps:wsp>
                      <wps:cNvSpPr/>
                      <wps:spPr>
                        <a:xfrm>
                          <a:off x="332105" y="4888230"/>
                          <a:ext cx="6645910" cy="459105"/>
                        </a:xfrm>
                        <a:prstGeom prst="rect">
                          <a:avLst/>
                        </a:prstGeom>
                        <a:noFill/>
                        <a:ln>
                          <a:gradFill>
                            <a:gsLst>
                              <a:gs pos="0">
                                <a:srgbClr val="007BD3"/>
                              </a:gs>
                              <a:gs pos="100000">
                                <a:srgbClr val="034373"/>
                              </a:gs>
                            </a:gsLst>
                          </a:gra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9pt;margin-top:74.1pt;height:36.15pt;width:523.3pt;z-index:251660288;v-text-anchor:middle;mso-width-relative:page;mso-height-relative:page;" filled="f" stroked="t" coordsize="21600,21600" o:gfxdata="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zm0vc9cAAAALAQAA&#10;DwAAAAAAAAABACAAAAAiAAAAZHJzL2Rvd25yZXYueG1sUEsBAhQAFAAAAAgAh07iQBZFI52MAgAA&#10;MwUAAA4AAAAAAAAAAQAgAAAAJgEAAGRycy9lMm9Eb2MueG1sUEsFBgAAAAAGAAYAWQEAACQGAAAA&#10;AA==&#10;">
                <v:fill on="f" focussize="0,0"/>
                <v:stroke weight="1pt" color="#000000" miterlimit="8" joinstyle="miter"/>
                <v:imagedata o:title=""/>
                <o:lock v:ext="edit" aspectratio="f"/>
              </v:rect>
            </w:pict>
          </mc:Fallback>
        </mc:AlternateContent>
      </w:r>
      <w:r>
        <w:rPr>
          <w:rFonts w:hint="default"/>
          <w:b w:val="0"/>
          <w:bCs w:val="0"/>
          <w:i/>
          <w:iCs/>
          <w:sz w:val="24"/>
          <w:szCs w:val="24"/>
          <w:u w:val="wave"/>
          <w:lang w:val="en-US"/>
        </w:rPr>
        <w:t>La prothèse immédiate définitive ou d’usage:</w:t>
      </w:r>
      <w:r>
        <w:rPr>
          <w:rFonts w:hint="default"/>
          <w:b w:val="0"/>
          <w:bCs w:val="0"/>
          <w:i w:val="0"/>
          <w:iCs w:val="0"/>
          <w:sz w:val="24"/>
          <w:szCs w:val="24"/>
          <w:u w:val="none"/>
          <w:lang w:val="en-US"/>
        </w:rPr>
        <w:t xml:space="preserve"> est une prothèse amovible, réalisée avant l’extraction des dents restantes et mise en place immédiatement après leur avulsion selon un protocole de réa</w:t>
      </w:r>
      <w:bookmarkStart w:id="1" w:name="_GoBack"/>
      <w:bookmarkEnd w:id="1"/>
      <w:r>
        <w:rPr>
          <w:rFonts w:hint="default"/>
          <w:b w:val="0"/>
          <w:bCs w:val="0"/>
          <w:i w:val="0"/>
          <w:iCs w:val="0"/>
          <w:sz w:val="24"/>
          <w:szCs w:val="24"/>
          <w:u w:val="none"/>
          <w:lang w:val="en-US"/>
        </w:rPr>
        <w:t>lisation clinique et laboratoire plus élaboré en respectant toute la chaîne technologique de conception d’une prothèse totale amovible.</w:t>
      </w:r>
    </w:p>
    <w:p w14:paraId="473206ED">
      <w:pPr>
        <w:numPr>
          <w:ilvl w:val="0"/>
          <w:numId w:val="0"/>
        </w:numPr>
        <w:ind w:leftChars="0"/>
        <w:rPr>
          <w:rFonts w:hint="default"/>
          <w:b w:val="0"/>
          <w:bCs w:val="0"/>
          <w:i w:val="0"/>
          <w:iCs w:val="0"/>
          <w:sz w:val="24"/>
          <w:szCs w:val="24"/>
          <w:highlight w:val="none"/>
          <w:u w:val="none"/>
          <w:lang w:val="en-US"/>
        </w:rPr>
      </w:pPr>
      <w:r>
        <w:rPr>
          <w:rFonts w:hint="default"/>
          <w:b w:val="0"/>
          <w:bCs w:val="0"/>
          <w:i w:val="0"/>
          <w:iCs w:val="0"/>
          <w:sz w:val="24"/>
          <w:szCs w:val="24"/>
          <w:highlight w:val="yellow"/>
          <w:u w:val="none"/>
          <w:lang w:val="en-US"/>
        </w:rPr>
        <w:t xml:space="preserve">La différence entre la prothèse immédiate provisoire et celle d’usage réside dans le </w:t>
      </w:r>
      <w:r>
        <w:rPr>
          <w:rFonts w:hint="default"/>
          <w:b/>
          <w:bCs/>
          <w:i w:val="0"/>
          <w:iCs w:val="0"/>
          <w:sz w:val="24"/>
          <w:szCs w:val="24"/>
          <w:highlight w:val="yellow"/>
          <w:u w:val="none"/>
          <w:lang w:val="en-US"/>
        </w:rPr>
        <w:t>protocole de</w:t>
      </w:r>
      <w:r>
        <w:rPr>
          <w:rFonts w:hint="default"/>
          <w:b/>
          <w:bCs/>
          <w:i w:val="0"/>
          <w:iCs w:val="0"/>
          <w:sz w:val="24"/>
          <w:szCs w:val="24"/>
          <w:highlight w:val="none"/>
          <w:u w:val="none"/>
          <w:lang w:val="en-US"/>
        </w:rPr>
        <w:t xml:space="preserve"> </w:t>
      </w:r>
      <w:r>
        <w:rPr>
          <w:rFonts w:hint="default"/>
          <w:b/>
          <w:bCs/>
          <w:i w:val="0"/>
          <w:iCs w:val="0"/>
          <w:sz w:val="24"/>
          <w:szCs w:val="24"/>
          <w:highlight w:val="yellow"/>
          <w:u w:val="none"/>
          <w:lang w:val="en-US"/>
        </w:rPr>
        <w:t>réalisation;</w:t>
      </w:r>
      <w:r>
        <w:rPr>
          <w:rFonts w:hint="default"/>
          <w:b w:val="0"/>
          <w:bCs w:val="0"/>
          <w:i w:val="0"/>
          <w:iCs w:val="0"/>
          <w:sz w:val="24"/>
          <w:szCs w:val="24"/>
          <w:highlight w:val="yellow"/>
          <w:u w:val="none"/>
          <w:lang w:val="en-US"/>
        </w:rPr>
        <w:t xml:space="preserve"> plus simplifié pour la provisoire, et dans le </w:t>
      </w:r>
      <w:r>
        <w:rPr>
          <w:rFonts w:hint="default"/>
          <w:b/>
          <w:bCs/>
          <w:i w:val="0"/>
          <w:iCs w:val="0"/>
          <w:sz w:val="24"/>
          <w:szCs w:val="24"/>
          <w:highlight w:val="yellow"/>
          <w:u w:val="none"/>
          <w:lang w:val="en-US"/>
        </w:rPr>
        <w:t xml:space="preserve">coût, </w:t>
      </w:r>
      <w:r>
        <w:rPr>
          <w:rFonts w:hint="default"/>
          <w:b w:val="0"/>
          <w:bCs w:val="0"/>
          <w:i w:val="0"/>
          <w:iCs w:val="0"/>
          <w:sz w:val="24"/>
          <w:szCs w:val="24"/>
          <w:highlight w:val="yellow"/>
          <w:u w:val="none"/>
          <w:lang w:val="en-US"/>
        </w:rPr>
        <w:t>plus élevé pour la prothèse d’usage.</w:t>
      </w:r>
      <w:r>
        <w:rPr>
          <w:rFonts w:hint="default"/>
          <w:b w:val="0"/>
          <w:bCs w:val="0"/>
          <w:i w:val="0"/>
          <w:iCs w:val="0"/>
          <w:sz w:val="24"/>
          <w:szCs w:val="24"/>
          <w:highlight w:val="none"/>
          <w:u w:val="none"/>
          <w:lang w:val="en-US"/>
        </w:rPr>
        <w:t xml:space="preserve"> </w:t>
      </w:r>
    </w:p>
    <w:p w14:paraId="7C808350">
      <w:pPr>
        <w:numPr>
          <w:ilvl w:val="0"/>
          <w:numId w:val="12"/>
        </w:numPr>
        <w:ind w:left="0" w:leftChars="0" w:firstLine="0" w:firstLineChars="0"/>
        <w:rPr>
          <w:rFonts w:hint="default"/>
          <w:b w:val="0"/>
          <w:bCs w:val="0"/>
          <w:i w:val="0"/>
          <w:iCs w:val="0"/>
          <w:sz w:val="24"/>
          <w:szCs w:val="24"/>
          <w:highlight w:val="none"/>
          <w:u w:val="thick"/>
          <w:lang w:val="en-US"/>
        </w:rPr>
      </w:pPr>
      <w:r>
        <w:rPr>
          <w:rFonts w:hint="default"/>
          <w:b w:val="0"/>
          <w:bCs w:val="0"/>
          <w:i w:val="0"/>
          <w:iCs w:val="0"/>
          <w:sz w:val="24"/>
          <w:szCs w:val="24"/>
          <w:highlight w:val="none"/>
          <w:u w:val="thick"/>
          <w:lang w:val="en-US"/>
        </w:rPr>
        <w:t>Objectifs:</w:t>
      </w:r>
    </w:p>
    <w:p w14:paraId="5FB915DA">
      <w:pPr>
        <w:numPr>
          <w:ilvl w:val="0"/>
          <w:numId w:val="13"/>
        </w:numPr>
        <w:ind w:left="64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Procéder au remplacement sans transition des organes dentaires lorsque ceux-ci ne peuvent être conservés.</w:t>
      </w:r>
    </w:p>
    <w:p w14:paraId="76D9B029">
      <w:pPr>
        <w:numPr>
          <w:ilvl w:val="0"/>
          <w:numId w:val="13"/>
        </w:numPr>
        <w:ind w:left="64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Préserver l’aspect esthétique du patient.</w:t>
      </w:r>
    </w:p>
    <w:p w14:paraId="1A8E13AF">
      <w:pPr>
        <w:numPr>
          <w:ilvl w:val="0"/>
          <w:numId w:val="13"/>
        </w:numPr>
        <w:ind w:left="64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Conserver la dimension verticale primitive.</w:t>
      </w:r>
    </w:p>
    <w:p w14:paraId="7D2DF092">
      <w:pPr>
        <w:numPr>
          <w:ilvl w:val="0"/>
          <w:numId w:val="13"/>
        </w:numPr>
        <w:ind w:left="64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Ne pas altérer la phonation</w:t>
      </w:r>
    </w:p>
    <w:p w14:paraId="727B2AC3">
      <w:pPr>
        <w:numPr>
          <w:ilvl w:val="0"/>
          <w:numId w:val="13"/>
        </w:numPr>
        <w:ind w:left="64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Améliorer le processus de cicatrisation et d’ostéogenèse</w:t>
      </w:r>
    </w:p>
    <w:p w14:paraId="543175B7">
      <w:pPr>
        <w:numPr>
          <w:ilvl w:val="0"/>
          <w:numId w:val="12"/>
        </w:numPr>
        <w:ind w:left="0" w:leftChars="0" w:firstLine="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thick"/>
          <w:lang w:val="en-US"/>
        </w:rPr>
        <w:t>Indications et contre indications:</w:t>
      </w:r>
      <w:r>
        <w:rPr>
          <w:rFonts w:hint="default"/>
          <w:b w:val="0"/>
          <w:bCs w:val="0"/>
          <w:i w:val="0"/>
          <w:iCs w:val="0"/>
          <w:sz w:val="24"/>
          <w:szCs w:val="24"/>
          <w:highlight w:val="none"/>
          <w:u w:val="none"/>
          <w:lang w:val="en-US"/>
        </w:rPr>
        <w:t xml:space="preserve"> </w:t>
      </w:r>
    </w:p>
    <w:p w14:paraId="3E15A64B">
      <w:pPr>
        <w:numPr>
          <w:ilvl w:val="0"/>
          <w:numId w:val="0"/>
        </w:numPr>
        <w:ind w:leftChars="0" w:firstLine="120" w:firstLineChars="50"/>
        <w:rPr>
          <w:rFonts w:hint="default"/>
          <w:b w:val="0"/>
          <w:bCs w:val="0"/>
          <w:i/>
          <w:iCs/>
          <w:sz w:val="24"/>
          <w:szCs w:val="24"/>
          <w:highlight w:val="none"/>
          <w:u w:val="dash"/>
          <w:lang w:val="en-US"/>
        </w:rPr>
      </w:pPr>
      <w:r>
        <w:rPr>
          <w:rFonts w:hint="default"/>
          <w:b w:val="0"/>
          <w:bCs w:val="0"/>
          <w:i/>
          <w:iCs/>
          <w:sz w:val="24"/>
          <w:szCs w:val="24"/>
          <w:highlight w:val="none"/>
          <w:u w:val="dash"/>
          <w:lang w:val="en-US"/>
        </w:rPr>
        <w:t>4.1 Indications:</w:t>
      </w:r>
    </w:p>
    <w:p w14:paraId="1BE19AD2">
      <w:pPr>
        <w:numPr>
          <w:ilvl w:val="0"/>
          <w:numId w:val="14"/>
        </w:numPr>
        <w:ind w:left="64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Exigence esthetique immédiate.</w:t>
      </w:r>
    </w:p>
    <w:p w14:paraId="1DCBB4D8">
      <w:pPr>
        <w:numPr>
          <w:ilvl w:val="0"/>
          <w:numId w:val="14"/>
        </w:numPr>
        <w:ind w:left="64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Préservation des repères occlusaux.</w:t>
      </w:r>
    </w:p>
    <w:p w14:paraId="4222BD1A">
      <w:pPr>
        <w:numPr>
          <w:ilvl w:val="0"/>
          <w:numId w:val="14"/>
        </w:numPr>
        <w:ind w:left="64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Besoin de maintenir la fonction masticatoire et la phonation</w:t>
      </w:r>
    </w:p>
    <w:p w14:paraId="04AD7BB1">
      <w:pPr>
        <w:numPr>
          <w:ilvl w:val="0"/>
          <w:numId w:val="14"/>
        </w:numPr>
        <w:ind w:left="64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La position sociale: un artiste, un homme d’affaire ou un homme d’état ne peuvent pas se permettre d’arrêter leurs engagements professionnels.</w:t>
      </w:r>
    </w:p>
    <w:p w14:paraId="42880033">
      <w:pPr>
        <w:numPr>
          <w:ilvl w:val="0"/>
          <w:numId w:val="14"/>
        </w:numPr>
        <w:ind w:left="64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 xml:space="preserve">Patient jeune, cette restauration satisfait immédiatement l’impatience caractéristique de la jeunesse. </w:t>
      </w:r>
    </w:p>
    <w:p w14:paraId="0E5AB146">
      <w:pPr>
        <w:numPr>
          <w:ilvl w:val="0"/>
          <w:numId w:val="0"/>
        </w:numPr>
        <w:ind w:leftChars="0"/>
        <w:rPr>
          <w:rFonts w:hint="default"/>
          <w:b w:val="0"/>
          <w:bCs w:val="0"/>
          <w:i/>
          <w:iCs/>
          <w:sz w:val="24"/>
          <w:szCs w:val="24"/>
          <w:highlight w:val="none"/>
          <w:u w:val="dash"/>
          <w:lang w:val="en-US"/>
        </w:rPr>
      </w:pPr>
      <w:r>
        <w:rPr>
          <w:rFonts w:hint="default"/>
          <w:b w:val="0"/>
          <w:bCs w:val="0"/>
          <w:i w:val="0"/>
          <w:iCs w:val="0"/>
          <w:sz w:val="24"/>
          <w:szCs w:val="24"/>
          <w:highlight w:val="none"/>
          <w:u w:val="none"/>
          <w:lang w:val="en-US"/>
        </w:rPr>
        <w:t xml:space="preserve"> </w:t>
      </w:r>
      <w:r>
        <w:rPr>
          <w:rFonts w:hint="default"/>
          <w:b w:val="0"/>
          <w:bCs w:val="0"/>
          <w:i/>
          <w:iCs/>
          <w:sz w:val="24"/>
          <w:szCs w:val="24"/>
          <w:highlight w:val="none"/>
          <w:u w:val="dash"/>
          <w:lang w:val="en-US"/>
        </w:rPr>
        <w:t>4.2 Contre indications:</w:t>
      </w:r>
    </w:p>
    <w:p w14:paraId="028B77AA">
      <w:pPr>
        <w:numPr>
          <w:ilvl w:val="0"/>
          <w:numId w:val="14"/>
        </w:numPr>
        <w:ind w:left="640" w:leftChars="0" w:hanging="420" w:firstLineChars="0"/>
        <w:rPr>
          <w:rFonts w:hint="default"/>
          <w:b w:val="0"/>
          <w:bCs w:val="0"/>
          <w:i/>
          <w:iCs/>
          <w:sz w:val="24"/>
          <w:szCs w:val="24"/>
          <w:highlight w:val="none"/>
          <w:u w:val="dash"/>
          <w:lang w:val="en-US"/>
        </w:rPr>
      </w:pPr>
      <w:r>
        <w:rPr>
          <w:rFonts w:hint="default"/>
          <w:b w:val="0"/>
          <w:bCs w:val="0"/>
          <w:i w:val="0"/>
          <w:iCs w:val="0"/>
          <w:sz w:val="24"/>
          <w:szCs w:val="24"/>
          <w:highlight w:val="none"/>
          <w:u w:val="none"/>
          <w:lang w:val="en-US"/>
        </w:rPr>
        <w:t>Mauvais état de santé général.</w:t>
      </w:r>
    </w:p>
    <w:p w14:paraId="78D33853">
      <w:pPr>
        <w:numPr>
          <w:ilvl w:val="0"/>
          <w:numId w:val="14"/>
        </w:numPr>
        <w:ind w:left="640" w:leftChars="0" w:hanging="420" w:firstLineChars="0"/>
        <w:rPr>
          <w:rFonts w:hint="default"/>
          <w:b w:val="0"/>
          <w:bCs w:val="0"/>
          <w:i/>
          <w:iCs/>
          <w:sz w:val="24"/>
          <w:szCs w:val="24"/>
          <w:highlight w:val="none"/>
          <w:u w:val="dash"/>
          <w:lang w:val="en-US"/>
        </w:rPr>
      </w:pPr>
      <w:r>
        <w:rPr>
          <w:rFonts w:hint="default"/>
          <w:b w:val="0"/>
          <w:bCs w:val="0"/>
          <w:i w:val="0"/>
          <w:iCs w:val="0"/>
          <w:sz w:val="24"/>
          <w:szCs w:val="24"/>
          <w:highlight w:val="none"/>
          <w:u w:val="none"/>
          <w:lang w:val="en-US"/>
        </w:rPr>
        <w:t>Présence de maladie parodontale agressive non traitée.</w:t>
      </w:r>
    </w:p>
    <w:p w14:paraId="04041BF1">
      <w:pPr>
        <w:numPr>
          <w:ilvl w:val="0"/>
          <w:numId w:val="14"/>
        </w:numPr>
        <w:ind w:left="640" w:leftChars="0" w:hanging="420" w:firstLineChars="0"/>
        <w:rPr>
          <w:rFonts w:hint="default"/>
          <w:b w:val="0"/>
          <w:bCs w:val="0"/>
          <w:i/>
          <w:iCs/>
          <w:sz w:val="24"/>
          <w:szCs w:val="24"/>
          <w:highlight w:val="none"/>
          <w:u w:val="dash"/>
          <w:lang w:val="en-US"/>
        </w:rPr>
      </w:pPr>
      <w:r>
        <w:rPr>
          <w:rFonts w:hint="default"/>
          <w:b w:val="0"/>
          <w:bCs w:val="0"/>
          <w:i w:val="0"/>
          <w:iCs w:val="0"/>
          <w:sz w:val="24"/>
          <w:szCs w:val="24"/>
          <w:highlight w:val="none"/>
          <w:u w:val="none"/>
          <w:lang w:val="en-US"/>
        </w:rPr>
        <w:t>Instabilité psychologique du patient.</w:t>
      </w:r>
    </w:p>
    <w:p w14:paraId="03F7A795">
      <w:pPr>
        <w:numPr>
          <w:ilvl w:val="0"/>
          <w:numId w:val="12"/>
        </w:numPr>
        <w:ind w:left="0" w:leftChars="0" w:firstLine="0" w:firstLineChars="0"/>
        <w:rPr>
          <w:rFonts w:hint="default"/>
          <w:b w:val="0"/>
          <w:bCs w:val="0"/>
          <w:i w:val="0"/>
          <w:iCs w:val="0"/>
          <w:sz w:val="24"/>
          <w:szCs w:val="24"/>
          <w:highlight w:val="none"/>
          <w:u w:val="thick"/>
          <w:lang w:val="en-US"/>
        </w:rPr>
      </w:pPr>
      <w:r>
        <w:rPr>
          <w:rFonts w:hint="default"/>
          <w:b w:val="0"/>
          <w:bCs w:val="0"/>
          <w:i w:val="0"/>
          <w:iCs w:val="0"/>
          <w:sz w:val="24"/>
          <w:szCs w:val="24"/>
          <w:highlight w:val="none"/>
          <w:u w:val="thick"/>
          <w:lang w:val="en-US"/>
        </w:rPr>
        <w:t>Protocole clinique et technique de réalisation:</w:t>
      </w:r>
    </w:p>
    <w:p w14:paraId="41F524AA">
      <w:pPr>
        <w:numPr>
          <w:ilvl w:val="1"/>
          <w:numId w:val="12"/>
        </w:numPr>
        <w:ind w:left="220" w:leftChars="0" w:firstLine="0" w:firstLineChars="0"/>
        <w:rPr>
          <w:rFonts w:hint="default"/>
          <w:b/>
          <w:bCs/>
          <w:i/>
          <w:iCs/>
          <w:sz w:val="24"/>
          <w:szCs w:val="24"/>
          <w:highlight w:val="none"/>
          <w:u w:val="wave"/>
          <w:lang w:val="en-US"/>
        </w:rPr>
      </w:pPr>
      <w:r>
        <w:rPr>
          <w:rFonts w:hint="default"/>
          <w:b/>
          <w:bCs/>
          <w:i/>
          <w:iCs/>
          <w:sz w:val="24"/>
          <w:szCs w:val="24"/>
          <w:highlight w:val="none"/>
          <w:u w:val="wave"/>
          <w:lang w:val="en-US"/>
        </w:rPr>
        <w:t>La prothèse immédiate provisoire ou transitoire:</w:t>
      </w:r>
    </w:p>
    <w:p w14:paraId="7A77CB7D">
      <w:pPr>
        <w:numPr>
          <w:ilvl w:val="0"/>
          <w:numId w:val="0"/>
        </w:numPr>
        <w:ind w:left="719" w:leftChars="327" w:firstLine="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Selon Lejoyeux, la prothèse immédiate transitoire est réalisée à partir d’une empreinte préliminaire sans avoir recours à enregistrer une empreinte anatomo-fonctionnelle.</w:t>
      </w:r>
    </w:p>
    <w:p w14:paraId="043A3370">
      <w:pPr>
        <w:numPr>
          <w:ilvl w:val="2"/>
          <w:numId w:val="12"/>
        </w:numPr>
        <w:ind w:left="440" w:leftChars="0" w:firstLine="0" w:firstLineChars="0"/>
        <w:rPr>
          <w:rFonts w:hint="default"/>
          <w:b w:val="0"/>
          <w:bCs w:val="0"/>
          <w:i/>
          <w:iCs/>
          <w:sz w:val="24"/>
          <w:szCs w:val="24"/>
          <w:highlight w:val="lightGray"/>
          <w:u w:val="none"/>
          <w:lang w:val="en-US"/>
        </w:rPr>
      </w:pPr>
      <w:r>
        <w:rPr>
          <w:rFonts w:hint="default"/>
          <w:b w:val="0"/>
          <w:bCs w:val="0"/>
          <w:i/>
          <w:iCs/>
          <w:sz w:val="24"/>
          <w:szCs w:val="24"/>
          <w:highlight w:val="lightGray"/>
          <w:u w:val="none"/>
          <w:lang w:val="en-US"/>
        </w:rPr>
        <w:t>Protocole clinique:</w:t>
      </w:r>
    </w:p>
    <w:p w14:paraId="1FDC114B">
      <w:pPr>
        <w:numPr>
          <w:ilvl w:val="0"/>
          <w:numId w:val="15"/>
        </w:numPr>
        <w:ind w:left="1080" w:leftChars="0" w:hanging="420" w:firstLineChars="0"/>
        <w:rPr>
          <w:rFonts w:hint="default"/>
          <w:b w:val="0"/>
          <w:bCs w:val="0"/>
          <w:i/>
          <w:iCs/>
          <w:sz w:val="24"/>
          <w:szCs w:val="24"/>
          <w:highlight w:val="none"/>
          <w:u w:val="none"/>
          <w:lang w:val="en-US"/>
        </w:rPr>
      </w:pPr>
      <w:r>
        <w:rPr>
          <w:rFonts w:hint="default"/>
          <w:b w:val="0"/>
          <w:bCs w:val="0"/>
          <w:i/>
          <w:iCs/>
          <w:sz w:val="24"/>
          <w:szCs w:val="24"/>
          <w:highlight w:val="none"/>
          <w:u w:val="none"/>
          <w:lang w:val="en-US"/>
        </w:rPr>
        <w:t>Consultation initiale:</w:t>
      </w:r>
      <w:r>
        <w:rPr>
          <w:rFonts w:hint="default"/>
          <w:b w:val="0"/>
          <w:bCs w:val="0"/>
          <w:i w:val="0"/>
          <w:iCs w:val="0"/>
          <w:sz w:val="24"/>
          <w:szCs w:val="24"/>
          <w:highlight w:val="none"/>
          <w:u w:val="none"/>
          <w:lang w:val="en-US"/>
        </w:rPr>
        <w:t xml:space="preserve"> </w:t>
      </w:r>
    </w:p>
    <w:p w14:paraId="69C1ED22">
      <w:pPr>
        <w:numPr>
          <w:ilvl w:val="0"/>
          <w:numId w:val="0"/>
        </w:numPr>
        <w:ind w:left="1100" w:leftChars="500" w:firstLine="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 xml:space="preserve">Bilan clinique, radiographique, photographique et évaluation des dents restantes (sondage des dents antérieures pour avoir une idée sur le niveau osseux restant). </w:t>
      </w:r>
    </w:p>
    <w:p w14:paraId="7823412B">
      <w:pPr>
        <w:numPr>
          <w:ilvl w:val="0"/>
          <w:numId w:val="0"/>
        </w:numPr>
        <w:ind w:left="1097" w:leftChars="490" w:hanging="19" w:hangingChars="8"/>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Conservations des documents pré-extractionnels: les élements essentiels à consigner dans notre examen préprothétique sont les suivants:</w:t>
      </w:r>
    </w:p>
    <w:p w14:paraId="12BFF748">
      <w:pPr>
        <w:keepNext w:val="0"/>
        <w:keepLines w:val="0"/>
        <w:pageBreakBefore w:val="0"/>
        <w:widowControl/>
        <w:numPr>
          <w:ilvl w:val="0"/>
          <w:numId w:val="0"/>
        </w:numPr>
        <w:kinsoku/>
        <w:wordWrap/>
        <w:overflowPunct/>
        <w:topLinePunct w:val="0"/>
        <w:autoSpaceDE/>
        <w:autoSpaceDN/>
        <w:bidi w:val="0"/>
        <w:adjustRightInd/>
        <w:snapToGrid/>
        <w:spacing w:line="240" w:lineRule="auto"/>
        <w:ind w:left="1097" w:leftChars="490" w:hanging="19" w:hangingChars="8"/>
        <w:textAlignment w:val="auto"/>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 xml:space="preserve">  - L’orientation du plan d’occlusion existant.</w:t>
      </w:r>
    </w:p>
    <w:p w14:paraId="308C3EEA">
      <w:pPr>
        <w:keepNext w:val="0"/>
        <w:keepLines w:val="0"/>
        <w:pageBreakBefore w:val="0"/>
        <w:widowControl/>
        <w:numPr>
          <w:ilvl w:val="0"/>
          <w:numId w:val="0"/>
        </w:numPr>
        <w:kinsoku/>
        <w:wordWrap/>
        <w:overflowPunct/>
        <w:topLinePunct w:val="0"/>
        <w:autoSpaceDE/>
        <w:autoSpaceDN/>
        <w:bidi w:val="0"/>
        <w:adjustRightInd/>
        <w:snapToGrid/>
        <w:spacing w:line="240" w:lineRule="auto"/>
        <w:ind w:left="1097" w:leftChars="490" w:hanging="19" w:hangingChars="8"/>
        <w:textAlignment w:val="auto"/>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 xml:space="preserve">  - La relation intermaxillaire.</w:t>
      </w:r>
    </w:p>
    <w:p w14:paraId="0A6EE357">
      <w:pPr>
        <w:keepNext w:val="0"/>
        <w:keepLines w:val="0"/>
        <w:pageBreakBefore w:val="0"/>
        <w:widowControl/>
        <w:numPr>
          <w:ilvl w:val="0"/>
          <w:numId w:val="0"/>
        </w:numPr>
        <w:kinsoku/>
        <w:wordWrap/>
        <w:overflowPunct/>
        <w:topLinePunct w:val="0"/>
        <w:autoSpaceDE/>
        <w:autoSpaceDN/>
        <w:bidi w:val="0"/>
        <w:adjustRightInd/>
        <w:snapToGrid/>
        <w:spacing w:line="240" w:lineRule="auto"/>
        <w:ind w:left="1097" w:leftChars="490" w:hanging="19" w:hangingChars="8"/>
        <w:textAlignment w:val="auto"/>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 xml:space="preserve">  - Les trajectoires incisives et condyliennes.</w:t>
      </w:r>
    </w:p>
    <w:p w14:paraId="60AA43A5">
      <w:pPr>
        <w:keepNext w:val="0"/>
        <w:keepLines w:val="0"/>
        <w:pageBreakBefore w:val="0"/>
        <w:widowControl/>
        <w:numPr>
          <w:ilvl w:val="0"/>
          <w:numId w:val="0"/>
        </w:numPr>
        <w:kinsoku/>
        <w:wordWrap/>
        <w:overflowPunct/>
        <w:topLinePunct w:val="0"/>
        <w:autoSpaceDE/>
        <w:autoSpaceDN/>
        <w:bidi w:val="0"/>
        <w:adjustRightInd/>
        <w:snapToGrid/>
        <w:spacing w:line="240" w:lineRule="auto"/>
        <w:ind w:left="1097" w:leftChars="490" w:hanging="19" w:hangingChars="8"/>
        <w:textAlignment w:val="auto"/>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 xml:space="preserve">  - La forme, la dimension, la teinte et la position des dents antérieures. </w:t>
      </w:r>
    </w:p>
    <w:p w14:paraId="5DC57740">
      <w:pPr>
        <w:numPr>
          <w:ilvl w:val="0"/>
          <w:numId w:val="0"/>
        </w:numPr>
        <w:ind w:left="660" w:leftChars="0"/>
        <w:rPr>
          <w:rFonts w:hint="default"/>
          <w:b w:val="0"/>
          <w:bCs w:val="0"/>
          <w:i/>
          <w:iCs/>
          <w:sz w:val="24"/>
          <w:szCs w:val="24"/>
          <w:highlight w:val="none"/>
          <w:u w:val="none"/>
          <w:lang w:val="en-US"/>
        </w:rPr>
      </w:pPr>
      <w:r>
        <w:rPr>
          <w:rFonts w:hint="default"/>
          <w:b w:val="0"/>
          <w:bCs w:val="0"/>
          <w:i w:val="0"/>
          <w:iCs w:val="0"/>
          <w:sz w:val="24"/>
          <w:szCs w:val="24"/>
          <w:highlight w:val="none"/>
          <w:u w:val="none"/>
          <w:lang w:val="en-US"/>
        </w:rPr>
        <w:t xml:space="preserve">    Avulsion des dents postérieures.</w:t>
      </w:r>
    </w:p>
    <w:p w14:paraId="07CAA3B8">
      <w:pPr>
        <w:numPr>
          <w:ilvl w:val="0"/>
          <w:numId w:val="15"/>
        </w:numPr>
        <w:ind w:left="1080" w:leftChars="0" w:hanging="420" w:firstLineChars="0"/>
        <w:rPr>
          <w:rFonts w:hint="default"/>
          <w:b w:val="0"/>
          <w:bCs w:val="0"/>
          <w:i/>
          <w:iCs/>
          <w:sz w:val="24"/>
          <w:szCs w:val="24"/>
          <w:highlight w:val="none"/>
          <w:u w:val="none"/>
          <w:lang w:val="en-US"/>
        </w:rPr>
      </w:pPr>
      <w:r>
        <w:rPr>
          <w:rFonts w:hint="default"/>
          <w:b w:val="0"/>
          <w:bCs w:val="0"/>
          <w:i w:val="0"/>
          <w:iCs w:val="0"/>
          <w:sz w:val="24"/>
          <w:szCs w:val="24"/>
          <w:highlight w:val="none"/>
          <w:u w:val="none"/>
          <w:lang w:val="en-US"/>
        </w:rPr>
        <w:t>Prise d’empreintes primaires à l’arcade supérieure et inférieure:</w:t>
      </w:r>
    </w:p>
    <w:p w14:paraId="69A97888">
      <w:pPr>
        <w:numPr>
          <w:ilvl w:val="0"/>
          <w:numId w:val="0"/>
        </w:numPr>
        <w:ind w:left="1116" w:leftChars="500" w:hanging="16"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 xml:space="preserve"> L’empreinte primaire revêt une importance primordiale; le matériau utilisé est l’alginate avec des porte empreintes de série.</w:t>
      </w:r>
    </w:p>
    <w:p w14:paraId="44129864">
      <w:pPr>
        <w:numPr>
          <w:ilvl w:val="0"/>
          <w:numId w:val="0"/>
        </w:numPr>
        <w:ind w:left="1199" w:leftChars="545" w:firstLine="120" w:firstLineChars="5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En présence de dents fortement mobiles, pour éviter le risque de les extraire accidentellement: toutes embrasures et trous noirs des dents sont comblés avec de la cire ou de la digue liquide, le matériau doit avoir une consistance légèrement fluide. Une contention parodontale des dents mobiles est aussi possible pour les immobiliser temporairement.</w:t>
      </w:r>
    </w:p>
    <w:p w14:paraId="13E82064">
      <w:pPr>
        <w:numPr>
          <w:ilvl w:val="0"/>
          <w:numId w:val="16"/>
        </w:numPr>
        <w:ind w:left="108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Enregistrement de l’occlusion: le rapport inter maxillaire est enregistré en relation centrée avec des maquettes d’occlusion partielles.</w:t>
      </w:r>
    </w:p>
    <w:p w14:paraId="3A3778E9">
      <w:pPr>
        <w:numPr>
          <w:ilvl w:val="0"/>
          <w:numId w:val="16"/>
        </w:numPr>
        <w:ind w:left="108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 xml:space="preserve">Essai fonctionnel du montage postérieur: validation du rapport inter maxillaire: dimension verticale et relation centrée. </w:t>
      </w:r>
    </w:p>
    <w:p w14:paraId="14C48FD3">
      <w:pPr>
        <w:numPr>
          <w:ilvl w:val="0"/>
          <w:numId w:val="16"/>
        </w:numPr>
        <w:ind w:left="108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Extraction des dents antérieures restantes: sous anesthesie toutes les dents résiduelles sont extraites. Selon Berteretch: les sites d’extraction ne sont pas suturés car la prothèse joue le rôle d’hémostase et fera office de pansement compressif.</w:t>
      </w:r>
    </w:p>
    <w:p w14:paraId="49179A54">
      <w:pPr>
        <w:numPr>
          <w:ilvl w:val="0"/>
          <w:numId w:val="0"/>
        </w:numPr>
        <w:ind w:left="1140" w:leftChars="300" w:hanging="480" w:hangingChars="20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 xml:space="preserve">   Mise en place de la prothèse immédiate: le patient est prié de ne pas retirer sa prothèse jusqu’au contrôle; cette dernière sera retirée par le praticien après 24h de port. </w:t>
      </w:r>
    </w:p>
    <w:p w14:paraId="13A5C426">
      <w:pPr>
        <w:numPr>
          <w:ilvl w:val="0"/>
          <w:numId w:val="17"/>
        </w:numPr>
        <w:ind w:left="108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Contrôles post opératoires: à 24h, 7 jours, 1 mois: retouches, équilibrations…</w:t>
      </w:r>
    </w:p>
    <w:p w14:paraId="34385B21">
      <w:pPr>
        <w:numPr>
          <w:ilvl w:val="0"/>
          <w:numId w:val="17"/>
        </w:numPr>
        <w:ind w:left="108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Suivi jusqu’à cicatrisation complète (3 à 6 mois) et réalisation de la prothèse conventionnelle définitive: durant cette période le praticien peut avoir recours a des rebasages pour améliorer l’efficacité clinique de la prothèse.</w:t>
      </w:r>
    </w:p>
    <w:p w14:paraId="388DCD82">
      <w:pPr>
        <w:numPr>
          <w:ilvl w:val="2"/>
          <w:numId w:val="12"/>
        </w:numPr>
        <w:ind w:left="440" w:leftChars="0" w:firstLine="0" w:firstLineChars="0"/>
        <w:rPr>
          <w:rFonts w:hint="default"/>
          <w:b w:val="0"/>
          <w:bCs w:val="0"/>
          <w:i/>
          <w:iCs/>
          <w:sz w:val="24"/>
          <w:szCs w:val="24"/>
          <w:highlight w:val="lightGray"/>
          <w:u w:val="none"/>
          <w:lang w:val="en-US"/>
        </w:rPr>
      </w:pPr>
      <w:r>
        <w:rPr>
          <w:rFonts w:hint="default"/>
          <w:b w:val="0"/>
          <w:bCs w:val="0"/>
          <w:i/>
          <w:iCs/>
          <w:sz w:val="24"/>
          <w:szCs w:val="24"/>
          <w:highlight w:val="lightGray"/>
          <w:u w:val="none"/>
          <w:lang w:val="en-US"/>
        </w:rPr>
        <w:t>Protocole de laboratoire:</w:t>
      </w:r>
    </w:p>
    <w:p w14:paraId="7297CAEE">
      <w:pPr>
        <w:numPr>
          <w:ilvl w:val="0"/>
          <w:numId w:val="18"/>
        </w:numPr>
        <w:ind w:left="108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Coulée des empreintes primaires.</w:t>
      </w:r>
    </w:p>
    <w:p w14:paraId="42806AC2">
      <w:pPr>
        <w:numPr>
          <w:ilvl w:val="0"/>
          <w:numId w:val="18"/>
        </w:numPr>
        <w:ind w:left="108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Confection des maquettes d’occlusion rigides partielles.</w:t>
      </w:r>
    </w:p>
    <w:p w14:paraId="1A6FB1C8">
      <w:pPr>
        <w:numPr>
          <w:ilvl w:val="0"/>
          <w:numId w:val="18"/>
        </w:numPr>
        <w:ind w:left="108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Montage des dents postérieures sur articulateur.</w:t>
      </w:r>
    </w:p>
    <w:p w14:paraId="235C9543">
      <w:pPr>
        <w:numPr>
          <w:ilvl w:val="0"/>
          <w:numId w:val="18"/>
        </w:numPr>
        <w:ind w:left="108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Extraction des dents antérieures sur le modèle en plâtre, en fonction des valeurs données par le praticien ( valeur retrouvées lors du sondage parodontales) et modelage approximatif de la portion de crête antérieure.</w:t>
      </w:r>
    </w:p>
    <w:p w14:paraId="2A6CAB13">
      <w:pPr>
        <w:numPr>
          <w:ilvl w:val="0"/>
          <w:numId w:val="18"/>
        </w:numPr>
        <w:ind w:left="108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Montage des dents antérieures et finition du montage.</w:t>
      </w:r>
    </w:p>
    <w:p w14:paraId="3FA73B0E">
      <w:pPr>
        <w:numPr>
          <w:ilvl w:val="0"/>
          <w:numId w:val="18"/>
        </w:numPr>
        <w:ind w:left="108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Polymérisation des prothèses.</w:t>
      </w:r>
    </w:p>
    <w:p w14:paraId="4A1849B0">
      <w:pPr>
        <w:numPr>
          <w:ilvl w:val="1"/>
          <w:numId w:val="12"/>
        </w:numPr>
        <w:ind w:left="220" w:leftChars="0" w:firstLine="0" w:firstLineChars="0"/>
        <w:rPr>
          <w:rFonts w:hint="default"/>
          <w:b/>
          <w:bCs/>
          <w:i/>
          <w:iCs/>
          <w:sz w:val="24"/>
          <w:szCs w:val="24"/>
          <w:highlight w:val="none"/>
          <w:u w:val="wave"/>
          <w:lang w:val="en-US"/>
        </w:rPr>
      </w:pPr>
      <w:r>
        <w:rPr>
          <w:rFonts w:hint="default"/>
          <w:b/>
          <w:bCs/>
          <w:i/>
          <w:iCs/>
          <w:sz w:val="24"/>
          <w:szCs w:val="24"/>
          <w:highlight w:val="none"/>
          <w:u w:val="wave"/>
          <w:lang w:val="en-US"/>
        </w:rPr>
        <w:t xml:space="preserve"> La prothèse immédiate d’usage:</w:t>
      </w:r>
    </w:p>
    <w:p w14:paraId="18EB729C">
      <w:pPr>
        <w:numPr>
          <w:ilvl w:val="0"/>
          <w:numId w:val="0"/>
        </w:numPr>
        <w:ind w:left="220" w:left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Le protocole clinique et de laboratoire pour la réalisation d’une prothèse immédiate d’usage repose sur approche rigoureuse visant à préserver le capital osseux et d’assurer une occlusion fonctionnelle dès l’insertion.</w:t>
      </w:r>
    </w:p>
    <w:p w14:paraId="3F95DA98">
      <w:pPr>
        <w:numPr>
          <w:ilvl w:val="2"/>
          <w:numId w:val="12"/>
        </w:numPr>
        <w:ind w:left="440" w:leftChars="0" w:firstLine="0" w:firstLineChars="0"/>
        <w:rPr>
          <w:rFonts w:hint="default"/>
          <w:b w:val="0"/>
          <w:bCs w:val="0"/>
          <w:i/>
          <w:iCs/>
          <w:sz w:val="24"/>
          <w:szCs w:val="24"/>
          <w:highlight w:val="lightGray"/>
          <w:u w:val="none"/>
          <w:lang w:val="en-US"/>
        </w:rPr>
      </w:pPr>
      <w:r>
        <w:rPr>
          <w:rFonts w:hint="default"/>
          <w:b w:val="0"/>
          <w:bCs w:val="0"/>
          <w:i/>
          <w:iCs/>
          <w:sz w:val="24"/>
          <w:szCs w:val="24"/>
          <w:highlight w:val="lightGray"/>
          <w:u w:val="none"/>
          <w:lang w:val="en-US"/>
        </w:rPr>
        <w:t>Protocole clinique:</w:t>
      </w:r>
    </w:p>
    <w:p w14:paraId="7D8C7789">
      <w:pPr>
        <w:numPr>
          <w:ilvl w:val="0"/>
          <w:numId w:val="19"/>
        </w:numPr>
        <w:ind w:left="1080" w:leftChars="0" w:hanging="420" w:firstLineChars="0"/>
        <w:rPr>
          <w:rFonts w:hint="default"/>
          <w:b w:val="0"/>
          <w:bCs w:val="0"/>
          <w:i/>
          <w:iCs/>
          <w:sz w:val="24"/>
          <w:szCs w:val="24"/>
          <w:highlight w:val="lightGray"/>
          <w:u w:val="none"/>
          <w:lang w:val="en-US"/>
        </w:rPr>
      </w:pPr>
      <w:r>
        <w:rPr>
          <w:rFonts w:hint="default"/>
          <w:b w:val="0"/>
          <w:bCs w:val="0"/>
          <w:i w:val="0"/>
          <w:iCs w:val="0"/>
          <w:sz w:val="24"/>
          <w:szCs w:val="24"/>
          <w:highlight w:val="none"/>
          <w:u w:val="none"/>
          <w:lang w:val="en-US"/>
        </w:rPr>
        <w:t>Évaluation initiale: est identique que celle pour la prothèse immédiate provisoire ou transitoire.</w:t>
      </w:r>
    </w:p>
    <w:p w14:paraId="74BA572B">
      <w:pPr>
        <w:numPr>
          <w:ilvl w:val="0"/>
          <w:numId w:val="19"/>
        </w:numPr>
        <w:ind w:left="1080" w:leftChars="0" w:hanging="420" w:firstLineChars="0"/>
        <w:rPr>
          <w:rFonts w:hint="default"/>
          <w:b w:val="0"/>
          <w:bCs w:val="0"/>
          <w:i/>
          <w:iCs/>
          <w:sz w:val="24"/>
          <w:szCs w:val="24"/>
          <w:highlight w:val="lightGray"/>
          <w:u w:val="none"/>
          <w:lang w:val="en-US"/>
        </w:rPr>
      </w:pPr>
      <w:r>
        <w:rPr>
          <w:rFonts w:hint="default"/>
          <w:b w:val="0"/>
          <w:bCs w:val="0"/>
          <w:i w:val="0"/>
          <w:iCs w:val="0"/>
          <w:sz w:val="24"/>
          <w:szCs w:val="24"/>
          <w:highlight w:val="none"/>
          <w:u w:val="none"/>
          <w:lang w:val="en-US"/>
        </w:rPr>
        <w:t>Prise d’empreintes primaires à l’arcade supérieure et inférieure: similaire à celle prise dans le cas de réalisation de la prothèse provisoire. L’objectif est l’enregistrement correct des surfaces d’appui.</w:t>
      </w:r>
    </w:p>
    <w:p w14:paraId="41CB7057">
      <w:pPr>
        <w:numPr>
          <w:ilvl w:val="0"/>
          <w:numId w:val="19"/>
        </w:numPr>
        <w:ind w:left="1080" w:leftChars="0" w:hanging="420" w:firstLineChars="0"/>
        <w:rPr>
          <w:rFonts w:hint="default"/>
          <w:b w:val="0"/>
          <w:bCs w:val="0"/>
          <w:i/>
          <w:iCs/>
          <w:sz w:val="24"/>
          <w:szCs w:val="24"/>
          <w:highlight w:val="lightGray"/>
          <w:u w:val="none"/>
          <w:lang w:val="en-US"/>
        </w:rPr>
      </w:pPr>
      <w:r>
        <w:rPr>
          <w:rFonts w:hint="default"/>
          <w:b w:val="0"/>
          <w:bCs w:val="0"/>
          <w:i w:val="0"/>
          <w:iCs w:val="0"/>
          <w:sz w:val="24"/>
          <w:szCs w:val="24"/>
          <w:highlight w:val="none"/>
          <w:u w:val="none"/>
          <w:lang w:val="en-US"/>
        </w:rPr>
        <w:t>Prise d’empreintes secondaires: des cas de figure peuvent se présenter en fonction de la mobilité des dents résiduelles:</w:t>
      </w:r>
    </w:p>
    <w:p w14:paraId="7A062BA4">
      <w:pPr>
        <w:numPr>
          <w:ilvl w:val="0"/>
          <w:numId w:val="20"/>
        </w:numPr>
        <w:ind w:left="1520" w:leftChars="0" w:hanging="420" w:firstLineChars="0"/>
        <w:rPr>
          <w:rFonts w:hint="default"/>
          <w:b w:val="0"/>
          <w:bCs w:val="0"/>
          <w:i/>
          <w:iCs/>
          <w:sz w:val="24"/>
          <w:szCs w:val="24"/>
          <w:highlight w:val="none"/>
          <w:u w:val="none"/>
          <w:lang w:val="en-US"/>
        </w:rPr>
      </w:pPr>
      <w:r>
        <w:rPr>
          <w:rFonts w:hint="default"/>
          <w:b w:val="0"/>
          <w:bCs w:val="0"/>
          <w:i/>
          <w:iCs/>
          <w:sz w:val="24"/>
          <w:szCs w:val="24"/>
          <w:highlight w:val="none"/>
          <w:u w:val="none"/>
          <w:lang w:val="en-US"/>
        </w:rPr>
        <w:t xml:space="preserve">Dents peu ou non mobiles: </w:t>
      </w:r>
      <w:r>
        <w:rPr>
          <w:rFonts w:hint="default"/>
          <w:b w:val="0"/>
          <w:bCs w:val="0"/>
          <w:i w:val="0"/>
          <w:iCs w:val="0"/>
          <w:sz w:val="24"/>
          <w:szCs w:val="24"/>
          <w:highlight w:val="none"/>
          <w:u w:val="dotDash"/>
          <w:lang w:val="en-US"/>
        </w:rPr>
        <w:t>porte empreinte individuel classique</w:t>
      </w:r>
    </w:p>
    <w:p w14:paraId="329EA210">
      <w:pPr>
        <w:numPr>
          <w:ilvl w:val="0"/>
          <w:numId w:val="0"/>
        </w:numPr>
        <w:ind w:left="1100" w:left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 xml:space="preserve"> -Recouvre toutes les dents résiduelles, l’ajustage ainsi que le remarginage périphérique à la pâte de Kerr suivent les mêmes règles que pour une prothèse totale conventionnelle.</w:t>
      </w:r>
    </w:p>
    <w:p w14:paraId="5022A016">
      <w:pPr>
        <w:numPr>
          <w:ilvl w:val="0"/>
          <w:numId w:val="0"/>
        </w:numPr>
        <w:ind w:left="1100" w:left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 Le matériau utilisé est le silicone basse viscosité (light).</w:t>
      </w:r>
    </w:p>
    <w:p w14:paraId="22A94443">
      <w:pPr>
        <w:numPr>
          <w:ilvl w:val="0"/>
          <w:numId w:val="21"/>
        </w:numPr>
        <w:ind w:left="1520" w:leftChars="0" w:hanging="420" w:firstLineChars="0"/>
        <w:rPr>
          <w:rFonts w:hint="default"/>
          <w:b w:val="0"/>
          <w:bCs w:val="0"/>
          <w:i w:val="0"/>
          <w:iCs w:val="0"/>
          <w:sz w:val="24"/>
          <w:szCs w:val="24"/>
          <w:highlight w:val="none"/>
          <w:u w:val="none"/>
          <w:lang w:val="en-US"/>
        </w:rPr>
      </w:pPr>
      <w:r>
        <w:rPr>
          <w:rFonts w:hint="default"/>
          <w:b w:val="0"/>
          <w:bCs w:val="0"/>
          <w:i/>
          <w:iCs/>
          <w:sz w:val="24"/>
          <w:szCs w:val="24"/>
          <w:highlight w:val="none"/>
          <w:u w:val="none"/>
          <w:lang w:val="en-US"/>
        </w:rPr>
        <w:t xml:space="preserve">Dents très mobiles: </w:t>
      </w:r>
      <w:r>
        <w:rPr>
          <w:rFonts w:hint="default"/>
          <w:b w:val="0"/>
          <w:bCs w:val="0"/>
          <w:i w:val="0"/>
          <w:iCs w:val="0"/>
          <w:sz w:val="24"/>
          <w:szCs w:val="24"/>
          <w:highlight w:val="none"/>
          <w:u w:val="dotDash"/>
          <w:lang w:val="en-US"/>
        </w:rPr>
        <w:t>porte empreinte ouvert ou démontable</w:t>
      </w:r>
    </w:p>
    <w:p w14:paraId="7E0DEE30">
      <w:pPr>
        <w:numPr>
          <w:ilvl w:val="0"/>
          <w:numId w:val="0"/>
        </w:numPr>
        <w:ind w:left="1100" w:left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 Zones ouvertes (occlusales ou vestibulaires) au niveau des dents mobiles pour éviter toute pression directe sur les dents mobiles.</w:t>
      </w:r>
    </w:p>
    <w:p w14:paraId="13B86FB5">
      <w:pPr>
        <w:numPr>
          <w:ilvl w:val="0"/>
          <w:numId w:val="0"/>
        </w:numPr>
        <w:ind w:left="1100" w:left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 L’empreinte est prise en deux temps: empreinte des tissus d’appui ensuite l’empreinte localisée des dents mobiles.</w:t>
      </w:r>
    </w:p>
    <w:p w14:paraId="5E41C0F3">
      <w:pPr>
        <w:numPr>
          <w:ilvl w:val="0"/>
          <w:numId w:val="0"/>
        </w:numPr>
        <w:ind w:left="1100" w:left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Cela permettra de préserver les dents résiduelles jusqu’au jour de l’avulsion dentaire.</w:t>
      </w:r>
    </w:p>
    <w:p w14:paraId="482D493B">
      <w:pPr>
        <w:numPr>
          <w:ilvl w:val="0"/>
          <w:numId w:val="0"/>
        </w:numPr>
        <w:ind w:left="1100" w:left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 Retrait délicat pour ne pas porter préjudices aux dents.</w:t>
      </w:r>
    </w:p>
    <w:p w14:paraId="40106FE2">
      <w:pPr>
        <w:numPr>
          <w:ilvl w:val="0"/>
          <w:numId w:val="22"/>
        </w:numPr>
        <w:ind w:left="108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Enregistrement des rapports intermaxillaires en relation centrée, essentiel pour une occlusion équilibrée.</w:t>
      </w:r>
    </w:p>
    <w:p w14:paraId="34CD4A60">
      <w:pPr>
        <w:numPr>
          <w:ilvl w:val="0"/>
          <w:numId w:val="22"/>
        </w:numPr>
        <w:ind w:left="108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Essai en bouche pour validation du montage postérieur.</w:t>
      </w:r>
    </w:p>
    <w:p w14:paraId="49AECC5B">
      <w:pPr>
        <w:keepNext w:val="0"/>
        <w:keepLines w:val="0"/>
        <w:widowControl/>
        <w:numPr>
          <w:ilvl w:val="0"/>
          <w:numId w:val="23"/>
        </w:numPr>
        <w:suppressLineNumbers w:val="0"/>
        <w:ind w:left="1080" w:leftChars="0" w:hanging="42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b w:val="0"/>
          <w:bCs w:val="0"/>
          <w:i w:val="0"/>
          <w:iCs w:val="0"/>
          <w:sz w:val="24"/>
          <w:szCs w:val="24"/>
          <w:highlight w:val="none"/>
          <w:u w:val="none"/>
          <w:lang w:val="en-US"/>
        </w:rPr>
        <w:t xml:space="preserve">Avulsion dentaire, utilisation du guide chirugical en résine transparente (duplicata de la prothèse) afin d’apporter </w:t>
      </w:r>
      <w:r>
        <w:rPr>
          <w:rFonts w:hint="default" w:asciiTheme="minorHAnsi" w:hAnsiTheme="minorHAnsi" w:eastAsiaTheme="minorHAnsi" w:cstheme="minorBidi"/>
          <w:b w:val="0"/>
          <w:bCs w:val="0"/>
          <w:i w:val="0"/>
          <w:iCs w:val="0"/>
          <w:sz w:val="24"/>
          <w:szCs w:val="24"/>
          <w:highlight w:val="none"/>
          <w:u w:val="none"/>
          <w:lang w:val="en-US" w:eastAsia="zh-CN" w:bidi="ar-SA"/>
        </w:rPr>
        <w:t xml:space="preserve">des corrections au niveau des muqueuses ou au niveau du tissu osseux pour obtenir une adaptation optimale de la prothèse et éviter une résorption pathologique des surfaces d’appui induite par des forces nocives. </w:t>
      </w:r>
    </w:p>
    <w:p w14:paraId="7E3CFC36">
      <w:pPr>
        <w:numPr>
          <w:ilvl w:val="0"/>
          <w:numId w:val="24"/>
        </w:numPr>
        <w:ind w:left="108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Insertion immédiate de la prothèse qui agit comme un pansement protecteur.</w:t>
      </w:r>
    </w:p>
    <w:p w14:paraId="60B71039">
      <w:pPr>
        <w:numPr>
          <w:ilvl w:val="0"/>
          <w:numId w:val="22"/>
        </w:numPr>
        <w:ind w:left="108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Suivi post opératoire: après 48h de port continu, le praticien retire la prothèse pour contrôler la cicatrisation et gérer les doléances.</w:t>
      </w:r>
    </w:p>
    <w:p w14:paraId="0A3BD6E5">
      <w:pPr>
        <w:numPr>
          <w:ilvl w:val="0"/>
          <w:numId w:val="25"/>
        </w:numPr>
        <w:ind w:left="108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Sensibilisation du patient sur l’entretien de la prothèse et les visites de suivi.</w:t>
      </w:r>
    </w:p>
    <w:p w14:paraId="2E936208">
      <w:pPr>
        <w:numPr>
          <w:ilvl w:val="2"/>
          <w:numId w:val="12"/>
        </w:numPr>
        <w:ind w:left="440" w:leftChars="0" w:firstLine="0" w:firstLineChars="0"/>
        <w:rPr>
          <w:rFonts w:hint="default"/>
          <w:b w:val="0"/>
          <w:bCs w:val="0"/>
          <w:i/>
          <w:iCs/>
          <w:sz w:val="24"/>
          <w:szCs w:val="24"/>
          <w:highlight w:val="lightGray"/>
          <w:u w:val="none"/>
          <w:lang w:val="en-US"/>
        </w:rPr>
      </w:pPr>
      <w:r>
        <w:rPr>
          <w:rFonts w:hint="default"/>
          <w:b w:val="0"/>
          <w:bCs w:val="0"/>
          <w:i/>
          <w:iCs/>
          <w:sz w:val="24"/>
          <w:szCs w:val="24"/>
          <w:highlight w:val="lightGray"/>
          <w:u w:val="none"/>
          <w:lang w:val="en-US"/>
        </w:rPr>
        <w:t>Protocole de laboratoire:</w:t>
      </w:r>
    </w:p>
    <w:p w14:paraId="4B5024DC">
      <w:pPr>
        <w:numPr>
          <w:ilvl w:val="0"/>
          <w:numId w:val="26"/>
        </w:numPr>
        <w:ind w:left="108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Coulée des empreintes primaires: le démoulage de l’empreinte doit se faire soigneusement pour ne pas casser les dents en plâtre.</w:t>
      </w:r>
    </w:p>
    <w:p w14:paraId="334AEDED">
      <w:pPr>
        <w:numPr>
          <w:ilvl w:val="0"/>
          <w:numId w:val="26"/>
        </w:numPr>
        <w:ind w:left="1080" w:leftChars="0" w:hanging="420"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Réalisation du porte empreinte individuel: en fonction de la mobilité des dents résiduelles:</w:t>
      </w:r>
    </w:p>
    <w:p w14:paraId="5C05CF95">
      <w:pPr>
        <w:numPr>
          <w:ilvl w:val="0"/>
          <w:numId w:val="0"/>
        </w:numPr>
        <w:ind w:left="876" w:leftChars="398" w:firstLine="4" w:firstLineChars="0"/>
        <w:rPr>
          <w:rFonts w:hint="default"/>
          <w:b w:val="0"/>
          <w:bCs w:val="0"/>
          <w:i w:val="0"/>
          <w:iCs w:val="0"/>
          <w:sz w:val="24"/>
          <w:szCs w:val="24"/>
          <w:highlight w:val="none"/>
          <w:u w:val="none"/>
          <w:lang w:val="en-US"/>
        </w:rPr>
      </w:pPr>
      <w:r>
        <w:rPr>
          <w:rFonts w:hint="default"/>
          <w:b w:val="0"/>
          <w:bCs w:val="0"/>
          <w:i w:val="0"/>
          <w:iCs w:val="0"/>
          <w:sz w:val="24"/>
          <w:szCs w:val="24"/>
          <w:highlight w:val="none"/>
          <w:u w:val="none"/>
          <w:lang w:val="en-US"/>
        </w:rPr>
        <w:t xml:space="preserve">   - Porte empreinte individuel classique: les dents ne présentent aucune particularité: ni sont vestibulées, ni mobiles.</w:t>
      </w:r>
    </w:p>
    <w:p w14:paraId="268FF79E">
      <w:pPr>
        <w:keepNext w:val="0"/>
        <w:keepLines w:val="0"/>
        <w:widowControl/>
        <w:suppressLineNumbers w:val="0"/>
        <w:ind w:left="880" w:leftChars="400" w:firstLine="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b w:val="0"/>
          <w:bCs w:val="0"/>
          <w:i w:val="0"/>
          <w:iCs w:val="0"/>
          <w:sz w:val="24"/>
          <w:szCs w:val="24"/>
          <w:highlight w:val="none"/>
          <w:u w:val="none"/>
          <w:lang w:val="en-US"/>
        </w:rPr>
        <w:t xml:space="preserve"> - </w:t>
      </w:r>
      <w:r>
        <w:rPr>
          <w:rFonts w:hint="default" w:asciiTheme="minorHAnsi" w:hAnsiTheme="minorHAnsi" w:eastAsiaTheme="minorHAnsi" w:cstheme="minorBidi"/>
          <w:b w:val="0"/>
          <w:bCs w:val="0"/>
          <w:i w:val="0"/>
          <w:iCs w:val="0"/>
          <w:sz w:val="24"/>
          <w:szCs w:val="24"/>
          <w:highlight w:val="none"/>
          <w:u w:val="none"/>
          <w:lang w:val="en-US" w:eastAsia="en-US" w:bidi="ar-SA"/>
        </w:rPr>
        <w:t>Porte empreinte individuel démontable:</w:t>
      </w:r>
      <w:r>
        <w:rPr>
          <w:rFonts w:hint="default"/>
          <w:b w:val="0"/>
          <w:bCs w:val="0"/>
          <w:i w:val="0"/>
          <w:iCs w:val="0"/>
          <w:sz w:val="24"/>
          <w:szCs w:val="24"/>
          <w:highlight w:val="none"/>
          <w:u w:val="none"/>
          <w:lang w:val="en-US"/>
        </w:rPr>
        <w:t xml:space="preserve"> </w:t>
      </w:r>
      <w:r>
        <w:rPr>
          <w:rFonts w:hint="default" w:asciiTheme="minorHAnsi" w:hAnsiTheme="minorHAnsi" w:eastAsiaTheme="minorHAnsi" w:cstheme="minorBidi"/>
          <w:b w:val="0"/>
          <w:bCs w:val="0"/>
          <w:i w:val="0"/>
          <w:iCs w:val="0"/>
          <w:sz w:val="24"/>
          <w:szCs w:val="24"/>
          <w:highlight w:val="none"/>
          <w:u w:val="none"/>
          <w:lang w:val="en-US" w:eastAsia="zh-CN" w:bidi="ar-SA"/>
        </w:rPr>
        <w:t>deux cas de figures:</w:t>
      </w:r>
    </w:p>
    <w:p w14:paraId="204397AE">
      <w:pPr>
        <w:keepNext w:val="0"/>
        <w:keepLines w:val="0"/>
        <w:widowControl/>
        <w:numPr>
          <w:ilvl w:val="0"/>
          <w:numId w:val="27"/>
        </w:numPr>
        <w:suppressLineNumbers w:val="0"/>
        <w:ind w:left="1740" w:leftChars="0" w:hanging="420" w:firstLineChars="0"/>
        <w:jc w:val="left"/>
        <w:rPr>
          <w:rFonts w:hint="default" w:asciiTheme="minorHAnsi" w:hAnsiTheme="minorHAnsi" w:eastAsiaTheme="minorHAnsi" w:cstheme="minorBidi"/>
          <w:b w:val="0"/>
          <w:bCs w:val="0"/>
          <w:i w:val="0"/>
          <w:iCs w:val="0"/>
          <w:sz w:val="24"/>
          <w:szCs w:val="24"/>
          <w:highlight w:val="yellow"/>
          <w:u w:val="none"/>
          <w:lang w:val="en-US" w:eastAsia="zh-CN" w:bidi="ar-SA"/>
        </w:rPr>
      </w:pPr>
      <w:r>
        <w:rPr>
          <w:rFonts w:hint="default" w:asciiTheme="minorHAnsi" w:hAnsiTheme="minorHAnsi" w:eastAsiaTheme="minorHAnsi" w:cstheme="minorBidi"/>
          <w:b w:val="0"/>
          <w:bCs w:val="0"/>
          <w:i w:val="0"/>
          <w:iCs w:val="0"/>
          <w:sz w:val="24"/>
          <w:szCs w:val="24"/>
          <w:highlight w:val="yellow"/>
          <w:u w:val="none"/>
          <w:lang w:val="en-US" w:eastAsia="zh-CN" w:bidi="ar-SA"/>
        </w:rPr>
        <w:t>Dents vestibulées:</w:t>
      </w:r>
    </w:p>
    <w:p w14:paraId="51138296">
      <w:pPr>
        <w:keepNext w:val="0"/>
        <w:keepLines w:val="0"/>
        <w:widowControl/>
        <w:suppressLineNumbers w:val="0"/>
        <w:ind w:left="1540" w:leftChars="700" w:firstLine="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 xml:space="preserve">Le PEI est réalisé de la même manière avec ici une </w:t>
      </w:r>
      <w:r>
        <w:rPr>
          <w:rFonts w:hint="default" w:asciiTheme="minorHAnsi" w:hAnsiTheme="minorHAnsi" w:eastAsiaTheme="minorHAnsi" w:cstheme="minorBidi"/>
          <w:b w:val="0"/>
          <w:bCs w:val="0"/>
          <w:i/>
          <w:iCs/>
          <w:sz w:val="24"/>
          <w:szCs w:val="24"/>
          <w:highlight w:val="none"/>
          <w:u w:val="none"/>
          <w:lang w:val="en-US" w:eastAsia="zh-CN" w:bidi="ar-SA"/>
        </w:rPr>
        <w:t>ouverture occlusale</w:t>
      </w:r>
      <w:r>
        <w:rPr>
          <w:rFonts w:hint="default" w:asciiTheme="minorHAnsi" w:hAnsiTheme="minorHAnsi" w:eastAsiaTheme="minorHAnsi" w:cstheme="minorBidi"/>
          <w:b w:val="0"/>
          <w:bCs w:val="0"/>
          <w:i w:val="0"/>
          <w:iCs w:val="0"/>
          <w:sz w:val="24"/>
          <w:szCs w:val="24"/>
          <w:highlight w:val="none"/>
          <w:u w:val="none"/>
          <w:lang w:val="en-US" w:eastAsia="zh-CN" w:bidi="ar-SA"/>
        </w:rPr>
        <w:t xml:space="preserve"> au niveau des secteurs dentés. Ce PEI est particulièrement utile dans les cas de dents antérieurs très vestibulées où l'impression du joint antérieur est difficile. </w:t>
      </w:r>
    </w:p>
    <w:p w14:paraId="24F50007">
      <w:pPr>
        <w:keepNext w:val="0"/>
        <w:keepLines w:val="0"/>
        <w:widowControl/>
        <w:suppressLineNumbers w:val="0"/>
        <w:ind w:left="1540" w:leftChars="700" w:firstLine="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 xml:space="preserve">Les deux parties sont solidarisées avec un système d'encoche le temps de l'empreinte puis démontées lors de la désinsertion et du démoulage évitant ainsi les risques d'avulsions et de fractures.  </w:t>
      </w:r>
    </w:p>
    <w:p w14:paraId="03175A5C">
      <w:pPr>
        <w:keepNext w:val="0"/>
        <w:keepLines w:val="0"/>
        <w:widowControl/>
        <w:numPr>
          <w:ilvl w:val="0"/>
          <w:numId w:val="27"/>
        </w:numPr>
        <w:suppressLineNumbers w:val="0"/>
        <w:ind w:left="1740" w:leftChars="0" w:hanging="42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yellow"/>
          <w:u w:val="none"/>
          <w:lang w:val="en-US" w:eastAsia="zh-CN" w:bidi="ar-SA"/>
        </w:rPr>
        <w:t>Dents fortement mobiles :</w:t>
      </w:r>
      <w:r>
        <w:rPr>
          <w:rFonts w:hint="default" w:asciiTheme="minorHAnsi" w:hAnsiTheme="minorHAnsi" w:eastAsiaTheme="minorHAnsi" w:cstheme="minorBidi"/>
          <w:b w:val="0"/>
          <w:bCs w:val="0"/>
          <w:i w:val="0"/>
          <w:iCs w:val="0"/>
          <w:sz w:val="24"/>
          <w:szCs w:val="24"/>
          <w:highlight w:val="none"/>
          <w:u w:val="none"/>
          <w:lang w:val="en-US" w:eastAsia="zh-CN" w:bidi="ar-SA"/>
        </w:rPr>
        <w:t xml:space="preserve"> </w:t>
      </w:r>
    </w:p>
    <w:p w14:paraId="2E5024EC">
      <w:pPr>
        <w:keepNext w:val="0"/>
        <w:keepLines w:val="0"/>
        <w:widowControl/>
        <w:numPr>
          <w:ilvl w:val="0"/>
          <w:numId w:val="0"/>
        </w:numPr>
        <w:suppressLineNumbers w:val="0"/>
        <w:ind w:left="1536" w:leftChars="698" w:firstLine="4"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 xml:space="preserve">Le modèle est préparé de la même manière à la différence qu'ici le porte-empreinte présente une </w:t>
      </w:r>
      <w:r>
        <w:rPr>
          <w:rFonts w:hint="default" w:asciiTheme="minorHAnsi" w:hAnsiTheme="minorHAnsi" w:eastAsiaTheme="minorHAnsi" w:cstheme="minorBidi"/>
          <w:b w:val="0"/>
          <w:bCs w:val="0"/>
          <w:i/>
          <w:iCs/>
          <w:sz w:val="24"/>
          <w:szCs w:val="24"/>
          <w:highlight w:val="none"/>
          <w:u w:val="none"/>
          <w:lang w:val="en-US" w:eastAsia="zh-CN" w:bidi="ar-SA"/>
        </w:rPr>
        <w:t>ouverture vestibulaire</w:t>
      </w:r>
      <w:r>
        <w:rPr>
          <w:rFonts w:hint="default" w:asciiTheme="minorHAnsi" w:hAnsiTheme="minorHAnsi" w:eastAsiaTheme="minorHAnsi" w:cstheme="minorBidi"/>
          <w:b w:val="0"/>
          <w:bCs w:val="0"/>
          <w:i w:val="0"/>
          <w:iCs w:val="0"/>
          <w:sz w:val="24"/>
          <w:szCs w:val="24"/>
          <w:highlight w:val="none"/>
          <w:u w:val="none"/>
          <w:lang w:val="en-US" w:eastAsia="zh-CN" w:bidi="ar-SA"/>
        </w:rPr>
        <w:t xml:space="preserve"> et non occlusale au niveau des secteurs dentés. Ce volet vestibulaire pourra s'enlever et se replacer facilement avec un système d'encoche ou d'agrafes. Il pourra alors être démonté pour la désinsertion du PEI et du démoulage. </w:t>
      </w:r>
    </w:p>
    <w:p w14:paraId="2055BCE6">
      <w:pPr>
        <w:keepNext w:val="0"/>
        <w:keepLines w:val="0"/>
        <w:widowControl/>
        <w:numPr>
          <w:ilvl w:val="0"/>
          <w:numId w:val="0"/>
        </w:numPr>
        <w:suppressLineNumbers w:val="0"/>
        <w:ind w:left="1536" w:leftChars="698" w:firstLine="4"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p>
    <w:p w14:paraId="3667BC96">
      <w:pPr>
        <w:keepNext w:val="0"/>
        <w:keepLines w:val="0"/>
        <w:widowControl/>
        <w:numPr>
          <w:ilvl w:val="0"/>
          <w:numId w:val="28"/>
        </w:numPr>
        <w:suppressLineNumbers w:val="0"/>
        <w:ind w:left="1080" w:leftChars="0" w:hanging="42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Traitement de l’empreinte secondaire:</w:t>
      </w:r>
    </w:p>
    <w:p w14:paraId="0E3C2EB9">
      <w:pPr>
        <w:keepNext w:val="0"/>
        <w:keepLines w:val="0"/>
        <w:widowControl/>
        <w:suppressLineNumbers w:val="0"/>
        <w:ind w:left="1099" w:leftChars="0" w:hanging="1099" w:hangingChars="458"/>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 xml:space="preserve">         Les empreintes sont boxées et coulées en respectant les mêmes règles que pour la prothèse complète conventionnelle. La principale difficulté est de ne pas fracturer les dents lors du démoulage. </w:t>
      </w:r>
    </w:p>
    <w:p w14:paraId="7D7552FC">
      <w:pPr>
        <w:keepNext w:val="0"/>
        <w:keepLines w:val="0"/>
        <w:widowControl/>
        <w:suppressLineNumbers w:val="0"/>
        <w:ind w:left="1099" w:leftChars="0" w:hanging="1099" w:hangingChars="458"/>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 xml:space="preserve">         Si un PEI démontable a été réalisé, le simple retrait du volet vestibulaire ou de l'opercule occlusal avant le démoulage complet permet d'éviter une éventuelle fracture. </w:t>
      </w:r>
    </w:p>
    <w:p w14:paraId="188C5F2D">
      <w:pPr>
        <w:keepNext w:val="0"/>
        <w:keepLines w:val="0"/>
        <w:widowControl/>
        <w:suppressLineNumbers w:val="0"/>
        <w:ind w:left="1098" w:leftChars="499" w:firstLine="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 xml:space="preserve">Si </w:t>
      </w:r>
      <w:r>
        <w:rPr>
          <w:rFonts w:hint="default" w:asciiTheme="minorHAnsi" w:hAnsiTheme="minorHAnsi" w:eastAsiaTheme="minorHAnsi" w:cstheme="minorBidi"/>
          <w:b w:val="0"/>
          <w:bCs w:val="0"/>
          <w:i/>
          <w:iCs/>
          <w:sz w:val="24"/>
          <w:szCs w:val="24"/>
          <w:highlight w:val="none"/>
          <w:u w:val="dotDash"/>
          <w:lang w:val="en-US" w:eastAsia="zh-CN" w:bidi="ar-SA"/>
        </w:rPr>
        <w:t>un PEI non démontable</w:t>
      </w:r>
      <w:r>
        <w:rPr>
          <w:rFonts w:hint="default" w:asciiTheme="minorHAnsi" w:hAnsiTheme="minorHAnsi" w:eastAsiaTheme="minorHAnsi" w:cstheme="minorBidi"/>
          <w:b w:val="0"/>
          <w:bCs w:val="0"/>
          <w:i w:val="0"/>
          <w:iCs w:val="0"/>
          <w:sz w:val="24"/>
          <w:szCs w:val="24"/>
          <w:highlight w:val="none"/>
          <w:u w:val="none"/>
          <w:lang w:val="en-US" w:eastAsia="zh-CN" w:bidi="ar-SA"/>
        </w:rPr>
        <w:t xml:space="preserve"> a été choisi, des rainures horizontales et verticales sont réalisées pour retirer la partie antérieure vestibulaire du PEI. Le matériau d'empreinte en vestibulaire est ensuite retiré, suivi de la deuxième partie du PEI .</w:t>
      </w:r>
    </w:p>
    <w:p w14:paraId="5D15369D">
      <w:pPr>
        <w:keepNext w:val="0"/>
        <w:keepLines w:val="0"/>
        <w:widowControl/>
        <w:suppressLineNumbers w:val="0"/>
        <w:ind w:left="1098" w:leftChars="499" w:firstLine="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p>
    <w:p w14:paraId="76839068">
      <w:pPr>
        <w:keepNext w:val="0"/>
        <w:keepLines w:val="0"/>
        <w:widowControl/>
        <w:numPr>
          <w:ilvl w:val="0"/>
          <w:numId w:val="29"/>
        </w:numPr>
        <w:suppressLineNumbers w:val="0"/>
        <w:ind w:left="1080" w:leftChars="0" w:hanging="42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Réalisation des maquettes d’occlusion:</w:t>
      </w:r>
    </w:p>
    <w:p w14:paraId="067D0156">
      <w:pPr>
        <w:keepNext w:val="0"/>
        <w:keepLines w:val="0"/>
        <w:widowControl/>
        <w:suppressLineNumbers w:val="0"/>
        <w:ind w:left="1098" w:leftChars="499" w:firstLine="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 xml:space="preserve">La maquette d'occlusion est réalisée sur le modèle secondaire en résine rigide adaptée au fond du vestibule. Les bourrelets en cire adaptés à l'enregistrement du rapport intermaxillaires sont réalisés au niveau des édentements. </w:t>
      </w:r>
    </w:p>
    <w:p w14:paraId="0860D790">
      <w:pPr>
        <w:keepNext w:val="0"/>
        <w:keepLines w:val="0"/>
        <w:widowControl/>
        <w:suppressLineNumbers w:val="0"/>
        <w:ind w:left="1098" w:leftChars="499" w:firstLine="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p>
    <w:p w14:paraId="07270EB9">
      <w:pPr>
        <w:keepNext w:val="0"/>
        <w:keepLines w:val="0"/>
        <w:widowControl/>
        <w:numPr>
          <w:ilvl w:val="0"/>
          <w:numId w:val="23"/>
        </w:numPr>
        <w:suppressLineNumbers w:val="0"/>
        <w:ind w:left="1080" w:leftChars="0" w:hanging="42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 xml:space="preserve">Montage des dents postérieures: </w:t>
      </w:r>
    </w:p>
    <w:p w14:paraId="3434DE2D">
      <w:pPr>
        <w:keepNext w:val="0"/>
        <w:keepLines w:val="0"/>
        <w:widowControl/>
        <w:numPr>
          <w:ilvl w:val="0"/>
          <w:numId w:val="0"/>
        </w:numPr>
        <w:suppressLineNumbers w:val="0"/>
        <w:ind w:left="1096" w:leftChars="400" w:hanging="216"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 xml:space="preserve">  Le choix des dents peut se baser sur les dents résiduelles, ou se faire en concertation avec le patient.</w:t>
      </w:r>
    </w:p>
    <w:p w14:paraId="013AC63B">
      <w:pPr>
        <w:keepNext w:val="0"/>
        <w:keepLines w:val="0"/>
        <w:widowControl/>
        <w:numPr>
          <w:ilvl w:val="0"/>
          <w:numId w:val="0"/>
        </w:numPr>
        <w:suppressLineNumbers w:val="0"/>
        <w:ind w:left="1096" w:leftChars="400" w:hanging="216"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 xml:space="preserve">  Le montage des dents postérieures se fait en respectant les règles individuelles et générales du montage.</w:t>
      </w:r>
    </w:p>
    <w:p w14:paraId="67EB3FC3">
      <w:pPr>
        <w:keepNext w:val="0"/>
        <w:keepLines w:val="0"/>
        <w:widowControl/>
        <w:numPr>
          <w:ilvl w:val="0"/>
          <w:numId w:val="0"/>
        </w:numPr>
        <w:suppressLineNumbers w:val="0"/>
        <w:ind w:left="1096" w:leftChars="400" w:hanging="216"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p>
    <w:p w14:paraId="7FA99000">
      <w:pPr>
        <w:keepNext w:val="0"/>
        <w:keepLines w:val="0"/>
        <w:widowControl/>
        <w:numPr>
          <w:ilvl w:val="0"/>
          <w:numId w:val="23"/>
        </w:numPr>
        <w:suppressLineNumbers w:val="0"/>
        <w:ind w:left="1080" w:leftChars="0" w:hanging="42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Montage des dents antérieures:</w:t>
      </w:r>
    </w:p>
    <w:p w14:paraId="72C6C7FC">
      <w:pPr>
        <w:keepNext w:val="0"/>
        <w:keepLines w:val="0"/>
        <w:widowControl/>
        <w:numPr>
          <w:ilvl w:val="0"/>
          <w:numId w:val="0"/>
        </w:numPr>
        <w:suppressLineNumbers w:val="0"/>
        <w:ind w:left="1096" w:leftChars="400" w:hanging="216" w:hangingChars="9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 xml:space="preserve"> Une clé en silicone est réalisée avant de casser les dents, si le patient souhaite garder la même position; elle servira de référence pour le montage des dents artificielles antérieures. </w:t>
      </w:r>
    </w:p>
    <w:p w14:paraId="66CBFE38">
      <w:pPr>
        <w:keepNext w:val="0"/>
        <w:keepLines w:val="0"/>
        <w:widowControl/>
        <w:numPr>
          <w:ilvl w:val="0"/>
          <w:numId w:val="0"/>
        </w:numPr>
        <w:suppressLineNumbers w:val="0"/>
        <w:ind w:left="1096" w:leftChars="400" w:hanging="216" w:hangingChars="9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 xml:space="preserve">  Les dents antérieures en plâtre vont être cassées et la crête en regard sera modelée en prenant comme repère les mesures données par le praticien (sondage parodontal).</w:t>
      </w:r>
    </w:p>
    <w:p w14:paraId="4CC3A7BC">
      <w:pPr>
        <w:keepNext w:val="0"/>
        <w:keepLines w:val="0"/>
        <w:widowControl/>
        <w:numPr>
          <w:ilvl w:val="0"/>
          <w:numId w:val="0"/>
        </w:numPr>
        <w:suppressLineNumbers w:val="0"/>
        <w:ind w:left="1111" w:leftChars="505" w:firstLine="7"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Le montage des dents se fait en respectant les règles du montage comme pour une prothèse conventionnelle, sauf si le patient souhaite des animations, celles ci seront faites telle que des latérales en rotation ou une légère vestibulo version des incives, afin d’obtenir une prothèse avec une apparence naturelle.</w:t>
      </w:r>
    </w:p>
    <w:p w14:paraId="69D24761">
      <w:pPr>
        <w:keepNext w:val="0"/>
        <w:keepLines w:val="0"/>
        <w:widowControl/>
        <w:numPr>
          <w:ilvl w:val="0"/>
          <w:numId w:val="0"/>
        </w:numPr>
        <w:suppressLineNumbers w:val="0"/>
        <w:ind w:left="1111" w:leftChars="505" w:firstLine="7"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p>
    <w:p w14:paraId="0789B38E">
      <w:pPr>
        <w:keepNext w:val="0"/>
        <w:keepLines w:val="0"/>
        <w:widowControl/>
        <w:numPr>
          <w:ilvl w:val="0"/>
          <w:numId w:val="23"/>
        </w:numPr>
        <w:suppressLineNumbers w:val="0"/>
        <w:ind w:left="1080" w:leftChars="0" w:hanging="42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Mise en moufle et polymérisation des prothèses</w:t>
      </w:r>
    </w:p>
    <w:p w14:paraId="2E8B230E">
      <w:pPr>
        <w:keepNext w:val="0"/>
        <w:keepLines w:val="0"/>
        <w:widowControl/>
        <w:numPr>
          <w:ilvl w:val="0"/>
          <w:numId w:val="0"/>
        </w:numPr>
        <w:suppressLineNumbers w:val="0"/>
        <w:ind w:left="660" w:left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 xml:space="preserve"> </w:t>
      </w:r>
    </w:p>
    <w:p w14:paraId="55CC3052">
      <w:pPr>
        <w:keepNext w:val="0"/>
        <w:keepLines w:val="0"/>
        <w:widowControl/>
        <w:numPr>
          <w:ilvl w:val="0"/>
          <w:numId w:val="23"/>
        </w:numPr>
        <w:suppressLineNumbers w:val="0"/>
        <w:ind w:left="1080" w:leftChars="0" w:hanging="42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 xml:space="preserve">Réalisation du duplicata de la prothèse pour servire d’un guide chirurgical en résine transparente. </w:t>
      </w:r>
    </w:p>
    <w:p w14:paraId="569CDB9B">
      <w:pPr>
        <w:keepNext w:val="0"/>
        <w:keepLines w:val="0"/>
        <w:widowControl/>
        <w:numPr>
          <w:ilvl w:val="0"/>
          <w:numId w:val="0"/>
        </w:numPr>
        <w:suppressLineNumbers w:val="0"/>
        <w:jc w:val="left"/>
        <w:rPr>
          <w:rFonts w:hint="default" w:asciiTheme="minorHAnsi" w:hAnsiTheme="minorHAnsi" w:eastAsiaTheme="minorHAnsi" w:cstheme="minorBidi"/>
          <w:b w:val="0"/>
          <w:bCs w:val="0"/>
          <w:i w:val="0"/>
          <w:iCs w:val="0"/>
          <w:sz w:val="24"/>
          <w:szCs w:val="24"/>
          <w:highlight w:val="none"/>
          <w:u w:val="none"/>
          <w:lang w:val="en-US" w:eastAsia="zh-CN" w:bidi="ar-SA"/>
        </w:rPr>
      </w:pPr>
    </w:p>
    <w:p w14:paraId="7C870B3D">
      <w:pPr>
        <w:keepNext w:val="0"/>
        <w:keepLines w:val="0"/>
        <w:widowControl/>
        <w:numPr>
          <w:ilvl w:val="0"/>
          <w:numId w:val="12"/>
        </w:numPr>
        <w:suppressLineNumbers w:val="0"/>
        <w:ind w:left="0" w:leftChars="0" w:firstLine="0" w:firstLineChars="0"/>
        <w:jc w:val="left"/>
        <w:rPr>
          <w:rFonts w:hint="default" w:asciiTheme="minorHAnsi" w:hAnsiTheme="minorHAnsi" w:eastAsiaTheme="minorHAnsi" w:cstheme="minorBidi"/>
          <w:b/>
          <w:bCs/>
          <w:i w:val="0"/>
          <w:iCs w:val="0"/>
          <w:sz w:val="24"/>
          <w:szCs w:val="24"/>
          <w:highlight w:val="none"/>
          <w:u w:val="thick"/>
          <w:lang w:val="en-US" w:eastAsia="zh-CN" w:bidi="ar-SA"/>
        </w:rPr>
      </w:pPr>
      <w:r>
        <w:rPr>
          <w:rFonts w:hint="default" w:asciiTheme="minorHAnsi" w:hAnsiTheme="minorHAnsi" w:eastAsiaTheme="minorHAnsi" w:cstheme="minorBidi"/>
          <w:b/>
          <w:bCs/>
          <w:i w:val="0"/>
          <w:iCs w:val="0"/>
          <w:sz w:val="24"/>
          <w:szCs w:val="24"/>
          <w:highlight w:val="none"/>
          <w:u w:val="thick"/>
          <w:lang w:val="en-US" w:eastAsia="zh-CN" w:bidi="ar-SA"/>
        </w:rPr>
        <w:t>Place du numérique dans la réalisation de la prothèse totale immédiate:</w:t>
      </w:r>
    </w:p>
    <w:p w14:paraId="1D6E8F0C">
      <w:pPr>
        <w:keepNext w:val="0"/>
        <w:keepLines w:val="0"/>
        <w:widowControl/>
        <w:suppressLineNumbers w:val="0"/>
        <w:ind w:left="218" w:leftChars="0" w:hanging="218" w:hangingChars="91"/>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 xml:space="preserve">  Le numérique transforme la conception de la prothèse totale immédiate en offrant une planification plus précise grâce à la superposition des données cliniques (empreinte optique, CBCT) et une anticipation virtuelle des extractions.</w:t>
      </w:r>
    </w:p>
    <w:p w14:paraId="2F59BC0B">
      <w:pPr>
        <w:keepNext w:val="0"/>
        <w:keepLines w:val="0"/>
        <w:widowControl/>
        <w:suppressLineNumbers w:val="0"/>
        <w:ind w:left="217" w:leftChars="55" w:hanging="96" w:hangingChars="4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 xml:space="preserve"> Il permet la fabrication assistée par CFAO de la prothèse avant les actes chirurgicaux, garantissant une mise en bouche immédiate, rapide et ajustée. Cette approche optimise l’esthétique, réduit le nombre de séances et améliore le confort du patient.</w:t>
      </w:r>
    </w:p>
    <w:p w14:paraId="3523AB28">
      <w:pPr>
        <w:keepNext w:val="0"/>
        <w:keepLines w:val="0"/>
        <w:widowControl/>
        <w:numPr>
          <w:ilvl w:val="0"/>
          <w:numId w:val="0"/>
        </w:numPr>
        <w:suppressLineNumbers w:val="0"/>
        <w:ind w:leftChars="0"/>
        <w:jc w:val="left"/>
        <w:rPr>
          <w:rFonts w:hint="default" w:asciiTheme="minorHAnsi" w:hAnsiTheme="minorHAnsi" w:eastAsiaTheme="minorHAnsi" w:cstheme="minorBidi"/>
          <w:b w:val="0"/>
          <w:bCs w:val="0"/>
          <w:i w:val="0"/>
          <w:iCs w:val="0"/>
          <w:sz w:val="24"/>
          <w:szCs w:val="24"/>
          <w:highlight w:val="none"/>
          <w:u w:val="none"/>
          <w:lang w:val="en-US" w:eastAsia="zh-CN" w:bidi="ar-SA"/>
        </w:rPr>
      </w:pPr>
    </w:p>
    <w:p w14:paraId="64D5B902">
      <w:pPr>
        <w:keepNext w:val="0"/>
        <w:keepLines w:val="0"/>
        <w:widowControl/>
        <w:numPr>
          <w:ilvl w:val="0"/>
          <w:numId w:val="12"/>
        </w:numPr>
        <w:suppressLineNumbers w:val="0"/>
        <w:ind w:left="0" w:leftChars="0" w:firstLine="0" w:firstLineChars="0"/>
        <w:jc w:val="left"/>
        <w:rPr>
          <w:rFonts w:hint="default" w:asciiTheme="minorHAnsi" w:hAnsiTheme="minorHAnsi" w:eastAsiaTheme="minorHAnsi" w:cstheme="minorBidi"/>
          <w:b/>
          <w:bCs/>
          <w:i w:val="0"/>
          <w:iCs w:val="0"/>
          <w:sz w:val="24"/>
          <w:szCs w:val="24"/>
          <w:highlight w:val="none"/>
          <w:u w:val="thick"/>
          <w:lang w:val="en-US" w:eastAsia="zh-CN" w:bidi="ar-SA"/>
        </w:rPr>
      </w:pPr>
      <w:r>
        <w:rPr>
          <w:rFonts w:hint="default" w:asciiTheme="minorHAnsi" w:hAnsiTheme="minorHAnsi" w:eastAsiaTheme="minorHAnsi" w:cstheme="minorBidi"/>
          <w:b/>
          <w:bCs/>
          <w:i w:val="0"/>
          <w:iCs w:val="0"/>
          <w:sz w:val="24"/>
          <w:szCs w:val="24"/>
          <w:highlight w:val="none"/>
          <w:u w:val="thick"/>
          <w:lang w:val="en-US" w:eastAsia="zh-CN" w:bidi="ar-SA"/>
        </w:rPr>
        <w:t>Conclusion:</w:t>
      </w:r>
    </w:p>
    <w:p w14:paraId="27DAAD1F">
      <w:pPr>
        <w:keepNext w:val="0"/>
        <w:keepLines w:val="0"/>
        <w:widowControl/>
        <w:numPr>
          <w:ilvl w:val="0"/>
          <w:numId w:val="0"/>
        </w:numPr>
        <w:suppressLineNumbers w:val="0"/>
        <w:ind w:left="440" w:leftChars="200" w:firstLine="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r>
        <w:rPr>
          <w:rFonts w:hint="default" w:asciiTheme="minorHAnsi" w:hAnsiTheme="minorHAnsi" w:eastAsiaTheme="minorHAnsi" w:cstheme="minorBidi"/>
          <w:b w:val="0"/>
          <w:bCs w:val="0"/>
          <w:i w:val="0"/>
          <w:iCs w:val="0"/>
          <w:sz w:val="24"/>
          <w:szCs w:val="24"/>
          <w:highlight w:val="none"/>
          <w:u w:val="none"/>
          <w:lang w:val="en-US" w:eastAsia="zh-CN" w:bidi="ar-SA"/>
        </w:rPr>
        <w:t>La prothèse immédiate, qu’elle soit provisoire ou d’usage, offre une solution esthétique et fonctionnelle dès l’extraction. Elle nécessite une planification rigoureuse et une exécution précise.</w:t>
      </w:r>
    </w:p>
    <w:p w14:paraId="196A8863">
      <w:pPr>
        <w:keepNext w:val="0"/>
        <w:keepLines w:val="0"/>
        <w:widowControl/>
        <w:numPr>
          <w:ilvl w:val="0"/>
          <w:numId w:val="0"/>
        </w:numPr>
        <w:suppressLineNumbers w:val="0"/>
        <w:ind w:left="440" w:leftChars="200" w:firstLine="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p>
    <w:p w14:paraId="1FC55275">
      <w:pPr>
        <w:keepNext w:val="0"/>
        <w:keepLines w:val="0"/>
        <w:widowControl/>
        <w:numPr>
          <w:ilvl w:val="0"/>
          <w:numId w:val="0"/>
        </w:numPr>
        <w:suppressLineNumbers w:val="0"/>
        <w:ind w:left="440" w:leftChars="200" w:firstLine="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p>
    <w:p w14:paraId="2BD89D0B">
      <w:pPr>
        <w:keepNext w:val="0"/>
        <w:keepLines w:val="0"/>
        <w:widowControl/>
        <w:numPr>
          <w:ilvl w:val="0"/>
          <w:numId w:val="0"/>
        </w:numPr>
        <w:suppressLineNumbers w:val="0"/>
        <w:ind w:left="440" w:leftChars="200" w:firstLine="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p>
    <w:p w14:paraId="7E872DAC">
      <w:pPr>
        <w:keepNext w:val="0"/>
        <w:keepLines w:val="0"/>
        <w:widowControl/>
        <w:numPr>
          <w:ilvl w:val="0"/>
          <w:numId w:val="0"/>
        </w:numPr>
        <w:suppressLineNumbers w:val="0"/>
        <w:ind w:left="440" w:leftChars="200" w:firstLine="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p>
    <w:p w14:paraId="734E843C">
      <w:pPr>
        <w:keepNext w:val="0"/>
        <w:keepLines w:val="0"/>
        <w:widowControl/>
        <w:numPr>
          <w:ilvl w:val="0"/>
          <w:numId w:val="0"/>
        </w:numPr>
        <w:suppressLineNumbers w:val="0"/>
        <w:ind w:left="440" w:leftChars="200" w:firstLine="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p>
    <w:p w14:paraId="0911C49E">
      <w:pPr>
        <w:keepNext w:val="0"/>
        <w:keepLines w:val="0"/>
        <w:widowControl/>
        <w:numPr>
          <w:ilvl w:val="0"/>
          <w:numId w:val="0"/>
        </w:numPr>
        <w:suppressLineNumbers w:val="0"/>
        <w:jc w:val="left"/>
        <w:rPr>
          <w:rFonts w:hint="default" w:asciiTheme="minorHAnsi" w:hAnsiTheme="minorHAnsi" w:eastAsiaTheme="minorHAnsi" w:cstheme="minorBidi"/>
          <w:b/>
          <w:bCs/>
          <w:i w:val="0"/>
          <w:iCs w:val="0"/>
          <w:sz w:val="28"/>
          <w:szCs w:val="28"/>
          <w:highlight w:val="none"/>
          <w:u w:val="none"/>
          <w:lang w:val="en-US" w:eastAsia="zh-CN" w:bidi="ar-SA"/>
        </w:rPr>
      </w:pPr>
    </w:p>
    <w:p w14:paraId="07838691">
      <w:pPr>
        <w:keepNext w:val="0"/>
        <w:keepLines w:val="0"/>
        <w:widowControl/>
        <w:numPr>
          <w:ilvl w:val="0"/>
          <w:numId w:val="0"/>
        </w:numPr>
        <w:suppressLineNumbers w:val="0"/>
        <w:jc w:val="left"/>
        <w:rPr>
          <w:rFonts w:hint="default" w:asciiTheme="minorHAnsi" w:hAnsiTheme="minorHAnsi" w:eastAsiaTheme="minorHAnsi" w:cstheme="minorBidi"/>
          <w:b/>
          <w:bCs/>
          <w:i w:val="0"/>
          <w:iCs w:val="0"/>
          <w:sz w:val="28"/>
          <w:szCs w:val="28"/>
          <w:highlight w:val="none"/>
          <w:u w:val="none"/>
          <w:lang w:val="en-US" w:eastAsia="zh-CN" w:bidi="ar-SA"/>
        </w:rPr>
      </w:pPr>
    </w:p>
    <w:p w14:paraId="7A817DCC">
      <w:pPr>
        <w:keepNext w:val="0"/>
        <w:keepLines w:val="0"/>
        <w:widowControl/>
        <w:numPr>
          <w:ilvl w:val="0"/>
          <w:numId w:val="0"/>
        </w:numPr>
        <w:suppressLineNumbers w:val="0"/>
        <w:jc w:val="left"/>
        <w:rPr>
          <w:rFonts w:hint="default" w:asciiTheme="minorHAnsi" w:hAnsiTheme="minorHAnsi" w:eastAsiaTheme="minorHAnsi" w:cstheme="minorBidi"/>
          <w:b/>
          <w:bCs/>
          <w:i w:val="0"/>
          <w:iCs w:val="0"/>
          <w:sz w:val="28"/>
          <w:szCs w:val="28"/>
          <w:highlight w:val="none"/>
          <w:u w:val="none"/>
          <w:lang w:val="en-US" w:eastAsia="zh-CN" w:bidi="ar-SA"/>
        </w:rPr>
      </w:pPr>
      <w:r>
        <w:rPr>
          <w:rFonts w:hint="default" w:asciiTheme="minorHAnsi" w:hAnsiTheme="minorHAnsi" w:eastAsiaTheme="minorHAnsi" w:cstheme="minorBidi"/>
          <w:b/>
          <w:bCs/>
          <w:i w:val="0"/>
          <w:iCs w:val="0"/>
          <w:sz w:val="28"/>
          <w:szCs w:val="28"/>
          <w:highlight w:val="none"/>
          <w:u w:val="none"/>
          <w:lang w:val="en-US" w:eastAsia="zh-CN" w:bidi="ar-SA"/>
        </w:rPr>
        <w:t xml:space="preserve">Bibliographie: </w:t>
      </w:r>
    </w:p>
    <w:p w14:paraId="4A09DC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60" w:beforeAutospacing="0" w:after="0" w:afterAutospacing="0" w:line="30" w:lineRule="atLeast"/>
        <w:ind w:left="0" w:right="0" w:firstLine="0"/>
        <w:jc w:val="left"/>
        <w:rPr>
          <w:rFonts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En français :</w:t>
      </w:r>
      <w:r>
        <w:rPr>
          <w:rFonts w:hint="default" w:ascii="Arial" w:hAnsi="Arial" w:eastAsia="Helvetica" w:cs="Arial"/>
          <w:i w:val="0"/>
          <w:iCs w:val="0"/>
          <w:caps w:val="0"/>
          <w:color w:val="222222"/>
          <w:spacing w:val="0"/>
          <w:kern w:val="0"/>
          <w:sz w:val="24"/>
          <w:szCs w:val="24"/>
          <w:shd w:val="clear" w:fill="FFFFFF"/>
          <w:lang w:val="en-US" w:eastAsia="zh-CN" w:bidi="ar"/>
        </w:rPr>
        <w:br w:type="textWrapping"/>
      </w:r>
      <w:r>
        <w:rPr>
          <w:rFonts w:hint="default" w:ascii="Arial" w:hAnsi="Arial" w:eastAsia="Helvetica" w:cs="Arial"/>
          <w:i w:val="0"/>
          <w:iCs w:val="0"/>
          <w:caps w:val="0"/>
          <w:color w:val="222222"/>
          <w:spacing w:val="0"/>
          <w:kern w:val="0"/>
          <w:sz w:val="24"/>
          <w:szCs w:val="24"/>
          <w:shd w:val="clear" w:fill="FFFFFF"/>
          <w:lang w:val="en-US" w:eastAsia="zh-CN" w:bidi="ar"/>
        </w:rPr>
        <w:t>1. Berteretche, J.-F. Prothèse complète : clinique, laboratoire, esthétique. Éditions CdP, 2005.</w:t>
      </w:r>
      <w:r>
        <w:rPr>
          <w:rFonts w:hint="default" w:ascii="Arial" w:hAnsi="Arial" w:eastAsia="Helvetica" w:cs="Arial"/>
          <w:i w:val="0"/>
          <w:iCs w:val="0"/>
          <w:caps w:val="0"/>
          <w:color w:val="222222"/>
          <w:spacing w:val="0"/>
          <w:kern w:val="0"/>
          <w:sz w:val="24"/>
          <w:szCs w:val="24"/>
          <w:shd w:val="clear" w:fill="FFFFFF"/>
          <w:lang w:val="en-US" w:eastAsia="zh-CN" w:bidi="ar"/>
        </w:rPr>
        <w:br w:type="textWrapping"/>
      </w:r>
      <w:r>
        <w:rPr>
          <w:rFonts w:hint="default" w:ascii="Arial" w:hAnsi="Arial" w:eastAsia="Helvetica" w:cs="Arial"/>
          <w:i w:val="0"/>
          <w:iCs w:val="0"/>
          <w:caps w:val="0"/>
          <w:color w:val="222222"/>
          <w:spacing w:val="0"/>
          <w:kern w:val="0"/>
          <w:sz w:val="24"/>
          <w:szCs w:val="24"/>
          <w:shd w:val="clear" w:fill="FFFFFF"/>
          <w:lang w:val="en-US" w:eastAsia="zh-CN" w:bidi="ar"/>
        </w:rPr>
        <w:t>2. Berteretche, M.-V. Réussir la prothèse complète : guide clinique et esthétique. Éditions CdP, 2014.</w:t>
      </w:r>
      <w:r>
        <w:rPr>
          <w:rFonts w:hint="default" w:ascii="Arial" w:hAnsi="Arial" w:eastAsia="Helvetica" w:cs="Arial"/>
          <w:i w:val="0"/>
          <w:iCs w:val="0"/>
          <w:caps w:val="0"/>
          <w:color w:val="222222"/>
          <w:spacing w:val="0"/>
          <w:kern w:val="0"/>
          <w:sz w:val="24"/>
          <w:szCs w:val="24"/>
          <w:shd w:val="clear" w:fill="FFFFFF"/>
          <w:lang w:val="en-US" w:eastAsia="zh-CN" w:bidi="ar"/>
        </w:rPr>
        <w:br w:type="textWrapping"/>
      </w:r>
      <w:r>
        <w:rPr>
          <w:rFonts w:hint="default" w:ascii="Arial" w:hAnsi="Arial" w:eastAsia="Helvetica" w:cs="Arial"/>
          <w:i w:val="0"/>
          <w:iCs w:val="0"/>
          <w:caps w:val="0"/>
          <w:color w:val="222222"/>
          <w:spacing w:val="0"/>
          <w:kern w:val="0"/>
          <w:sz w:val="24"/>
          <w:szCs w:val="24"/>
          <w:shd w:val="clear" w:fill="FFFFFF"/>
          <w:lang w:val="en-US" w:eastAsia="zh-CN" w:bidi="ar"/>
        </w:rPr>
        <w:t>3. de Félice, R., Woda, A. Prothèse complète : bases cliniques et biologiques. Masson, 2000.</w:t>
      </w:r>
      <w:r>
        <w:rPr>
          <w:rFonts w:hint="default" w:ascii="Arial" w:hAnsi="Arial" w:eastAsia="Helvetica" w:cs="Arial"/>
          <w:i w:val="0"/>
          <w:iCs w:val="0"/>
          <w:caps w:val="0"/>
          <w:color w:val="222222"/>
          <w:spacing w:val="0"/>
          <w:kern w:val="0"/>
          <w:sz w:val="24"/>
          <w:szCs w:val="24"/>
          <w:shd w:val="clear" w:fill="FFFFFF"/>
          <w:lang w:val="en-US" w:eastAsia="zh-CN" w:bidi="ar"/>
        </w:rPr>
        <w:br w:type="textWrapping"/>
      </w:r>
      <w:r>
        <w:rPr>
          <w:rFonts w:hint="default" w:ascii="Arial" w:hAnsi="Arial" w:eastAsia="Helvetica" w:cs="Arial"/>
          <w:i w:val="0"/>
          <w:iCs w:val="0"/>
          <w:caps w:val="0"/>
          <w:color w:val="222222"/>
          <w:spacing w:val="0"/>
          <w:kern w:val="0"/>
          <w:sz w:val="24"/>
          <w:szCs w:val="24"/>
          <w:shd w:val="clear" w:fill="FFFFFF"/>
          <w:lang w:val="en-US" w:eastAsia="zh-CN" w:bidi="ar"/>
        </w:rPr>
        <w:t>4. Meningaud, J.-P., Bertrand, J.-C. Réhabilitation prothétique de l’édenté total. EMC – Odontologie, 2004.</w:t>
      </w:r>
      <w:r>
        <w:rPr>
          <w:rFonts w:hint="default" w:ascii="Arial" w:hAnsi="Arial" w:eastAsia="Helvetica" w:cs="Arial"/>
          <w:i w:val="0"/>
          <w:iCs w:val="0"/>
          <w:caps w:val="0"/>
          <w:color w:val="222222"/>
          <w:spacing w:val="0"/>
          <w:kern w:val="0"/>
          <w:sz w:val="24"/>
          <w:szCs w:val="24"/>
          <w:shd w:val="clear" w:fill="FFFFFF"/>
          <w:lang w:val="en-US" w:eastAsia="zh-CN" w:bidi="ar"/>
        </w:rPr>
        <w:br w:type="textWrapping"/>
      </w:r>
      <w:r>
        <w:rPr>
          <w:rFonts w:hint="default" w:ascii="Arial" w:hAnsi="Arial" w:eastAsia="Helvetica" w:cs="Arial"/>
          <w:i w:val="0"/>
          <w:iCs w:val="0"/>
          <w:caps w:val="0"/>
          <w:color w:val="222222"/>
          <w:spacing w:val="0"/>
          <w:kern w:val="0"/>
          <w:sz w:val="24"/>
          <w:szCs w:val="24"/>
          <w:shd w:val="clear" w:fill="FFFFFF"/>
          <w:lang w:val="en-US" w:eastAsia="zh-CN" w:bidi="ar"/>
        </w:rPr>
        <w:t>5. Devauchelle, B., et al. Précis de prothèse adjointe complète. Éditions CdP, 2011.</w:t>
      </w:r>
      <w:r>
        <w:rPr>
          <w:rFonts w:hint="default" w:ascii="Arial" w:hAnsi="Arial" w:eastAsia="Helvetica" w:cs="Arial"/>
          <w:i w:val="0"/>
          <w:iCs w:val="0"/>
          <w:caps w:val="0"/>
          <w:color w:val="222222"/>
          <w:spacing w:val="0"/>
          <w:kern w:val="0"/>
          <w:sz w:val="24"/>
          <w:szCs w:val="24"/>
          <w:shd w:val="clear" w:fill="FFFFFF"/>
          <w:lang w:val="en-US" w:eastAsia="zh-CN" w:bidi="ar"/>
        </w:rPr>
        <w:br w:type="textWrapping"/>
      </w:r>
      <w:r>
        <w:rPr>
          <w:rFonts w:hint="default" w:ascii="Arial" w:hAnsi="Arial" w:eastAsia="Helvetica" w:cs="Arial"/>
          <w:i w:val="0"/>
          <w:iCs w:val="0"/>
          <w:caps w:val="0"/>
          <w:color w:val="222222"/>
          <w:spacing w:val="0"/>
          <w:kern w:val="0"/>
          <w:sz w:val="24"/>
          <w:szCs w:val="24"/>
          <w:shd w:val="clear" w:fill="FFFFFF"/>
          <w:lang w:val="en-US" w:eastAsia="zh-CN" w:bidi="ar"/>
        </w:rPr>
        <w:t>6. Bezzina, A. Prothèse immédiate : principes, indications, mise en œuvre clinique. Cahiers de Prothèse, 2007;137:37–46.</w:t>
      </w:r>
      <w:r>
        <w:rPr>
          <w:rFonts w:hint="default" w:ascii="Arial" w:hAnsi="Arial" w:eastAsia="Helvetica" w:cs="Arial"/>
          <w:i w:val="0"/>
          <w:iCs w:val="0"/>
          <w:caps w:val="0"/>
          <w:color w:val="222222"/>
          <w:spacing w:val="0"/>
          <w:kern w:val="0"/>
          <w:sz w:val="24"/>
          <w:szCs w:val="24"/>
          <w:shd w:val="clear" w:fill="FFFFFF"/>
          <w:lang w:val="en-US" w:eastAsia="zh-CN" w:bidi="ar"/>
        </w:rPr>
        <w:br w:type="textWrapping"/>
      </w:r>
      <w:r>
        <w:rPr>
          <w:rFonts w:hint="default" w:ascii="Arial" w:hAnsi="Arial" w:eastAsia="Helvetica" w:cs="Arial"/>
          <w:i w:val="0"/>
          <w:iCs w:val="0"/>
          <w:caps w:val="0"/>
          <w:color w:val="222222"/>
          <w:spacing w:val="0"/>
          <w:kern w:val="0"/>
          <w:sz w:val="24"/>
          <w:szCs w:val="24"/>
          <w:shd w:val="clear" w:fill="FFFFFF"/>
          <w:lang w:val="en-US" w:eastAsia="zh-CN" w:bidi="ar"/>
        </w:rPr>
        <w:t>7. Donnet, M. Prothèse complète immédiate : intérêt et limites. Revue d’Odonto-Stomatologie, 2003;32(3):215–220.</w:t>
      </w:r>
      <w:r>
        <w:rPr>
          <w:rFonts w:hint="default" w:ascii="Arial" w:hAnsi="Arial" w:eastAsia="Helvetica" w:cs="Arial"/>
          <w:i w:val="0"/>
          <w:iCs w:val="0"/>
          <w:caps w:val="0"/>
          <w:color w:val="222222"/>
          <w:spacing w:val="0"/>
          <w:kern w:val="0"/>
          <w:sz w:val="24"/>
          <w:szCs w:val="24"/>
          <w:shd w:val="clear" w:fill="FFFFFF"/>
          <w:lang w:val="en-US" w:eastAsia="zh-CN" w:bidi="ar"/>
        </w:rPr>
        <w:br w:type="textWrapping"/>
      </w:r>
      <w:r>
        <w:rPr>
          <w:rFonts w:hint="default" w:ascii="Arial" w:hAnsi="Arial" w:eastAsia="Helvetica" w:cs="Arial"/>
          <w:i w:val="0"/>
          <w:iCs w:val="0"/>
          <w:caps w:val="0"/>
          <w:color w:val="222222"/>
          <w:spacing w:val="0"/>
          <w:kern w:val="0"/>
          <w:sz w:val="24"/>
          <w:szCs w:val="24"/>
          <w:shd w:val="clear" w:fill="FFFFFF"/>
          <w:lang w:val="en-US" w:eastAsia="zh-CN" w:bidi="ar"/>
        </w:rPr>
        <w:br w:type="textWrapping"/>
      </w:r>
      <w:r>
        <w:rPr>
          <w:rFonts w:hint="default" w:ascii="Arial" w:hAnsi="Arial" w:eastAsia="Helvetica" w:cs="Arial"/>
          <w:i w:val="0"/>
          <w:iCs w:val="0"/>
          <w:caps w:val="0"/>
          <w:color w:val="222222"/>
          <w:spacing w:val="0"/>
          <w:kern w:val="0"/>
          <w:sz w:val="24"/>
          <w:szCs w:val="24"/>
          <w:shd w:val="clear" w:fill="FFFFFF"/>
          <w:lang w:val="en-US" w:eastAsia="zh-CN" w:bidi="ar"/>
        </w:rPr>
        <w:t>En anglais :</w:t>
      </w:r>
      <w:r>
        <w:rPr>
          <w:rFonts w:hint="default" w:ascii="Arial" w:hAnsi="Arial" w:eastAsia="Helvetica" w:cs="Arial"/>
          <w:i w:val="0"/>
          <w:iCs w:val="0"/>
          <w:caps w:val="0"/>
          <w:color w:val="222222"/>
          <w:spacing w:val="0"/>
          <w:kern w:val="0"/>
          <w:sz w:val="24"/>
          <w:szCs w:val="24"/>
          <w:shd w:val="clear" w:fill="FFFFFF"/>
          <w:lang w:val="en-US" w:eastAsia="zh-CN" w:bidi="ar"/>
        </w:rPr>
        <w:br w:type="textWrapping"/>
      </w:r>
      <w:r>
        <w:rPr>
          <w:rFonts w:hint="default" w:ascii="Arial" w:hAnsi="Arial" w:eastAsia="Helvetica" w:cs="Arial"/>
          <w:i w:val="0"/>
          <w:iCs w:val="0"/>
          <w:caps w:val="0"/>
          <w:color w:val="222222"/>
          <w:spacing w:val="0"/>
          <w:kern w:val="0"/>
          <w:sz w:val="24"/>
          <w:szCs w:val="24"/>
          <w:shd w:val="clear" w:fill="FFFFFF"/>
          <w:lang w:val="en-US" w:eastAsia="zh-CN" w:bidi="ar"/>
        </w:rPr>
        <w:t>1. Misch, C.E. Contemporary Implant Dentistry. 3rd ed. Mosby Elsevier, 2008.</w:t>
      </w:r>
      <w:r>
        <w:rPr>
          <w:rFonts w:hint="default" w:ascii="Arial" w:hAnsi="Arial" w:eastAsia="Helvetica" w:cs="Arial"/>
          <w:i w:val="0"/>
          <w:iCs w:val="0"/>
          <w:caps w:val="0"/>
          <w:color w:val="222222"/>
          <w:spacing w:val="0"/>
          <w:kern w:val="0"/>
          <w:sz w:val="24"/>
          <w:szCs w:val="24"/>
          <w:shd w:val="clear" w:fill="FFFFFF"/>
          <w:lang w:val="en-US" w:eastAsia="zh-CN" w:bidi="ar"/>
        </w:rPr>
        <w:br w:type="textWrapping"/>
      </w:r>
      <w:r>
        <w:rPr>
          <w:rFonts w:hint="default" w:ascii="Arial" w:hAnsi="Arial" w:eastAsia="Helvetica" w:cs="Arial"/>
          <w:i w:val="0"/>
          <w:iCs w:val="0"/>
          <w:caps w:val="0"/>
          <w:color w:val="222222"/>
          <w:spacing w:val="0"/>
          <w:kern w:val="0"/>
          <w:sz w:val="24"/>
          <w:szCs w:val="24"/>
          <w:shd w:val="clear" w:fill="FFFFFF"/>
          <w:lang w:val="en-US" w:eastAsia="zh-CN" w:bidi="ar"/>
        </w:rPr>
        <w:t>2. Zarb, G.A., Hobkirk, J., Eckert, S., Jacob, R. Prosthodontic Treatment for Edentulous Patients: Complete Dentures and Implant-Supported Prostheses. 13th ed. Mosby, 2013.</w:t>
      </w:r>
      <w:r>
        <w:rPr>
          <w:rFonts w:hint="default" w:ascii="Arial" w:hAnsi="Arial" w:eastAsia="Helvetica" w:cs="Arial"/>
          <w:i w:val="0"/>
          <w:iCs w:val="0"/>
          <w:caps w:val="0"/>
          <w:color w:val="222222"/>
          <w:spacing w:val="0"/>
          <w:kern w:val="0"/>
          <w:sz w:val="24"/>
          <w:szCs w:val="24"/>
          <w:shd w:val="clear" w:fill="FFFFFF"/>
          <w:lang w:val="en-US" w:eastAsia="zh-CN" w:bidi="ar"/>
        </w:rPr>
        <w:br w:type="textWrapping"/>
      </w:r>
      <w:r>
        <w:rPr>
          <w:rFonts w:hint="default" w:ascii="Arial" w:hAnsi="Arial" w:eastAsia="Helvetica" w:cs="Arial"/>
          <w:i w:val="0"/>
          <w:iCs w:val="0"/>
          <w:caps w:val="0"/>
          <w:color w:val="222222"/>
          <w:spacing w:val="0"/>
          <w:kern w:val="0"/>
          <w:sz w:val="24"/>
          <w:szCs w:val="24"/>
          <w:shd w:val="clear" w:fill="FFFFFF"/>
          <w:lang w:val="en-US" w:eastAsia="zh-CN" w:bidi="ar"/>
        </w:rPr>
        <w:t>3. Moyers, E.L., Nelson, S.K. Immediate complete dentures: Treatment planning and clinical techniques. J Prosthet Dent. 2000;84(5):576–579.</w:t>
      </w:r>
      <w:r>
        <w:rPr>
          <w:rFonts w:hint="default" w:ascii="Arial" w:hAnsi="Arial" w:eastAsia="Helvetica" w:cs="Arial"/>
          <w:i w:val="0"/>
          <w:iCs w:val="0"/>
          <w:caps w:val="0"/>
          <w:color w:val="222222"/>
          <w:spacing w:val="0"/>
          <w:kern w:val="0"/>
          <w:sz w:val="24"/>
          <w:szCs w:val="24"/>
          <w:shd w:val="clear" w:fill="FFFFFF"/>
          <w:lang w:val="en-US" w:eastAsia="zh-CN" w:bidi="ar"/>
        </w:rPr>
        <w:br w:type="textWrapping"/>
      </w:r>
      <w:r>
        <w:rPr>
          <w:rFonts w:hint="default" w:ascii="Arial" w:hAnsi="Arial" w:eastAsia="Helvetica" w:cs="Arial"/>
          <w:i w:val="0"/>
          <w:iCs w:val="0"/>
          <w:caps w:val="0"/>
          <w:color w:val="222222"/>
          <w:spacing w:val="0"/>
          <w:kern w:val="0"/>
          <w:sz w:val="24"/>
          <w:szCs w:val="24"/>
          <w:shd w:val="clear" w:fill="FFFFFF"/>
          <w:lang w:val="en-US" w:eastAsia="zh-CN" w:bidi="ar"/>
        </w:rPr>
        <w:t>4. Mongini, F. Immediate dentures: An overview of planning and construction. Int J Prosthodont. 1995;8(3):215–221.</w:t>
      </w:r>
      <w:r>
        <w:rPr>
          <w:rFonts w:hint="default" w:ascii="Arial" w:hAnsi="Arial" w:eastAsia="Helvetica" w:cs="Arial"/>
          <w:i w:val="0"/>
          <w:iCs w:val="0"/>
          <w:caps w:val="0"/>
          <w:color w:val="222222"/>
          <w:spacing w:val="0"/>
          <w:kern w:val="0"/>
          <w:sz w:val="24"/>
          <w:szCs w:val="24"/>
          <w:shd w:val="clear" w:fill="FFFFFF"/>
          <w:lang w:val="en-US" w:eastAsia="zh-CN" w:bidi="ar"/>
        </w:rPr>
        <w:br w:type="textWrapping"/>
      </w:r>
      <w:r>
        <w:rPr>
          <w:rFonts w:hint="default" w:ascii="Arial" w:hAnsi="Arial" w:eastAsia="Helvetica" w:cs="Arial"/>
          <w:i w:val="0"/>
          <w:iCs w:val="0"/>
          <w:caps w:val="0"/>
          <w:color w:val="222222"/>
          <w:spacing w:val="0"/>
          <w:kern w:val="0"/>
          <w:sz w:val="24"/>
          <w:szCs w:val="24"/>
          <w:shd w:val="clear" w:fill="FFFFFF"/>
          <w:lang w:val="en-US" w:eastAsia="zh-CN" w:bidi="ar"/>
        </w:rPr>
        <w:t>5. Budtz-Jørgensen, E. Clinical aspects of immediate dentures: A review. J Oral Rehabil. 1990;17(5):433–439.</w:t>
      </w:r>
      <w:r>
        <w:rPr>
          <w:rFonts w:hint="default" w:ascii="Arial" w:hAnsi="Arial" w:eastAsia="Helvetica" w:cs="Arial"/>
          <w:i w:val="0"/>
          <w:iCs w:val="0"/>
          <w:caps w:val="0"/>
          <w:color w:val="222222"/>
          <w:spacing w:val="0"/>
          <w:kern w:val="0"/>
          <w:sz w:val="24"/>
          <w:szCs w:val="24"/>
          <w:shd w:val="clear" w:fill="FFFFFF"/>
          <w:lang w:val="en-US" w:eastAsia="zh-CN" w:bidi="ar"/>
        </w:rPr>
        <w:br w:type="textWrapping"/>
      </w:r>
      <w:r>
        <w:rPr>
          <w:rFonts w:hint="default" w:ascii="Arial" w:hAnsi="Arial" w:eastAsia="Helvetica" w:cs="Arial"/>
          <w:i w:val="0"/>
          <w:iCs w:val="0"/>
          <w:caps w:val="0"/>
          <w:color w:val="222222"/>
          <w:spacing w:val="0"/>
          <w:kern w:val="0"/>
          <w:sz w:val="24"/>
          <w:szCs w:val="24"/>
          <w:shd w:val="clear" w:fill="FFFFFF"/>
          <w:lang w:val="en-US" w:eastAsia="zh-CN" w:bidi="ar"/>
        </w:rPr>
        <w:t>6. Matsumura, H., et al. Clinical performance of prosthetic materials and techniques in immediate dentures. J Prosthodont Res. 2010;54(3):117–122.</w:t>
      </w:r>
    </w:p>
    <w:p w14:paraId="609BE8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60" w:beforeAutospacing="0" w:after="0" w:afterAutospacing="0" w:line="30" w:lineRule="atLeast"/>
        <w:ind w:left="0" w:right="0" w:firstLine="0"/>
        <w:jc w:val="left"/>
        <w:rPr>
          <w:rFonts w:hint="default" w:ascii="Arial" w:hAnsi="Arial" w:eastAsia="Helvetica" w:cs="Arial"/>
          <w:i w:val="0"/>
          <w:iCs w:val="0"/>
          <w:caps w:val="0"/>
          <w:color w:val="222222"/>
          <w:spacing w:val="0"/>
          <w:sz w:val="24"/>
          <w:szCs w:val="24"/>
        </w:rPr>
      </w:pPr>
    </w:p>
    <w:p w14:paraId="5823438A">
      <w:pPr>
        <w:keepNext w:val="0"/>
        <w:keepLines w:val="0"/>
        <w:widowControl/>
        <w:numPr>
          <w:ilvl w:val="0"/>
          <w:numId w:val="0"/>
        </w:numPr>
        <w:suppressLineNumbers w:val="0"/>
        <w:ind w:left="440" w:leftChars="200" w:firstLine="0" w:firstLineChars="0"/>
        <w:jc w:val="left"/>
        <w:rPr>
          <w:rFonts w:hint="default" w:asciiTheme="minorHAnsi" w:hAnsiTheme="minorHAnsi" w:eastAsiaTheme="minorHAnsi" w:cstheme="minorBidi"/>
          <w:b w:val="0"/>
          <w:bCs w:val="0"/>
          <w:i w:val="0"/>
          <w:iCs w:val="0"/>
          <w:sz w:val="24"/>
          <w:szCs w:val="24"/>
          <w:highlight w:val="none"/>
          <w:u w:val="none"/>
          <w:lang w:val="en-US" w:eastAsia="zh-CN" w:bidi="ar-SA"/>
        </w:rPr>
      </w:pPr>
      <w:bookmarkStart w:id="0" w:name=":mb"/>
      <w:bookmarkEnd w:id="0"/>
    </w:p>
    <w:p w14:paraId="6DE69F03">
      <w:pPr>
        <w:keepNext w:val="0"/>
        <w:keepLines w:val="0"/>
        <w:widowControl/>
        <w:numPr>
          <w:ilvl w:val="0"/>
          <w:numId w:val="0"/>
        </w:numPr>
        <w:suppressLineNumbers w:val="0"/>
        <w:ind w:left="660" w:leftChars="0"/>
        <w:jc w:val="left"/>
        <w:rPr>
          <w:rFonts w:hint="default" w:asciiTheme="minorHAnsi" w:hAnsiTheme="minorHAnsi" w:eastAsiaTheme="minorHAnsi" w:cstheme="minorBidi"/>
          <w:b w:val="0"/>
          <w:bCs w:val="0"/>
          <w:i w:val="0"/>
          <w:iCs w:val="0"/>
          <w:sz w:val="24"/>
          <w:szCs w:val="24"/>
          <w:highlight w:val="none"/>
          <w:u w:val="none"/>
          <w:lang w:val="en-US" w:eastAsia="zh-CN" w:bidi="ar-SA"/>
        </w:rPr>
      </w:pPr>
    </w:p>
    <w:p w14:paraId="42B242A4">
      <w:pPr>
        <w:keepNext w:val="0"/>
        <w:keepLines w:val="0"/>
        <w:widowControl/>
        <w:suppressLineNumbers w:val="0"/>
        <w:ind w:left="880" w:leftChars="400" w:firstLine="0" w:firstLineChars="0"/>
        <w:jc w:val="left"/>
        <w:rPr>
          <w:rFonts w:hint="default" w:asciiTheme="minorHAnsi" w:hAnsiTheme="minorHAnsi" w:eastAsiaTheme="minorHAnsi" w:cstheme="minorBidi"/>
          <w:b w:val="0"/>
          <w:bCs w:val="0"/>
          <w:i w:val="0"/>
          <w:iCs w:val="0"/>
          <w:sz w:val="24"/>
          <w:szCs w:val="24"/>
          <w:highlight w:val="none"/>
          <w:u w:val="none"/>
          <w:lang w:val="en-US" w:eastAsia="en-US" w:bidi="ar-SA"/>
        </w:rPr>
      </w:pPr>
    </w:p>
    <w:p w14:paraId="35D928D4">
      <w:pPr>
        <w:numPr>
          <w:ilvl w:val="0"/>
          <w:numId w:val="0"/>
        </w:numPr>
        <w:ind w:left="660" w:leftChars="0"/>
        <w:rPr>
          <w:rFonts w:hint="default" w:asciiTheme="minorHAnsi" w:hAnsiTheme="minorHAnsi" w:eastAsiaTheme="minorHAnsi" w:cstheme="minorBidi"/>
          <w:b w:val="0"/>
          <w:bCs w:val="0"/>
          <w:i w:val="0"/>
          <w:iCs w:val="0"/>
          <w:sz w:val="24"/>
          <w:szCs w:val="24"/>
          <w:highlight w:val="none"/>
          <w:u w:val="none"/>
          <w:lang w:val="en-US" w:eastAsia="en-US" w:bidi="ar-SA"/>
        </w:rPr>
      </w:pPr>
    </w:p>
    <w:p w14:paraId="3BD92A99">
      <w:pPr>
        <w:numPr>
          <w:ilvl w:val="0"/>
          <w:numId w:val="0"/>
        </w:numPr>
        <w:ind w:left="1100" w:leftChars="0"/>
        <w:rPr>
          <w:rFonts w:hint="default"/>
          <w:b w:val="0"/>
          <w:bCs w:val="0"/>
          <w:i w:val="0"/>
          <w:iCs w:val="0"/>
          <w:sz w:val="24"/>
          <w:szCs w:val="24"/>
          <w:highlight w:val="none"/>
          <w:u w:val="none"/>
          <w:lang w:val="en-US"/>
        </w:rPr>
      </w:pPr>
    </w:p>
    <w:p w14:paraId="03924F4A">
      <w:pPr>
        <w:numPr>
          <w:ilvl w:val="0"/>
          <w:numId w:val="0"/>
        </w:numPr>
        <w:ind w:left="220" w:leftChars="0"/>
        <w:rPr>
          <w:rFonts w:hint="default"/>
          <w:b w:val="0"/>
          <w:bCs w:val="0"/>
          <w:i w:val="0"/>
          <w:iCs w:val="0"/>
          <w:sz w:val="24"/>
          <w:szCs w:val="24"/>
          <w:highlight w:val="none"/>
          <w:u w:val="none"/>
          <w:lang w:val="en-US"/>
        </w:rPr>
      </w:pPr>
    </w:p>
    <w:p w14:paraId="65E2C50F">
      <w:pPr>
        <w:numPr>
          <w:ilvl w:val="0"/>
          <w:numId w:val="0"/>
        </w:numPr>
        <w:ind w:left="660" w:leftChars="0"/>
        <w:rPr>
          <w:rFonts w:hint="default"/>
          <w:b w:val="0"/>
          <w:bCs w:val="0"/>
          <w:i w:val="0"/>
          <w:iCs w:val="0"/>
          <w:sz w:val="24"/>
          <w:szCs w:val="24"/>
          <w:highlight w:val="none"/>
          <w:u w:val="none"/>
          <w:lang w:val="en-US"/>
        </w:rPr>
      </w:pPr>
    </w:p>
    <w:p w14:paraId="7A8653E5">
      <w:pPr>
        <w:numPr>
          <w:ilvl w:val="0"/>
          <w:numId w:val="0"/>
        </w:numPr>
        <w:ind w:leftChars="0"/>
        <w:rPr>
          <w:rFonts w:hint="default"/>
          <w:b w:val="0"/>
          <w:bCs w:val="0"/>
          <w:i/>
          <w:iCs/>
          <w:sz w:val="24"/>
          <w:szCs w:val="24"/>
          <w:highlight w:val="none"/>
          <w:u w:val="none"/>
          <w:lang w:val="en-US"/>
        </w:rPr>
      </w:pPr>
      <w:r>
        <w:rPr>
          <w:rFonts w:hint="default"/>
          <w:b w:val="0"/>
          <w:bCs w:val="0"/>
          <w:i/>
          <w:iCs/>
          <w:sz w:val="24"/>
          <w:szCs w:val="24"/>
          <w:highlight w:val="none"/>
          <w:u w:val="none"/>
          <w:lang w:val="en-US"/>
        </w:rPr>
        <w:t xml:space="preserve"> </w:t>
      </w:r>
    </w:p>
    <w:sectPr>
      <w:headerReference r:id="rId6" w:type="first"/>
      <w:footerReference r:id="rId8" w:type="first"/>
      <w:headerReference r:id="rId5" w:type="default"/>
      <w:footerReference r:id="rId7" w:type="default"/>
      <w:pgSz w:w="11906" w:h="16838"/>
      <w:pgMar w:top="547" w:right="646" w:bottom="1440" w:left="760" w:header="1071" w:footer="992" w:gutter="0"/>
      <w:pgNumType w:fmt="decimal"/>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0" w:usb3="00000000" w:csb0="00040001" w:csb1="00000000"/>
  </w:font>
  <w:font w:name="Times New Roman Regular">
    <w:panose1 w:val="02020603050405020304"/>
    <w:charset w:val="00"/>
    <w:family w:val="auto"/>
    <w:pitch w:val="default"/>
    <w:sig w:usb0="E0002AEF" w:usb1="C0007841" w:usb2="00000009" w:usb3="00000000" w:csb0="400001FF" w:csb1="FFFF0000"/>
  </w:font>
  <w:font w:name="Helvetica">
    <w:panose1 w:val="00000000000000000000"/>
    <w:charset w:val="00"/>
    <w:family w:val="auto"/>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2AC6B">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324AEC">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61324AEC">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5D5D6">
    <w:pPr>
      <w:pStyle w:val="3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9D84D">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72D9D84D">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6C9F3">
    <w:pPr>
      <w:pStyle w:val="40"/>
      <w:rPr>
        <w:rFonts w:hint="default"/>
        <w:sz w:val="20"/>
        <w:szCs w:val="20"/>
        <w:lang w:val="en-US"/>
      </w:rPr>
    </w:pPr>
    <w:r>
      <w:rPr>
        <w:rFonts w:hint="default"/>
        <w:sz w:val="20"/>
        <w:szCs w:val="20"/>
        <w:lang w:val="en-US"/>
      </w:rPr>
      <w:t xml:space="preserve">  Les prothèses immédiates provisoires et d’usage                                                Dr SEDKI</w:t>
    </w:r>
  </w:p>
  <w:p w14:paraId="2F866385">
    <w:pPr>
      <w:pStyle w:val="40"/>
      <w:jc w:val="left"/>
      <w:rPr>
        <w:rFonts w:hint="default"/>
        <w:sz w:val="20"/>
        <w:szCs w:val="20"/>
        <w:lang w:val="en-US"/>
      </w:rPr>
    </w:pPr>
    <w:r>
      <w:rPr>
        <w:rFonts w:hint="default"/>
        <w:sz w:val="20"/>
        <w:szCs w:val="20"/>
        <w:lang w:val="en-US"/>
      </w:rPr>
      <w:t xml:space="preserve">                             </w:t>
    </w:r>
  </w:p>
  <w:p w14:paraId="31DD55AD">
    <w:pPr>
      <w:pStyle w:val="40"/>
      <w:rPr>
        <w:rFonts w:hint="default"/>
        <w:sz w:val="20"/>
        <w:szCs w:val="20"/>
        <w:lang w:val="en-US"/>
      </w:rPr>
    </w:pPr>
    <w:r>
      <w:rPr>
        <w:rFonts w:hint="default"/>
        <w:sz w:val="20"/>
        <w:szCs w:val="20"/>
        <w:lang w:val="en-US"/>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E7A64">
    <w:pPr>
      <w:pStyle w:val="40"/>
      <w:ind w:left="3518" w:leftChars="190" w:hanging="3100" w:hangingChars="1550"/>
      <w:jc w:val="left"/>
      <w:rPr>
        <w:rFonts w:hint="default"/>
        <w:sz w:val="20"/>
        <w:szCs w:val="20"/>
        <w:lang w:val="en-US"/>
      </w:rPr>
    </w:pPr>
    <w:r>
      <w:rPr>
        <w:rFonts w:hint="default"/>
        <w:sz w:val="20"/>
        <w:szCs w:val="20"/>
        <w:lang w:val="en-US"/>
      </w:rPr>
      <w:t>Faculté de Médecine Dentaire                                     Cours de 3 ème année prothèse dentaire</w:t>
    </w:r>
  </w:p>
  <w:p w14:paraId="19B5C445">
    <w:pPr>
      <w:pStyle w:val="40"/>
      <w:ind w:left="3518" w:leftChars="190" w:hanging="3100" w:hangingChars="1550"/>
      <w:jc w:val="left"/>
      <w:rPr>
        <w:rFonts w:hint="default"/>
        <w:sz w:val="20"/>
        <w:szCs w:val="20"/>
        <w:lang w:val="en-US"/>
      </w:rPr>
    </w:pPr>
    <w:r>
      <w:rPr>
        <w:rFonts w:hint="default"/>
        <w:sz w:val="20"/>
        <w:szCs w:val="20"/>
        <w:lang w:val="en-US"/>
      </w:rPr>
      <w:t>CHU Béni Messous                                              Année Universitaire 2024/2025</w:t>
    </w:r>
  </w:p>
  <w:p w14:paraId="27A66999">
    <w:pPr>
      <w:pStyle w:val="40"/>
      <w:ind w:firstLine="400" w:firstLineChars="200"/>
      <w:jc w:val="left"/>
      <w:rPr>
        <w:rFonts w:hint="default"/>
        <w:sz w:val="20"/>
        <w:szCs w:val="20"/>
        <w:lang w:val="en-US"/>
      </w:rPr>
    </w:pPr>
    <w:r>
      <w:rPr>
        <w:rFonts w:hint="default"/>
        <w:sz w:val="20"/>
        <w:szCs w:val="20"/>
        <w:lang w:val="en-US"/>
      </w:rPr>
      <w:t>Service de Prothèse Dentaire                                     Dr SEDKI</w:t>
    </w:r>
  </w:p>
  <w:p w14:paraId="7D3F14EA">
    <w:pPr>
      <w:pStyle w:val="40"/>
      <w:ind w:firstLine="400" w:firstLineChars="200"/>
      <w:rPr>
        <w:rFonts w:hint="default"/>
        <w:sz w:val="20"/>
        <w:szCs w:val="20"/>
        <w:lang w:val="en-US"/>
      </w:rPr>
    </w:pPr>
    <w:r>
      <w:rPr>
        <w:rFonts w:hint="default"/>
        <w:sz w:val="20"/>
        <w:szCs w:val="20"/>
        <w:lang w:val="en-US"/>
      </w:rPr>
      <w:t>Pr DENDOUGA</w:t>
    </w:r>
  </w:p>
  <w:p w14:paraId="7B2534DB">
    <w:pPr>
      <w:pStyle w:val="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FF395C"/>
    <w:multiLevelType w:val="singleLevel"/>
    <w:tmpl w:val="BDFF395C"/>
    <w:lvl w:ilvl="0" w:tentative="0">
      <w:start w:val="1"/>
      <w:numFmt w:val="bullet"/>
      <w:lvlText w:val=""/>
      <w:lvlJc w:val="left"/>
      <w:pPr>
        <w:tabs>
          <w:tab w:val="left" w:pos="420"/>
        </w:tabs>
        <w:ind w:left="640" w:leftChars="0" w:hanging="420" w:firstLineChars="0"/>
      </w:pPr>
      <w:rPr>
        <w:rFonts w:hint="default" w:ascii="Wingdings" w:hAnsi="Wingdings"/>
      </w:rPr>
    </w:lvl>
  </w:abstractNum>
  <w:abstractNum w:abstractNumId="1">
    <w:nsid w:val="BF7FA43E"/>
    <w:multiLevelType w:val="singleLevel"/>
    <w:tmpl w:val="BF7FA43E"/>
    <w:lvl w:ilvl="0" w:tentative="0">
      <w:start w:val="1"/>
      <w:numFmt w:val="bullet"/>
      <w:lvlText w:val=""/>
      <w:lvlJc w:val="left"/>
      <w:pPr>
        <w:tabs>
          <w:tab w:val="left" w:pos="420"/>
        </w:tabs>
        <w:ind w:left="1080" w:leftChars="0" w:hanging="420" w:firstLineChars="0"/>
      </w:pPr>
      <w:rPr>
        <w:rFonts w:hint="default" w:ascii="Wingdings" w:hAnsi="Wingdings"/>
        <w:highlight w:val="none"/>
      </w:rPr>
    </w:lvl>
  </w:abstractNum>
  <w:abstractNum w:abstractNumId="2">
    <w:nsid w:val="BFF6CAF8"/>
    <w:multiLevelType w:val="singleLevel"/>
    <w:tmpl w:val="BFF6CAF8"/>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3">
    <w:nsid w:val="C3F4D399"/>
    <w:multiLevelType w:val="singleLevel"/>
    <w:tmpl w:val="C3F4D399"/>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4">
    <w:nsid w:val="C5DE81B0"/>
    <w:multiLevelType w:val="singleLevel"/>
    <w:tmpl w:val="C5DE81B0"/>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5">
    <w:nsid w:val="C77AC566"/>
    <w:multiLevelType w:val="singleLevel"/>
    <w:tmpl w:val="C77AC566"/>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6">
    <w:nsid w:val="CE1F335D"/>
    <w:multiLevelType w:val="singleLevel"/>
    <w:tmpl w:val="CE1F335D"/>
    <w:lvl w:ilvl="0" w:tentative="0">
      <w:start w:val="1"/>
      <w:numFmt w:val="bullet"/>
      <w:lvlText w:val=""/>
      <w:lvlJc w:val="left"/>
      <w:pPr>
        <w:tabs>
          <w:tab w:val="left" w:pos="420"/>
        </w:tabs>
        <w:ind w:left="1740" w:leftChars="0" w:hanging="420" w:firstLineChars="0"/>
      </w:pPr>
      <w:rPr>
        <w:rFonts w:hint="default" w:ascii="Wingdings" w:hAnsi="Wingdings"/>
        <w:highlight w:val="yellow"/>
      </w:rPr>
    </w:lvl>
  </w:abstractNum>
  <w:abstractNum w:abstractNumId="7">
    <w:nsid w:val="D9EECE8F"/>
    <w:multiLevelType w:val="singleLevel"/>
    <w:tmpl w:val="D9EECE8F"/>
    <w:lvl w:ilvl="0" w:tentative="0">
      <w:start w:val="1"/>
      <w:numFmt w:val="bullet"/>
      <w:lvlText w:val=""/>
      <w:lvlJc w:val="left"/>
      <w:pPr>
        <w:tabs>
          <w:tab w:val="left" w:pos="420"/>
        </w:tabs>
        <w:ind w:left="1520" w:leftChars="0" w:hanging="420" w:firstLineChars="0"/>
      </w:pPr>
      <w:rPr>
        <w:rFonts w:hint="default" w:ascii="Wingdings" w:hAnsi="Wingdings"/>
      </w:rPr>
    </w:lvl>
  </w:abstractNum>
  <w:abstractNum w:abstractNumId="8">
    <w:nsid w:val="DBF7225E"/>
    <w:multiLevelType w:val="singleLevel"/>
    <w:tmpl w:val="DBF7225E"/>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9">
    <w:nsid w:val="DDFDBB05"/>
    <w:multiLevelType w:val="singleLevel"/>
    <w:tmpl w:val="DDFDBB05"/>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10">
    <w:nsid w:val="DFEE7F87"/>
    <w:multiLevelType w:val="singleLevel"/>
    <w:tmpl w:val="DFEE7F87"/>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11">
    <w:nsid w:val="EB5EBC22"/>
    <w:multiLevelType w:val="singleLevel"/>
    <w:tmpl w:val="EB5EBC22"/>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12">
    <w:nsid w:val="F9DFF4C3"/>
    <w:multiLevelType w:val="singleLevel"/>
    <w:tmpl w:val="F9DFF4C3"/>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13">
    <w:nsid w:val="FD6F8FBC"/>
    <w:multiLevelType w:val="singleLevel"/>
    <w:tmpl w:val="FD6F8FBC"/>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14">
    <w:nsid w:val="FEFD8224"/>
    <w:multiLevelType w:val="multilevel"/>
    <w:tmpl w:val="FEFD8224"/>
    <w:lvl w:ilvl="0" w:tentative="0">
      <w:start w:val="1"/>
      <w:numFmt w:val="decimal"/>
      <w:suff w:val="space"/>
      <w:lvlText w:val="%1."/>
      <w:lvlJc w:val="left"/>
    </w:lvl>
    <w:lvl w:ilvl="1" w:tentative="0">
      <w:start w:val="1"/>
      <w:numFmt w:val="decimal"/>
      <w:suff w:val="space"/>
      <w:lvlText w:val="%1.%2"/>
      <w:lvlJc w:val="left"/>
      <w:pPr>
        <w:ind w:left="220" w:leftChars="0" w:firstLine="0" w:firstLineChars="0"/>
      </w:pPr>
      <w:rPr>
        <w:rFonts w:hint="default"/>
      </w:rPr>
    </w:lvl>
    <w:lvl w:ilvl="2" w:tentative="0">
      <w:start w:val="1"/>
      <w:numFmt w:val="decimal"/>
      <w:suff w:val="space"/>
      <w:lvlText w:val="%1.%2.%3"/>
      <w:lvlJc w:val="left"/>
      <w:pPr>
        <w:ind w:left="44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5">
    <w:nsid w:val="FFFEC2D7"/>
    <w:multiLevelType w:val="singleLevel"/>
    <w:tmpl w:val="FFFEC2D7"/>
    <w:lvl w:ilvl="0" w:tentative="0">
      <w:start w:val="1"/>
      <w:numFmt w:val="bullet"/>
      <w:lvlText w:val=""/>
      <w:lvlJc w:val="left"/>
      <w:pPr>
        <w:tabs>
          <w:tab w:val="left" w:pos="420"/>
        </w:tabs>
        <w:ind w:left="1520" w:leftChars="0" w:hanging="420" w:firstLineChars="0"/>
      </w:pPr>
      <w:rPr>
        <w:rFonts w:hint="default" w:ascii="Wingdings" w:hAnsi="Wingdings"/>
      </w:rPr>
    </w:lvl>
  </w:abstractNum>
  <w:abstractNum w:abstractNumId="16">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7">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8">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9">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20">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21">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22">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23">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24">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25">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26">
    <w:nsid w:val="4D296B11"/>
    <w:multiLevelType w:val="singleLevel"/>
    <w:tmpl w:val="4D296B11"/>
    <w:lvl w:ilvl="0" w:tentative="0">
      <w:start w:val="1"/>
      <w:numFmt w:val="bullet"/>
      <w:lvlText w:val=""/>
      <w:lvlJc w:val="left"/>
      <w:pPr>
        <w:tabs>
          <w:tab w:val="left" w:pos="420"/>
        </w:tabs>
        <w:ind w:left="640" w:leftChars="0" w:hanging="420" w:firstLineChars="0"/>
      </w:pPr>
      <w:rPr>
        <w:rFonts w:hint="default" w:ascii="Wingdings" w:hAnsi="Wingdings"/>
      </w:rPr>
    </w:lvl>
  </w:abstractNum>
  <w:abstractNum w:abstractNumId="27">
    <w:nsid w:val="60AC6401"/>
    <w:multiLevelType w:val="multilevel"/>
    <w:tmpl w:val="60AC6401"/>
    <w:lvl w:ilvl="0" w:tentative="0">
      <w:start w:val="1"/>
      <w:numFmt w:val="decimal"/>
      <w:lvlText w:val="%1."/>
      <w:lvlJc w:val="left"/>
      <w:pPr>
        <w:ind w:left="720" w:hanging="360"/>
      </w:pPr>
      <w:rPr>
        <w:rFonts w:hint="default"/>
      </w:rPr>
    </w:lvl>
    <w:lvl w:ilvl="1" w:tentative="0">
      <w:start w:val="1"/>
      <w:numFmt w:val="decimal"/>
      <w:isLgl/>
      <w:lvlText w:val="%1.%2"/>
      <w:lvlJc w:val="left"/>
      <w:pPr>
        <w:ind w:left="1240" w:hanging="36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240" w:hanging="108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320" w:hanging="1440"/>
      </w:pPr>
      <w:rPr>
        <w:rFonts w:hint="default"/>
      </w:rPr>
    </w:lvl>
    <w:lvl w:ilvl="8" w:tentative="0">
      <w:start w:val="1"/>
      <w:numFmt w:val="decimal"/>
      <w:isLgl/>
      <w:lvlText w:val="%1.%2.%3.%4.%5.%6.%7.%8.%9"/>
      <w:lvlJc w:val="left"/>
      <w:pPr>
        <w:ind w:left="5040" w:hanging="1800"/>
      </w:pPr>
      <w:rPr>
        <w:rFonts w:hint="default"/>
      </w:rPr>
    </w:lvl>
  </w:abstractNum>
  <w:abstractNum w:abstractNumId="28">
    <w:nsid w:val="7BEBB7B3"/>
    <w:multiLevelType w:val="singleLevel"/>
    <w:tmpl w:val="7BEBB7B3"/>
    <w:lvl w:ilvl="0" w:tentative="0">
      <w:start w:val="1"/>
      <w:numFmt w:val="bullet"/>
      <w:lvlText w:val=""/>
      <w:lvlJc w:val="left"/>
      <w:pPr>
        <w:tabs>
          <w:tab w:val="left" w:pos="420"/>
        </w:tabs>
        <w:ind w:left="1080" w:leftChars="0" w:hanging="420" w:firstLineChars="0"/>
      </w:pPr>
      <w:rPr>
        <w:rFonts w:hint="default" w:ascii="Wingdings" w:hAnsi="Wingdings"/>
      </w:rPr>
    </w:lvl>
  </w:abstractNum>
  <w:num w:numId="1">
    <w:abstractNumId w:val="25"/>
  </w:num>
  <w:num w:numId="2">
    <w:abstractNumId w:val="23"/>
  </w:num>
  <w:num w:numId="3">
    <w:abstractNumId w:val="22"/>
  </w:num>
  <w:num w:numId="4">
    <w:abstractNumId w:val="21"/>
  </w:num>
  <w:num w:numId="5">
    <w:abstractNumId w:val="20"/>
  </w:num>
  <w:num w:numId="6">
    <w:abstractNumId w:val="24"/>
  </w:num>
  <w:num w:numId="7">
    <w:abstractNumId w:val="19"/>
  </w:num>
  <w:num w:numId="8">
    <w:abstractNumId w:val="18"/>
  </w:num>
  <w:num w:numId="9">
    <w:abstractNumId w:val="17"/>
  </w:num>
  <w:num w:numId="10">
    <w:abstractNumId w:val="16"/>
  </w:num>
  <w:num w:numId="11">
    <w:abstractNumId w:val="27"/>
  </w:num>
  <w:num w:numId="12">
    <w:abstractNumId w:val="14"/>
  </w:num>
  <w:num w:numId="13">
    <w:abstractNumId w:val="0"/>
  </w:num>
  <w:num w:numId="14">
    <w:abstractNumId w:val="26"/>
  </w:num>
  <w:num w:numId="15">
    <w:abstractNumId w:val="13"/>
  </w:num>
  <w:num w:numId="16">
    <w:abstractNumId w:val="10"/>
  </w:num>
  <w:num w:numId="17">
    <w:abstractNumId w:val="3"/>
  </w:num>
  <w:num w:numId="18">
    <w:abstractNumId w:val="11"/>
  </w:num>
  <w:num w:numId="19">
    <w:abstractNumId w:val="1"/>
  </w:num>
  <w:num w:numId="20">
    <w:abstractNumId w:val="15"/>
  </w:num>
  <w:num w:numId="21">
    <w:abstractNumId w:val="7"/>
  </w:num>
  <w:num w:numId="22">
    <w:abstractNumId w:val="2"/>
  </w:num>
  <w:num w:numId="23">
    <w:abstractNumId w:val="4"/>
  </w:num>
  <w:num w:numId="24">
    <w:abstractNumId w:val="28"/>
  </w:num>
  <w:num w:numId="25">
    <w:abstractNumId w:val="9"/>
  </w:num>
  <w:num w:numId="26">
    <w:abstractNumId w:val="12"/>
  </w:num>
  <w:num w:numId="27">
    <w:abstractNumId w:val="6"/>
  </w:num>
  <w:num w:numId="28">
    <w:abstractNumId w:val="5"/>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7712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9F7D83F"/>
    <w:rsid w:val="3FEB05F1"/>
    <w:rsid w:val="3FF77121"/>
    <w:rsid w:val="5BCE0141"/>
    <w:rsid w:val="677F6A72"/>
    <w:rsid w:val="6997C91A"/>
    <w:rsid w:val="77BBE5BB"/>
    <w:rsid w:val="77EA8E3D"/>
    <w:rsid w:val="79FF7000"/>
    <w:rsid w:val="7DEFBEA1"/>
    <w:rsid w:val="7EFF4787"/>
    <w:rsid w:val="8F7D34F0"/>
    <w:rsid w:val="BFB1C4AF"/>
    <w:rsid w:val="CF77FBFC"/>
    <w:rsid w:val="CFDF499F"/>
    <w:rsid w:val="D547884A"/>
    <w:rsid w:val="E7B56DC6"/>
    <w:rsid w:val="FC6F8D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Style1"/>
    <w:basedOn w:val="1"/>
    <w:uiPriority w:val="0"/>
    <w:rPr>
      <w:rFonts w:ascii="Times New Roman Regular" w:hAnsi="Times New Roman Regular" w:cs="Times New Roman Regular"/>
      <w:sz w:val="200"/>
      <w:szCs w:val="240"/>
      <w:shd w:val="clear" w:color="FFFFFF" w:fill="D9D9D9"/>
      <w14:glow w14:rad="63500">
        <w14:schemeClr w14:val="accent4">
          <w14:satMod w14:val="175000"/>
          <w14:alpha w14:val="60000"/>
        </w14:schemeClr>
      </w14:glow>
      <w14:reflection w14:blurRad="0" w14:stA="0" w14:stPos="0" w14:endA="0" w14:endPos="0" w14:dist="0" w14:dir="0" w14:fadeDir="0" w14:sx="0" w14:sy="0" w14:kx="0" w14:ky="0" w14:algn="none"/>
    </w:rPr>
  </w:style>
  <w:style w:type="paragraph" w:styleId="25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145</TotalTime>
  <ScaleCrop>false</ScaleCrop>
  <LinksUpToDate>false</LinksUpToDate>
  <CharactersWithSpaces>0</CharactersWithSpaces>
  <Application>WPS Office_6.13.1.8710_F1E327BC-269C-435d-A152-05C5408002CA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2025-04-15T17:26:00Z</dcterms:created>
  <dc:creator>dalelsedki</dc:creator>
  <cp:lastModifiedBy>Dalel SEDKI</cp:lastModifiedBy>
  <dcterms:modified xsi:type="dcterms:W3CDTF">2025-05-04T20:00:43Z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1033-6.13.1.8710</vt:lpwstr>
  </property>
  <property fmtid="{D5CDD505-2E9C-101B-9397-08002B2CF9AE}" pid="3" name="ICV">
    <vt:lpwstr>54BD3925E032DE4BA788FE6768BD4141_41</vt:lpwstr>
  </property>
</Properties>
</file>