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181891562"/>
        <w:docPartObj>
          <w:docPartGallery w:val="Cover Pages"/>
          <w:docPartUnique/>
        </w:docPartObj>
      </w:sdtPr>
      <w:sdtEndPr>
        <w:rPr>
          <w:color w:val="auto"/>
        </w:rPr>
      </w:sdtEndPr>
      <w:sdtContent>
        <w:p w:rsidR="008E43D4" w:rsidRDefault="008E43D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2B76ACB2DBD40C6A1238E65A5D457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E43D4" w:rsidRDefault="008E43D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Fase de </w:t>
              </w:r>
              <w:r w:rsidR="00AE55AB">
                <w:rPr>
                  <w:rFonts w:asciiTheme="majorHAnsi" w:eastAsiaTheme="majorEastAsia" w:hAnsiTheme="majorHAnsi" w:cstheme="majorBidi"/>
                  <w:caps/>
                  <w:color w:val="5B9BD5" w:themeColor="accent1"/>
                  <w:sz w:val="72"/>
                  <w:szCs w:val="72"/>
                </w:rPr>
                <w:t>transición</w:t>
              </w:r>
            </w:p>
          </w:sdtContent>
        </w:sdt>
        <w:sdt>
          <w:sdtPr>
            <w:rPr>
              <w:color w:val="5B9BD5" w:themeColor="accent1"/>
              <w:sz w:val="28"/>
              <w:szCs w:val="28"/>
            </w:rPr>
            <w:alias w:val="Subtítulo"/>
            <w:tag w:val=""/>
            <w:id w:val="328029620"/>
            <w:placeholder>
              <w:docPart w:val="C568C84F87F24F138F98BDFEB8358BEC"/>
            </w:placeholder>
            <w:dataBinding w:prefixMappings="xmlns:ns0='http://purl.org/dc/elements/1.1/' xmlns:ns1='http://schemas.openxmlformats.org/package/2006/metadata/core-properties' " w:xpath="/ns1:coreProperties[1]/ns0:subject[1]" w:storeItemID="{6C3C8BC8-F283-45AE-878A-BAB7291924A1}"/>
            <w:text/>
          </w:sdtPr>
          <w:sdtEndPr/>
          <w:sdtContent>
            <w:p w:rsidR="008E43D4" w:rsidRDefault="008E43D4">
              <w:pPr>
                <w:pStyle w:val="Sinespaciado"/>
                <w:jc w:val="center"/>
                <w:rPr>
                  <w:color w:val="5B9BD5" w:themeColor="accent1"/>
                  <w:sz w:val="28"/>
                  <w:szCs w:val="28"/>
                </w:rPr>
              </w:pPr>
              <w:r>
                <w:rPr>
                  <w:color w:val="5B9BD5" w:themeColor="accent1"/>
                  <w:sz w:val="28"/>
                  <w:szCs w:val="28"/>
                </w:rPr>
                <w:t>ITIL</w:t>
              </w:r>
            </w:p>
          </w:sdtContent>
        </w:sdt>
        <w:p w:rsidR="008E43D4" w:rsidRDefault="008E43D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E43D4" w:rsidRDefault="00AE55AB">
                                    <w:pPr>
                                      <w:pStyle w:val="Sinespaciado"/>
                                      <w:spacing w:after="40"/>
                                      <w:jc w:val="center"/>
                                      <w:rPr>
                                        <w:caps/>
                                        <w:color w:val="5B9BD5" w:themeColor="accent1"/>
                                        <w:sz w:val="28"/>
                                        <w:szCs w:val="28"/>
                                      </w:rPr>
                                    </w:pPr>
                                    <w:r>
                                      <w:rPr>
                                        <w:caps/>
                                        <w:color w:val="5B9BD5" w:themeColor="accent1"/>
                                        <w:sz w:val="28"/>
                                        <w:szCs w:val="28"/>
                                      </w:rPr>
                                      <w:t>21</w:t>
                                    </w:r>
                                    <w:r w:rsidR="008E43D4">
                                      <w:rPr>
                                        <w:caps/>
                                        <w:color w:val="5B9BD5" w:themeColor="accent1"/>
                                        <w:sz w:val="28"/>
                                        <w:szCs w:val="28"/>
                                      </w:rPr>
                                      <w:t xml:space="preserve"> de mayo de 2018</w:t>
                                    </w:r>
                                  </w:p>
                                </w:sdtContent>
                              </w:sdt>
                              <w:p w:rsidR="008E43D4" w:rsidRDefault="00CA1131">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E43D4">
                                      <w:rPr>
                                        <w:caps/>
                                        <w:color w:val="5B9BD5" w:themeColor="accent1"/>
                                      </w:rPr>
                                      <w:t>GOODSOUND</w:t>
                                    </w:r>
                                  </w:sdtContent>
                                </w:sdt>
                              </w:p>
                              <w:p w:rsidR="008E43D4" w:rsidRDefault="00CA113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E43D4">
                                      <w:rPr>
                                        <w:color w:val="5B9BD5" w:themeColor="accent1"/>
                                      </w:rPr>
                                      <w:t xml:space="preserve">Cristian Cuerda, </w:t>
                                    </w:r>
                                    <w:proofErr w:type="spellStart"/>
                                    <w:r w:rsidR="008E43D4">
                                      <w:rPr>
                                        <w:color w:val="5B9BD5" w:themeColor="accent1"/>
                                      </w:rPr>
                                      <w:t>Jose</w:t>
                                    </w:r>
                                    <w:proofErr w:type="spellEnd"/>
                                    <w:r w:rsidR="008E43D4">
                                      <w:rPr>
                                        <w:color w:val="5B9BD5" w:themeColor="accent1"/>
                                      </w:rPr>
                                      <w:t xml:space="preserve"> </w:t>
                                    </w:r>
                                    <w:proofErr w:type="spellStart"/>
                                    <w:r w:rsidR="008E43D4">
                                      <w:rPr>
                                        <w:color w:val="5B9BD5" w:themeColor="accent1"/>
                                      </w:rPr>
                                      <w:t>Riaza</w:t>
                                    </w:r>
                                    <w:proofErr w:type="spellEnd"/>
                                    <w:r w:rsidR="008E43D4">
                                      <w:rPr>
                                        <w:color w:val="5B9BD5" w:themeColor="accent1"/>
                                      </w:rPr>
                                      <w:t xml:space="preserve"> y </w:t>
                                    </w:r>
                                    <w:proofErr w:type="spellStart"/>
                                    <w:r w:rsidR="008E43D4">
                                      <w:rPr>
                                        <w:color w:val="5B9BD5" w:themeColor="accent1"/>
                                      </w:rPr>
                                      <w:t>Jose</w:t>
                                    </w:r>
                                    <w:proofErr w:type="spellEnd"/>
                                    <w:r w:rsidR="008E43D4">
                                      <w:rPr>
                                        <w:color w:val="5B9BD5" w:themeColor="accent1"/>
                                      </w:rPr>
                                      <w:t xml:space="preserve"> Roldan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E43D4" w:rsidRDefault="00AE55AB">
                              <w:pPr>
                                <w:pStyle w:val="Sinespaciado"/>
                                <w:spacing w:after="40"/>
                                <w:jc w:val="center"/>
                                <w:rPr>
                                  <w:caps/>
                                  <w:color w:val="5B9BD5" w:themeColor="accent1"/>
                                  <w:sz w:val="28"/>
                                  <w:szCs w:val="28"/>
                                </w:rPr>
                              </w:pPr>
                              <w:r>
                                <w:rPr>
                                  <w:caps/>
                                  <w:color w:val="5B9BD5" w:themeColor="accent1"/>
                                  <w:sz w:val="28"/>
                                  <w:szCs w:val="28"/>
                                </w:rPr>
                                <w:t>21</w:t>
                              </w:r>
                              <w:r w:rsidR="008E43D4">
                                <w:rPr>
                                  <w:caps/>
                                  <w:color w:val="5B9BD5" w:themeColor="accent1"/>
                                  <w:sz w:val="28"/>
                                  <w:szCs w:val="28"/>
                                </w:rPr>
                                <w:t xml:space="preserve"> de mayo de 2018</w:t>
                              </w:r>
                            </w:p>
                          </w:sdtContent>
                        </w:sdt>
                        <w:p w:rsidR="008E43D4" w:rsidRDefault="00CA1131">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E43D4">
                                <w:rPr>
                                  <w:caps/>
                                  <w:color w:val="5B9BD5" w:themeColor="accent1"/>
                                </w:rPr>
                                <w:t>GOODSOUND</w:t>
                              </w:r>
                            </w:sdtContent>
                          </w:sdt>
                        </w:p>
                        <w:p w:rsidR="008E43D4" w:rsidRDefault="00CA113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E43D4">
                                <w:rPr>
                                  <w:color w:val="5B9BD5" w:themeColor="accent1"/>
                                </w:rPr>
                                <w:t xml:space="preserve">Cristian Cuerda, </w:t>
                              </w:r>
                              <w:proofErr w:type="spellStart"/>
                              <w:r w:rsidR="008E43D4">
                                <w:rPr>
                                  <w:color w:val="5B9BD5" w:themeColor="accent1"/>
                                </w:rPr>
                                <w:t>Jose</w:t>
                              </w:r>
                              <w:proofErr w:type="spellEnd"/>
                              <w:r w:rsidR="008E43D4">
                                <w:rPr>
                                  <w:color w:val="5B9BD5" w:themeColor="accent1"/>
                                </w:rPr>
                                <w:t xml:space="preserve"> </w:t>
                              </w:r>
                              <w:proofErr w:type="spellStart"/>
                              <w:r w:rsidR="008E43D4">
                                <w:rPr>
                                  <w:color w:val="5B9BD5" w:themeColor="accent1"/>
                                </w:rPr>
                                <w:t>Riaza</w:t>
                              </w:r>
                              <w:proofErr w:type="spellEnd"/>
                              <w:r w:rsidR="008E43D4">
                                <w:rPr>
                                  <w:color w:val="5B9BD5" w:themeColor="accent1"/>
                                </w:rPr>
                                <w:t xml:space="preserve"> y </w:t>
                              </w:r>
                              <w:proofErr w:type="spellStart"/>
                              <w:r w:rsidR="008E43D4">
                                <w:rPr>
                                  <w:color w:val="5B9BD5" w:themeColor="accent1"/>
                                </w:rPr>
                                <w:t>Jose</w:t>
                              </w:r>
                              <w:proofErr w:type="spellEnd"/>
                              <w:r w:rsidR="008E43D4">
                                <w:rPr>
                                  <w:color w:val="5B9BD5" w:themeColor="accent1"/>
                                </w:rPr>
                                <w:t xml:space="preserve"> Roldan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E43D4" w:rsidRDefault="008E43D4">
          <w:pPr>
            <w:rPr>
              <w:rFonts w:asciiTheme="majorHAnsi" w:eastAsiaTheme="majorEastAsia" w:hAnsiTheme="majorHAnsi" w:cstheme="majorBidi"/>
              <w:color w:val="2E74B5" w:themeColor="accent1" w:themeShade="BF"/>
              <w:sz w:val="26"/>
              <w:szCs w:val="26"/>
            </w:rPr>
          </w:pPr>
          <w:r>
            <w:br w:type="page"/>
          </w:r>
        </w:p>
      </w:sdtContent>
    </w:sdt>
    <w:p w:rsidR="006B5CB4" w:rsidRDefault="008E43D4" w:rsidP="006B5CB4">
      <w:pPr>
        <w:pStyle w:val="Ttulo2"/>
      </w:pPr>
      <w:r>
        <w:lastRenderedPageBreak/>
        <w:t>Gestión</w:t>
      </w:r>
      <w:r w:rsidR="006B5CB4">
        <w:t xml:space="preserve"> </w:t>
      </w:r>
      <w:r w:rsidR="00AE55AB">
        <w:t>de los activos de servicio y configuraciones</w:t>
      </w:r>
    </w:p>
    <w:p w:rsidR="00AE55AB" w:rsidRDefault="00AE55AB" w:rsidP="004E464B">
      <w:pPr>
        <w:autoSpaceDE w:val="0"/>
        <w:autoSpaceDN w:val="0"/>
        <w:adjustRightInd w:val="0"/>
        <w:spacing w:after="0" w:line="240" w:lineRule="auto"/>
        <w:jc w:val="both"/>
      </w:pPr>
      <w:r>
        <w:t>En esta sección vamos a ver cómo se gestionan los activos, así como cuál es la base de la</w:t>
      </w:r>
      <w:r>
        <w:t xml:space="preserve"> </w:t>
      </w:r>
      <w:r>
        <w:t>gestión de los activos de servicio y configuraciones (SACM): cómo se gestionan las</w:t>
      </w:r>
      <w:r>
        <w:t xml:space="preserve"> </w:t>
      </w:r>
      <w:r>
        <w:t>relaciones entre los elementos de configuración.</w:t>
      </w:r>
      <w:r>
        <w:t xml:space="preserve"> </w:t>
      </w:r>
      <w:r w:rsidRPr="00AE55AB">
        <w:t xml:space="preserve">La gestión de los activos, a menudo llamada </w:t>
      </w:r>
      <w:proofErr w:type="spellStart"/>
      <w:r w:rsidRPr="00AE55AB">
        <w:t>Asset</w:t>
      </w:r>
      <w:proofErr w:type="spellEnd"/>
      <w:r w:rsidRPr="00AE55AB">
        <w:t xml:space="preserve"> </w:t>
      </w:r>
      <w:r>
        <w:t>M</w:t>
      </w:r>
      <w:r w:rsidRPr="00AE55AB">
        <w:t>anagement, no es suficiente para</w:t>
      </w:r>
      <w:r>
        <w:t xml:space="preserve"> </w:t>
      </w:r>
      <w:r w:rsidRPr="00AE55AB">
        <w:t>describir el conjunto de componentes de un sistema de información.</w:t>
      </w:r>
      <w:r>
        <w:t xml:space="preserve"> </w:t>
      </w:r>
      <w:r w:rsidRPr="00AE55AB">
        <w:t>Para asegurar su gestión de manera efectiva, es imprescindible tener la información</w:t>
      </w:r>
      <w:r>
        <w:t xml:space="preserve"> </w:t>
      </w:r>
      <w:r w:rsidRPr="00AE55AB">
        <w:t>completa y precisa de la infraestructura entera del sistema de información y del conjunto</w:t>
      </w:r>
      <w:r>
        <w:t xml:space="preserve"> </w:t>
      </w:r>
      <w:r w:rsidRPr="00AE55AB">
        <w:t>de sus componentes.</w:t>
      </w:r>
    </w:p>
    <w:p w:rsidR="00AE55AB" w:rsidRPr="00AE55AB" w:rsidRDefault="00AE55AB" w:rsidP="004E464B">
      <w:pPr>
        <w:autoSpaceDE w:val="0"/>
        <w:autoSpaceDN w:val="0"/>
        <w:adjustRightInd w:val="0"/>
        <w:spacing w:after="0" w:line="240" w:lineRule="auto"/>
        <w:jc w:val="both"/>
      </w:pPr>
      <w:r>
        <w:t xml:space="preserve">En la asignatura de Gestión de Auditoria y Seguridad, ya habíamos realizado un informe completo en el que se incluye todo lo que se demanda en esta fase, además de añadir algunas ideas para mejorar la seguridad y la protección de activos. Esto último resulta útil y que en la fase de transición no implementamos nada en el proceso de Gestión de Seguridad, y así quedaría algo </w:t>
      </w:r>
      <w:r w:rsidR="004E464B">
        <w:t>más</w:t>
      </w:r>
      <w:r>
        <w:t xml:space="preserve"> completo ese aspecto. El fichero adjunto con toda la información es el de Gestión de activos.</w:t>
      </w:r>
    </w:p>
    <w:p w:rsidR="006B5CB4" w:rsidRDefault="00A61B87" w:rsidP="004E464B">
      <w:pPr>
        <w:pStyle w:val="Ttulo2"/>
        <w:jc w:val="both"/>
      </w:pPr>
      <w:r>
        <w:t xml:space="preserve">Gestión de </w:t>
      </w:r>
      <w:r w:rsidR="00AE55AB">
        <w:t>cambios</w:t>
      </w:r>
    </w:p>
    <w:p w:rsidR="00AE55AB" w:rsidRPr="00AE55AB" w:rsidRDefault="00AE55AB" w:rsidP="004E464B">
      <w:pPr>
        <w:autoSpaceDE w:val="0"/>
        <w:autoSpaceDN w:val="0"/>
        <w:adjustRightInd w:val="0"/>
        <w:spacing w:after="0" w:line="240" w:lineRule="auto"/>
        <w:jc w:val="both"/>
      </w:pPr>
      <w:r w:rsidRPr="00AE55AB">
        <w:t>En esta sección vamos a ver cómo se gestionan los cambios y el impacto positivo que</w:t>
      </w:r>
      <w:r>
        <w:t xml:space="preserve"> </w:t>
      </w:r>
      <w:r w:rsidRPr="00AE55AB">
        <w:t>puede tener la gestión de cambios en la calidad de los servicios de la organización.</w:t>
      </w:r>
      <w:r w:rsidRPr="00AE55AB">
        <w:t xml:space="preserve"> </w:t>
      </w:r>
      <w:r w:rsidRPr="00AE55AB">
        <w:t>El porfolio de servicios proporciona una definición clara de todos los servicios que están en</w:t>
      </w:r>
      <w:r>
        <w:t xml:space="preserve"> </w:t>
      </w:r>
      <w:r w:rsidRPr="00AE55AB">
        <w:t>el pipeline, activos o eliminados. La comprensión del porfolio de servicios ayuda a las</w:t>
      </w:r>
      <w:r>
        <w:t xml:space="preserve"> </w:t>
      </w:r>
      <w:r w:rsidRPr="00AE55AB">
        <w:t>partes implicadas en la transición a entender los impactos potenciales en un servicio nuevo</w:t>
      </w:r>
      <w:r>
        <w:t xml:space="preserve"> </w:t>
      </w:r>
      <w:r w:rsidRPr="00AE55AB">
        <w:t>o modificado y sobre los otros servicios.</w:t>
      </w:r>
    </w:p>
    <w:p w:rsidR="00AE55AB" w:rsidRDefault="00AE55AB" w:rsidP="004E464B">
      <w:pPr>
        <w:autoSpaceDE w:val="0"/>
        <w:autoSpaceDN w:val="0"/>
        <w:adjustRightInd w:val="0"/>
        <w:spacing w:after="0" w:line="240" w:lineRule="auto"/>
        <w:jc w:val="both"/>
      </w:pPr>
      <w:r w:rsidRPr="00AE55AB">
        <w:t>Es esto lo que permitirá efectuar los cambios que garanticen un equilibrio entre la</w:t>
      </w:r>
      <w:r>
        <w:t xml:space="preserve"> </w:t>
      </w:r>
      <w:r w:rsidRPr="00AE55AB">
        <w:t>necesidad de cambios y el impacto de estos en los servicios.</w:t>
      </w:r>
    </w:p>
    <w:p w:rsidR="004E464B" w:rsidRPr="00AE55AB" w:rsidRDefault="004E464B" w:rsidP="004E464B">
      <w:pPr>
        <w:autoSpaceDE w:val="0"/>
        <w:autoSpaceDN w:val="0"/>
        <w:adjustRightInd w:val="0"/>
        <w:spacing w:after="0" w:line="240" w:lineRule="auto"/>
        <w:jc w:val="both"/>
      </w:pPr>
      <w:r>
        <w:t xml:space="preserve">Como no esta organización </w:t>
      </w:r>
      <w:r w:rsidR="00343B18">
        <w:t>aún</w:t>
      </w:r>
      <w:r>
        <w:t xml:space="preserve"> no está operativa y no se ha producido ninguna solicitud de cambios, vamos a simular que se ha realizado una demanda de cambio urgente, y que pasos seguiríamos. </w:t>
      </w:r>
    </w:p>
    <w:p w:rsidR="00A61B87" w:rsidRDefault="00AE55AB" w:rsidP="004E464B">
      <w:pPr>
        <w:pStyle w:val="Ttulo2"/>
        <w:jc w:val="both"/>
      </w:pPr>
      <w:r>
        <w:t>Gestión</w:t>
      </w:r>
      <w:r w:rsidR="00303EFF">
        <w:t xml:space="preserve"> de </w:t>
      </w:r>
      <w:r>
        <w:t>las entradas en producción</w:t>
      </w:r>
      <w:r w:rsidR="00A61B87">
        <w:t xml:space="preserve"> </w:t>
      </w:r>
    </w:p>
    <w:p w:rsidR="00680E30" w:rsidRDefault="00680E30" w:rsidP="00680E30">
      <w:pPr>
        <w:autoSpaceDE w:val="0"/>
        <w:autoSpaceDN w:val="0"/>
        <w:adjustRightInd w:val="0"/>
        <w:spacing w:after="0" w:line="240" w:lineRule="auto"/>
      </w:pPr>
      <w:r w:rsidRPr="00680E30">
        <w:t>En términos de gestión de proceso, la gestión de las entradas en producción se podría</w:t>
      </w:r>
      <w:r>
        <w:t xml:space="preserve"> </w:t>
      </w:r>
      <w:r w:rsidRPr="00680E30">
        <w:t>considerar como un subproceso de la gestión de cambios, ya que se inicia por la gestión de</w:t>
      </w:r>
      <w:r>
        <w:t xml:space="preserve"> </w:t>
      </w:r>
      <w:r w:rsidRPr="00680E30">
        <w:t>cambios y se vuelve hacia la gestión de cambios al final del proceso.</w:t>
      </w:r>
    </w:p>
    <w:p w:rsidR="00680E30" w:rsidRPr="00680E30" w:rsidRDefault="00680E30" w:rsidP="00680E30">
      <w:pPr>
        <w:autoSpaceDE w:val="0"/>
        <w:autoSpaceDN w:val="0"/>
        <w:adjustRightInd w:val="0"/>
        <w:spacing w:after="0" w:line="240" w:lineRule="auto"/>
      </w:pPr>
      <w:r>
        <w:rPr>
          <w:rFonts w:ascii="Verdana" w:hAnsi="Verdana" w:cs="Verdana"/>
          <w:sz w:val="18"/>
          <w:szCs w:val="18"/>
        </w:rPr>
        <w:t>Para dar una respuesta satisfactoria a la gestión de cambios, es imprescindible tener una</w:t>
      </w:r>
      <w:r w:rsidR="00BD55DA">
        <w:rPr>
          <w:rFonts w:ascii="Verdana" w:hAnsi="Verdana" w:cs="Verdana"/>
          <w:sz w:val="18"/>
          <w:szCs w:val="18"/>
        </w:rPr>
        <w:t xml:space="preserve"> </w:t>
      </w:r>
      <w:r w:rsidRPr="00680E30">
        <w:t>estrategia de entradas en producción rigurosa.</w:t>
      </w:r>
    </w:p>
    <w:p w:rsidR="00680E30" w:rsidRPr="00680E30" w:rsidRDefault="00680E30" w:rsidP="00680E30">
      <w:pPr>
        <w:autoSpaceDE w:val="0"/>
        <w:autoSpaceDN w:val="0"/>
        <w:adjustRightInd w:val="0"/>
        <w:spacing w:after="0" w:line="240" w:lineRule="auto"/>
      </w:pPr>
      <w:r w:rsidRPr="00680E30">
        <w:t>Esto permite efectuar los cambios que garantizan la protección del entorno de producción.</w:t>
      </w:r>
    </w:p>
    <w:p w:rsidR="00680E30" w:rsidRDefault="00680E30" w:rsidP="00680E30">
      <w:pPr>
        <w:autoSpaceDE w:val="0"/>
        <w:autoSpaceDN w:val="0"/>
        <w:adjustRightInd w:val="0"/>
        <w:spacing w:after="0" w:line="240" w:lineRule="auto"/>
      </w:pPr>
      <w:r w:rsidRPr="00680E30">
        <w:t>Todos los aspectos, ya sean técnicos o no, se deben tener en cuenta para una gestión</w:t>
      </w:r>
      <w:r w:rsidR="00BD55DA">
        <w:t xml:space="preserve"> </w:t>
      </w:r>
      <w:r w:rsidRPr="00680E30">
        <w:t>eficiente de las entradas en producción.</w:t>
      </w:r>
    </w:p>
    <w:p w:rsidR="00BD55DA" w:rsidRDefault="00BD55DA" w:rsidP="00680E30">
      <w:pPr>
        <w:autoSpaceDE w:val="0"/>
        <w:autoSpaceDN w:val="0"/>
        <w:adjustRightInd w:val="0"/>
        <w:spacing w:after="0" w:line="240" w:lineRule="auto"/>
      </w:pPr>
      <w:r>
        <w:t>En este apartado, hemos desarrollado un Plan de Vuelta Atrás, que permite regresar a un estado anterior en un servicio en el caso de que un cambio no produzca los resultados esperados.</w:t>
      </w:r>
    </w:p>
    <w:p w:rsidR="001333C8" w:rsidRDefault="001333C8" w:rsidP="001333C8">
      <w:pPr>
        <w:autoSpaceDE w:val="0"/>
        <w:autoSpaceDN w:val="0"/>
        <w:adjustRightInd w:val="0"/>
        <w:spacing w:after="0" w:line="240" w:lineRule="auto"/>
      </w:pPr>
      <w:r>
        <w:t xml:space="preserve">Para realizar un cambio urgente, lo primero que necesitamos es la ECAB. La ECAB </w:t>
      </w:r>
      <w:r w:rsidRPr="001333C8">
        <w:t xml:space="preserve">es una </w:t>
      </w:r>
      <w:r w:rsidRPr="001333C8">
        <w:t>e</w:t>
      </w:r>
      <w:r w:rsidRPr="001333C8">
        <w:t>structura que examina los cambios</w:t>
      </w:r>
      <w:r w:rsidRPr="001333C8">
        <w:t xml:space="preserve"> </w:t>
      </w:r>
      <w:r w:rsidRPr="001333C8">
        <w:t>urgentes y asesora al responsable de los cambios sobre las decisiones que hay que tomar</w:t>
      </w:r>
      <w:r w:rsidRPr="001333C8">
        <w:t xml:space="preserve"> </w:t>
      </w:r>
      <w:r w:rsidRPr="001333C8">
        <w:t>en el ámbito de un cambio urgente.</w:t>
      </w:r>
      <w:r>
        <w:t xml:space="preserve"> </w:t>
      </w:r>
      <w:r w:rsidRPr="001333C8">
        <w:t>Normalmente, la composición del ECAB está limitada a dos o tres miembros que ayudarán</w:t>
      </w:r>
      <w:r>
        <w:t xml:space="preserve"> </w:t>
      </w:r>
      <w:r w:rsidRPr="001333C8">
        <w:t>al responsable de los cambios a tomar una decisión rápida. Por supuesto, no hay</w:t>
      </w:r>
      <w:r>
        <w:t xml:space="preserve"> </w:t>
      </w:r>
      <w:r w:rsidRPr="001333C8">
        <w:t>planificación de revisiones ECAB. Únicamente la urgencia justifica la creación de un ECAB.</w:t>
      </w:r>
      <w:r>
        <w:t xml:space="preserve"> </w:t>
      </w:r>
      <w:r w:rsidR="006D3E9E">
        <w:t>El responsable de la Gestión de Cambios será Cristian Cuerda.</w:t>
      </w:r>
    </w:p>
    <w:p w:rsidR="001333C8" w:rsidRDefault="001333C8" w:rsidP="001333C8">
      <w:pPr>
        <w:autoSpaceDE w:val="0"/>
        <w:autoSpaceDN w:val="0"/>
        <w:adjustRightInd w:val="0"/>
        <w:spacing w:after="0" w:line="240" w:lineRule="auto"/>
      </w:pPr>
    </w:p>
    <w:tbl>
      <w:tblPr>
        <w:tblStyle w:val="Tabladecuadrcula4-nfasis5"/>
        <w:tblW w:w="0" w:type="auto"/>
        <w:tblLook w:val="04A0" w:firstRow="1" w:lastRow="0" w:firstColumn="1" w:lastColumn="0" w:noHBand="0" w:noVBand="1"/>
      </w:tblPr>
      <w:tblGrid>
        <w:gridCol w:w="2012"/>
        <w:gridCol w:w="2021"/>
        <w:gridCol w:w="2018"/>
        <w:gridCol w:w="2443"/>
      </w:tblGrid>
      <w:tr w:rsidR="001333C8" w:rsidTr="0013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1333C8" w:rsidRDefault="001333C8" w:rsidP="001333C8">
            <w:pPr>
              <w:autoSpaceDE w:val="0"/>
              <w:autoSpaceDN w:val="0"/>
              <w:adjustRightInd w:val="0"/>
              <w:jc w:val="center"/>
            </w:pPr>
            <w:r>
              <w:t>Composición ECAB</w:t>
            </w:r>
          </w:p>
        </w:tc>
      </w:tr>
      <w:tr w:rsidR="001333C8" w:rsidTr="0013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333C8" w:rsidRPr="001333C8" w:rsidRDefault="001333C8" w:rsidP="001333C8">
            <w:pPr>
              <w:autoSpaceDE w:val="0"/>
              <w:autoSpaceDN w:val="0"/>
              <w:adjustRightInd w:val="0"/>
            </w:pPr>
            <w:r w:rsidRPr="001333C8">
              <w:t>Nombre</w:t>
            </w:r>
          </w:p>
        </w:tc>
        <w:tc>
          <w:tcPr>
            <w:tcW w:w="2123"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r w:rsidRPr="001333C8">
              <w:rPr>
                <w:b/>
              </w:rPr>
              <w:t>Apellidos</w:t>
            </w:r>
          </w:p>
        </w:tc>
        <w:tc>
          <w:tcPr>
            <w:tcW w:w="2124"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r w:rsidRPr="001333C8">
              <w:rPr>
                <w:b/>
              </w:rPr>
              <w:t>Teléfono</w:t>
            </w:r>
          </w:p>
        </w:tc>
        <w:tc>
          <w:tcPr>
            <w:tcW w:w="2124"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r w:rsidRPr="001333C8">
              <w:rPr>
                <w:b/>
              </w:rPr>
              <w:t>Email</w:t>
            </w:r>
          </w:p>
        </w:tc>
      </w:tr>
      <w:tr w:rsidR="001333C8" w:rsidRPr="001333C8" w:rsidTr="001333C8">
        <w:tc>
          <w:tcPr>
            <w:cnfStyle w:val="001000000000" w:firstRow="0" w:lastRow="0" w:firstColumn="1" w:lastColumn="0" w:oddVBand="0" w:evenVBand="0" w:oddHBand="0" w:evenHBand="0" w:firstRowFirstColumn="0" w:firstRowLastColumn="0" w:lastRowFirstColumn="0" w:lastRowLastColumn="0"/>
            <w:tcW w:w="2123" w:type="dxa"/>
          </w:tcPr>
          <w:p w:rsidR="001333C8" w:rsidRPr="001333C8" w:rsidRDefault="001333C8" w:rsidP="001333C8">
            <w:pPr>
              <w:autoSpaceDE w:val="0"/>
              <w:autoSpaceDN w:val="0"/>
              <w:adjustRightInd w:val="0"/>
              <w:rPr>
                <w:b w:val="0"/>
              </w:rPr>
            </w:pPr>
            <w:proofErr w:type="spellStart"/>
            <w:r w:rsidRPr="001333C8">
              <w:rPr>
                <w:b w:val="0"/>
              </w:rPr>
              <w:t>Jose</w:t>
            </w:r>
            <w:proofErr w:type="spellEnd"/>
          </w:p>
        </w:tc>
        <w:tc>
          <w:tcPr>
            <w:tcW w:w="2123" w:type="dxa"/>
          </w:tcPr>
          <w:p w:rsidR="001333C8" w:rsidRPr="001333C8" w:rsidRDefault="001333C8"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1333C8">
              <w:t>Riaza</w:t>
            </w:r>
            <w:proofErr w:type="spellEnd"/>
            <w:r w:rsidRPr="001333C8">
              <w:t xml:space="preserve"> Valverde</w:t>
            </w:r>
          </w:p>
        </w:tc>
        <w:tc>
          <w:tcPr>
            <w:tcW w:w="2124" w:type="dxa"/>
          </w:tcPr>
          <w:p w:rsidR="001333C8" w:rsidRPr="001333C8" w:rsidRDefault="001333C8"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1333C8">
              <w:t>677 68 77 66</w:t>
            </w:r>
          </w:p>
        </w:tc>
        <w:tc>
          <w:tcPr>
            <w:tcW w:w="2124" w:type="dxa"/>
          </w:tcPr>
          <w:p w:rsidR="001333C8" w:rsidRPr="001333C8" w:rsidRDefault="001333C8"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hyperlink r:id="rId9" w:history="1">
              <w:r w:rsidRPr="001333C8">
                <w:rPr>
                  <w:rStyle w:val="Hipervnculo"/>
                </w:rPr>
                <w:t>Jose.riaza@alu.uclm.es</w:t>
              </w:r>
            </w:hyperlink>
          </w:p>
        </w:tc>
      </w:tr>
      <w:tr w:rsidR="001333C8" w:rsidRPr="001333C8" w:rsidTr="0013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333C8" w:rsidRPr="001333C8" w:rsidRDefault="001333C8" w:rsidP="001333C8">
            <w:pPr>
              <w:autoSpaceDE w:val="0"/>
              <w:autoSpaceDN w:val="0"/>
              <w:adjustRightInd w:val="0"/>
              <w:rPr>
                <w:b w:val="0"/>
              </w:rPr>
            </w:pPr>
            <w:proofErr w:type="spellStart"/>
            <w:r w:rsidRPr="001333C8">
              <w:rPr>
                <w:b w:val="0"/>
              </w:rPr>
              <w:t>Jose</w:t>
            </w:r>
            <w:proofErr w:type="spellEnd"/>
          </w:p>
        </w:tc>
        <w:tc>
          <w:tcPr>
            <w:tcW w:w="2123"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333C8">
              <w:t xml:space="preserve">Roldan </w:t>
            </w:r>
            <w:proofErr w:type="spellStart"/>
            <w:r w:rsidRPr="001333C8">
              <w:t>Gomez</w:t>
            </w:r>
            <w:proofErr w:type="spellEnd"/>
          </w:p>
        </w:tc>
        <w:tc>
          <w:tcPr>
            <w:tcW w:w="2124"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333C8">
              <w:t>666 66 77 66</w:t>
            </w:r>
          </w:p>
        </w:tc>
        <w:tc>
          <w:tcPr>
            <w:tcW w:w="2124" w:type="dxa"/>
          </w:tcPr>
          <w:p w:rsidR="001333C8" w:rsidRPr="001333C8" w:rsidRDefault="001333C8"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hyperlink r:id="rId10" w:history="1">
              <w:r w:rsidRPr="001333C8">
                <w:rPr>
                  <w:rStyle w:val="Hipervnculo"/>
                </w:rPr>
                <w:t>Jose.roldan@alu.uclm.es</w:t>
              </w:r>
            </w:hyperlink>
          </w:p>
        </w:tc>
      </w:tr>
    </w:tbl>
    <w:p w:rsidR="001333C8" w:rsidRDefault="001333C8" w:rsidP="001333C8">
      <w:pPr>
        <w:autoSpaceDE w:val="0"/>
        <w:autoSpaceDN w:val="0"/>
        <w:adjustRightInd w:val="0"/>
        <w:spacing w:after="0" w:line="240" w:lineRule="auto"/>
      </w:pPr>
    </w:p>
    <w:p w:rsidR="006D3E9E" w:rsidRDefault="006D3E9E" w:rsidP="001333C8">
      <w:pPr>
        <w:autoSpaceDE w:val="0"/>
        <w:autoSpaceDN w:val="0"/>
        <w:adjustRightInd w:val="0"/>
        <w:spacing w:after="0" w:line="240" w:lineRule="auto"/>
      </w:pPr>
      <w:r>
        <w:lastRenderedPageBreak/>
        <w:t>El cambio comenzaría cuando el responsable de la gestión de cambios, recibiera la petición de cambio, en este caso del tipo urgente. La petición podría tener la siguiente estructura:</w:t>
      </w:r>
    </w:p>
    <w:p w:rsidR="00504525" w:rsidRDefault="00504525" w:rsidP="001333C8">
      <w:pPr>
        <w:autoSpaceDE w:val="0"/>
        <w:autoSpaceDN w:val="0"/>
        <w:adjustRightInd w:val="0"/>
        <w:spacing w:after="0" w:line="240" w:lineRule="auto"/>
      </w:pPr>
    </w:p>
    <w:tbl>
      <w:tblPr>
        <w:tblStyle w:val="Tabladecuadrcula4-nfasis5"/>
        <w:tblW w:w="0" w:type="auto"/>
        <w:tblLook w:val="04A0" w:firstRow="1" w:lastRow="0" w:firstColumn="1" w:lastColumn="0" w:noHBand="0" w:noVBand="1"/>
      </w:tblPr>
      <w:tblGrid>
        <w:gridCol w:w="4066"/>
        <w:gridCol w:w="4066"/>
      </w:tblGrid>
      <w:tr w:rsidR="00E9064E" w:rsidTr="0094517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132" w:type="dxa"/>
            <w:gridSpan w:val="2"/>
          </w:tcPr>
          <w:p w:rsidR="00E9064E" w:rsidRDefault="00E9064E" w:rsidP="00E9064E">
            <w:pPr>
              <w:autoSpaceDE w:val="0"/>
              <w:autoSpaceDN w:val="0"/>
              <w:adjustRightInd w:val="0"/>
              <w:jc w:val="center"/>
            </w:pPr>
            <w:r>
              <w:t>PETICIÓN DE CAMBIO URGENTE</w:t>
            </w:r>
          </w:p>
        </w:tc>
      </w:tr>
      <w:tr w:rsidR="006D3E9E" w:rsidTr="0050452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Identificador</w:t>
            </w:r>
          </w:p>
        </w:tc>
        <w:tc>
          <w:tcPr>
            <w:tcW w:w="4066" w:type="dxa"/>
          </w:tcPr>
          <w:p w:rsidR="006D3E9E" w:rsidRDefault="00E9064E"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CAUR-0001</w:t>
            </w:r>
          </w:p>
        </w:tc>
      </w:tr>
      <w:tr w:rsidR="006D3E9E" w:rsidTr="00504525">
        <w:trPr>
          <w:trHeight w:val="504"/>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Servicio afectado</w:t>
            </w:r>
          </w:p>
        </w:tc>
        <w:tc>
          <w:tcPr>
            <w:tcW w:w="4066" w:type="dxa"/>
          </w:tcPr>
          <w:p w:rsidR="006D3E9E" w:rsidRDefault="00504525"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Monitorización del ruido en la zona afectada</w:t>
            </w:r>
          </w:p>
        </w:tc>
      </w:tr>
      <w:tr w:rsidR="006D3E9E" w:rsidTr="0050452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Incidencias</w:t>
            </w:r>
          </w:p>
        </w:tc>
        <w:tc>
          <w:tcPr>
            <w:tcW w:w="4066" w:type="dxa"/>
          </w:tcPr>
          <w:p w:rsidR="006D3E9E" w:rsidRDefault="00504525"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La columna de la conciencia no ilumina los led correctamente. </w:t>
            </w:r>
          </w:p>
        </w:tc>
      </w:tr>
      <w:tr w:rsidR="006D3E9E" w:rsidTr="00504525">
        <w:trPr>
          <w:trHeight w:val="1297"/>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Descripción del cambio</w:t>
            </w:r>
          </w:p>
        </w:tc>
        <w:tc>
          <w:tcPr>
            <w:tcW w:w="4066" w:type="dxa"/>
          </w:tcPr>
          <w:p w:rsidR="006D3E9E" w:rsidRDefault="00504525"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La columna ilumina los led de ruido muy alto en todo momento, independientemente del nivel de ruido que haya.</w:t>
            </w:r>
          </w:p>
        </w:tc>
      </w:tr>
      <w:tr w:rsidR="006D3E9E" w:rsidTr="0050452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Razones del cambio</w:t>
            </w:r>
          </w:p>
        </w:tc>
        <w:tc>
          <w:tcPr>
            <w:tcW w:w="4066" w:type="dxa"/>
          </w:tcPr>
          <w:p w:rsidR="006D3E9E" w:rsidRDefault="00504525"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La columna no está cumpliendo con su función.</w:t>
            </w:r>
          </w:p>
        </w:tc>
      </w:tr>
      <w:tr w:rsidR="006D3E9E" w:rsidTr="00504525">
        <w:trPr>
          <w:trHeight w:val="1282"/>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Consecuencias si no se pone en marcha</w:t>
            </w:r>
          </w:p>
        </w:tc>
        <w:tc>
          <w:tcPr>
            <w:tcW w:w="4066" w:type="dxa"/>
          </w:tcPr>
          <w:p w:rsidR="006D3E9E" w:rsidRDefault="00504525"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El cliente solicitara la baja en nuestro servicio, ya que no le está aportando ningún beneficio ni cumple con los requisitos necesarios. </w:t>
            </w:r>
          </w:p>
        </w:tc>
      </w:tr>
      <w:tr w:rsidR="006D3E9E" w:rsidTr="0050452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Solicitante</w:t>
            </w:r>
          </w:p>
        </w:tc>
        <w:tc>
          <w:tcPr>
            <w:tcW w:w="4066" w:type="dxa"/>
          </w:tcPr>
          <w:p w:rsidR="006D3E9E" w:rsidRDefault="00504525"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Paco Pérez</w:t>
            </w:r>
          </w:p>
        </w:tc>
      </w:tr>
      <w:tr w:rsidR="006D3E9E" w:rsidTr="00504525">
        <w:trPr>
          <w:trHeight w:val="245"/>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Prioridad</w:t>
            </w:r>
          </w:p>
        </w:tc>
        <w:tc>
          <w:tcPr>
            <w:tcW w:w="4066" w:type="dxa"/>
          </w:tcPr>
          <w:p w:rsidR="006D3E9E" w:rsidRDefault="00504525"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Inmediata</w:t>
            </w:r>
          </w:p>
        </w:tc>
      </w:tr>
      <w:tr w:rsidR="00CA1131" w:rsidTr="0050452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066" w:type="dxa"/>
          </w:tcPr>
          <w:p w:rsidR="00CA1131" w:rsidRDefault="00CA1131" w:rsidP="001333C8">
            <w:pPr>
              <w:autoSpaceDE w:val="0"/>
              <w:autoSpaceDN w:val="0"/>
              <w:adjustRightInd w:val="0"/>
            </w:pPr>
            <w:r>
              <w:t>Recursos necesarios</w:t>
            </w:r>
          </w:p>
        </w:tc>
        <w:tc>
          <w:tcPr>
            <w:tcW w:w="4066" w:type="dxa"/>
          </w:tcPr>
          <w:p w:rsidR="00CA1131" w:rsidRDefault="00CA1131"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Personal técnico cualificado que reconecte los LED adecuadamente.</w:t>
            </w:r>
          </w:p>
        </w:tc>
      </w:tr>
      <w:tr w:rsidR="006D3E9E" w:rsidTr="00504525">
        <w:trPr>
          <w:trHeight w:val="259"/>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Estimación del impacto</w:t>
            </w:r>
          </w:p>
        </w:tc>
        <w:tc>
          <w:tcPr>
            <w:tcW w:w="4066" w:type="dxa"/>
          </w:tcPr>
          <w:p w:rsidR="006D3E9E" w:rsidRDefault="00CA1131" w:rsidP="001333C8">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Importante</w:t>
            </w:r>
          </w:p>
        </w:tc>
      </w:tr>
      <w:tr w:rsidR="006D3E9E" w:rsidTr="0050452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066" w:type="dxa"/>
          </w:tcPr>
          <w:p w:rsidR="006D3E9E" w:rsidRDefault="006D3E9E" w:rsidP="001333C8">
            <w:pPr>
              <w:autoSpaceDE w:val="0"/>
              <w:autoSpaceDN w:val="0"/>
              <w:adjustRightInd w:val="0"/>
            </w:pPr>
            <w:r>
              <w:t>Posibilidades de marcha atrás</w:t>
            </w:r>
          </w:p>
        </w:tc>
        <w:tc>
          <w:tcPr>
            <w:tcW w:w="4066" w:type="dxa"/>
          </w:tcPr>
          <w:p w:rsidR="006D3E9E" w:rsidRDefault="00504525" w:rsidP="001333C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Como se dispone de un Plan de Vuelta Atrás, es posible realizar la marcha atrás. </w:t>
            </w:r>
          </w:p>
        </w:tc>
      </w:tr>
    </w:tbl>
    <w:p w:rsidR="006D3E9E" w:rsidRDefault="006D3E9E" w:rsidP="001333C8">
      <w:pPr>
        <w:autoSpaceDE w:val="0"/>
        <w:autoSpaceDN w:val="0"/>
        <w:adjustRightInd w:val="0"/>
        <w:spacing w:after="0" w:line="240" w:lineRule="auto"/>
      </w:pPr>
    </w:p>
    <w:p w:rsidR="006D3E9E" w:rsidRDefault="00CA1131" w:rsidP="001333C8">
      <w:pPr>
        <w:autoSpaceDE w:val="0"/>
        <w:autoSpaceDN w:val="0"/>
        <w:adjustRightInd w:val="0"/>
        <w:spacing w:after="0" w:line="240" w:lineRule="auto"/>
      </w:pPr>
      <w:r>
        <w:t>Una vez recibida esta petición, el responsable la registraría como petición urgente. Como el impacto del cambio es importante, se informaría al ECAB para autorizar dicho cambio.</w:t>
      </w:r>
    </w:p>
    <w:p w:rsidR="00CA1131" w:rsidRDefault="00CA1131" w:rsidP="001333C8">
      <w:pPr>
        <w:autoSpaceDE w:val="0"/>
        <w:autoSpaceDN w:val="0"/>
        <w:adjustRightInd w:val="0"/>
        <w:spacing w:after="0" w:line="240" w:lineRule="auto"/>
      </w:pPr>
      <w:r>
        <w:t>El ECAB recibiría dicha petición, y decidirían que hacer en función de:</w:t>
      </w:r>
    </w:p>
    <w:p w:rsidR="00CA1131" w:rsidRPr="00CA1131" w:rsidRDefault="00CA1131" w:rsidP="00CA1131">
      <w:pPr>
        <w:pStyle w:val="Prrafodelista"/>
        <w:numPr>
          <w:ilvl w:val="0"/>
          <w:numId w:val="6"/>
        </w:numPr>
      </w:pPr>
      <w:r w:rsidRPr="00CA1131">
        <w:t>Impacto sobre el servicio implicado.</w:t>
      </w:r>
    </w:p>
    <w:p w:rsidR="00CA1131" w:rsidRPr="00CA1131" w:rsidRDefault="00CA1131" w:rsidP="00CA1131">
      <w:pPr>
        <w:pStyle w:val="Prrafodelista"/>
        <w:numPr>
          <w:ilvl w:val="0"/>
          <w:numId w:val="6"/>
        </w:numPr>
      </w:pPr>
      <w:r w:rsidRPr="00CA1131">
        <w:t>Impacto sobre los otros servicios.</w:t>
      </w:r>
    </w:p>
    <w:p w:rsidR="00CA1131" w:rsidRPr="00CA1131" w:rsidRDefault="00CA1131" w:rsidP="00CA1131">
      <w:pPr>
        <w:pStyle w:val="Prrafodelista"/>
        <w:numPr>
          <w:ilvl w:val="0"/>
          <w:numId w:val="6"/>
        </w:numPr>
      </w:pPr>
      <w:r w:rsidRPr="00CA1131">
        <w:t>Impacto sobre las infraestructuras.</w:t>
      </w:r>
    </w:p>
    <w:p w:rsidR="00CA1131" w:rsidRPr="00CA1131" w:rsidRDefault="00CA1131" w:rsidP="00CA1131">
      <w:pPr>
        <w:pStyle w:val="Prrafodelista"/>
        <w:numPr>
          <w:ilvl w:val="0"/>
          <w:numId w:val="6"/>
        </w:numPr>
      </w:pPr>
      <w:r w:rsidRPr="00CA1131">
        <w:t>Consecuencias en caso de no llevarse a cabo.</w:t>
      </w:r>
    </w:p>
    <w:p w:rsidR="00CA1131" w:rsidRPr="00CA1131" w:rsidRDefault="00CA1131" w:rsidP="00CA1131">
      <w:pPr>
        <w:pStyle w:val="Prrafodelista"/>
        <w:numPr>
          <w:ilvl w:val="0"/>
          <w:numId w:val="6"/>
        </w:numPr>
      </w:pPr>
      <w:r w:rsidRPr="00CA1131">
        <w:t>Recursos necesarios para la puesta en marcha.</w:t>
      </w:r>
    </w:p>
    <w:p w:rsidR="00CA1131" w:rsidRDefault="00CA1131" w:rsidP="00CA1131">
      <w:pPr>
        <w:pStyle w:val="Prrafodelista"/>
        <w:numPr>
          <w:ilvl w:val="0"/>
          <w:numId w:val="6"/>
        </w:numPr>
      </w:pPr>
      <w:r w:rsidRPr="00CA1131">
        <w:t>Recursos adicionales necesarios si el cambio se pone en marcha.</w:t>
      </w:r>
    </w:p>
    <w:p w:rsidR="00CA1131" w:rsidRPr="001333C8" w:rsidRDefault="00CA1131" w:rsidP="00CA1131">
      <w:r>
        <w:t>En este caso, los recursos necesarios son muy pocos, y un técnico podría arreglar en un par de horas la incidencia. El impacto es el mayor posible, y por lo tanto es necesario que ese cambio se lleve a cabo y lo antes posible, por lo que el ECAB autorizaría el cambio. Una vez autorizado, se pasa a la fase de pruebas y evaluación para probar que el cambio se implementa correctamente. Al tratarse de un cambio urgente, es suficiente con tener el Plan de Vuelta Atrás documentado. El Plan de Pruebas se comprobaría solo si ya está</w:t>
      </w:r>
      <w:bookmarkStart w:id="0" w:name="_GoBack"/>
      <w:bookmarkEnd w:id="0"/>
      <w:r>
        <w:t xml:space="preserve"> definido previamente para ahorrar el máximo tiempo posible. De aquí, se pasaría a la coordinación para implementar el cambio. En este caso no hay que concienciar en exceso a los empleados ya que es un fallo de instalación final, no de diseño ni que afecte a la forma en la que están trabajando </w:t>
      </w:r>
      <w:r>
        <w:lastRenderedPageBreak/>
        <w:t xml:space="preserve">actualmente. Simplemente se contactaría con el técnico y se le pediría que solucionara la incidencia. </w:t>
      </w:r>
    </w:p>
    <w:p w:rsidR="00256523" w:rsidRDefault="004912DB" w:rsidP="00256523">
      <w:pPr>
        <w:pStyle w:val="Ttulo2"/>
        <w:rPr>
          <w:shd w:val="clear" w:color="auto" w:fill="FFFFFF"/>
        </w:rPr>
      </w:pPr>
      <w:r>
        <w:rPr>
          <w:shd w:val="clear" w:color="auto" w:fill="FFFFFF"/>
        </w:rPr>
        <w:t>Gestión</w:t>
      </w:r>
      <w:r w:rsidR="00256523">
        <w:rPr>
          <w:shd w:val="clear" w:color="auto" w:fill="FFFFFF"/>
        </w:rPr>
        <w:t xml:space="preserve"> de </w:t>
      </w:r>
      <w:r w:rsidR="00AE55AB">
        <w:rPr>
          <w:shd w:val="clear" w:color="auto" w:fill="FFFFFF"/>
        </w:rPr>
        <w:t>validaciones y pruebas</w:t>
      </w:r>
    </w:p>
    <w:p w:rsidR="00BD55DA" w:rsidRPr="00BD55DA" w:rsidRDefault="00BD55DA" w:rsidP="00BD55DA">
      <w:pPr>
        <w:autoSpaceDE w:val="0"/>
        <w:autoSpaceDN w:val="0"/>
        <w:adjustRightInd w:val="0"/>
        <w:spacing w:after="0" w:line="240" w:lineRule="auto"/>
      </w:pPr>
      <w:r w:rsidRPr="00BD55DA">
        <w:t>Este proceso contribuye a la puesta en marcha de una estrategia de calidad.</w:t>
      </w:r>
    </w:p>
    <w:p w:rsidR="004912DB" w:rsidRDefault="00BD55DA" w:rsidP="00BD55DA">
      <w:pPr>
        <w:autoSpaceDE w:val="0"/>
        <w:autoSpaceDN w:val="0"/>
        <w:adjustRightInd w:val="0"/>
        <w:spacing w:after="0" w:line="240" w:lineRule="auto"/>
      </w:pPr>
      <w:r w:rsidRPr="00BD55DA">
        <w:t>Esta estrategia de calidad permite entregar un servicio nuevo o modificado, a través de las</w:t>
      </w:r>
      <w:r>
        <w:t xml:space="preserve"> </w:t>
      </w:r>
      <w:r w:rsidRPr="00BD55DA">
        <w:t>fases de diseño y entrada en producción, correspondiente a las necesidades y al uso</w:t>
      </w:r>
      <w:r>
        <w:t xml:space="preserve"> </w:t>
      </w:r>
      <w:r w:rsidRPr="00BD55DA">
        <w:t>esperado.</w:t>
      </w:r>
    </w:p>
    <w:p w:rsidR="00BD55DA" w:rsidRPr="004912DB" w:rsidRDefault="00BD55DA" w:rsidP="00BD55DA">
      <w:pPr>
        <w:autoSpaceDE w:val="0"/>
        <w:autoSpaceDN w:val="0"/>
        <w:adjustRightInd w:val="0"/>
        <w:spacing w:after="0" w:line="240" w:lineRule="auto"/>
      </w:pPr>
      <w:r>
        <w:t>En nuestro caso, hemos definido un Plan de Pruebas Funcionales para el servicio.</w:t>
      </w:r>
    </w:p>
    <w:sectPr w:rsidR="00BD55DA" w:rsidRPr="004912DB" w:rsidSect="008E43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3C3D"/>
    <w:multiLevelType w:val="hybridMultilevel"/>
    <w:tmpl w:val="61C2E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A93293"/>
    <w:multiLevelType w:val="hybridMultilevel"/>
    <w:tmpl w:val="ECA29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AC4100"/>
    <w:multiLevelType w:val="hybridMultilevel"/>
    <w:tmpl w:val="D55CB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B037C3"/>
    <w:multiLevelType w:val="multilevel"/>
    <w:tmpl w:val="D7268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7D3CC8"/>
    <w:multiLevelType w:val="hybridMultilevel"/>
    <w:tmpl w:val="17BAB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A00C67"/>
    <w:multiLevelType w:val="multilevel"/>
    <w:tmpl w:val="09928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B4"/>
    <w:rsid w:val="000046EB"/>
    <w:rsid w:val="000A5A7A"/>
    <w:rsid w:val="001333C8"/>
    <w:rsid w:val="00155788"/>
    <w:rsid w:val="001D2543"/>
    <w:rsid w:val="00256523"/>
    <w:rsid w:val="00262C83"/>
    <w:rsid w:val="00303EFF"/>
    <w:rsid w:val="00343B18"/>
    <w:rsid w:val="00346BB4"/>
    <w:rsid w:val="003573E3"/>
    <w:rsid w:val="004912DB"/>
    <w:rsid w:val="00496E8D"/>
    <w:rsid w:val="004E464B"/>
    <w:rsid w:val="004F3C44"/>
    <w:rsid w:val="00504525"/>
    <w:rsid w:val="00680E30"/>
    <w:rsid w:val="00690A62"/>
    <w:rsid w:val="006B286E"/>
    <w:rsid w:val="006B5CB4"/>
    <w:rsid w:val="006D2009"/>
    <w:rsid w:val="006D3E9E"/>
    <w:rsid w:val="006E3DE9"/>
    <w:rsid w:val="007C322E"/>
    <w:rsid w:val="00850B18"/>
    <w:rsid w:val="008E43D4"/>
    <w:rsid w:val="009227D0"/>
    <w:rsid w:val="00A61B87"/>
    <w:rsid w:val="00A71B83"/>
    <w:rsid w:val="00AE55AB"/>
    <w:rsid w:val="00BD55DA"/>
    <w:rsid w:val="00BF4496"/>
    <w:rsid w:val="00CA1131"/>
    <w:rsid w:val="00D0288E"/>
    <w:rsid w:val="00E906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92CDF-03BC-4709-9D80-A92BA040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5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0A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CB4"/>
    <w:pPr>
      <w:ind w:left="720"/>
      <w:contextualSpacing/>
    </w:pPr>
  </w:style>
  <w:style w:type="character" w:customStyle="1" w:styleId="Ttulo1Car">
    <w:name w:val="Título 1 Car"/>
    <w:basedOn w:val="Fuentedeprrafopredeter"/>
    <w:link w:val="Ttulo1"/>
    <w:uiPriority w:val="9"/>
    <w:rsid w:val="006B5CB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5C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90A62"/>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690A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690A62"/>
    <w:rPr>
      <w:b/>
      <w:bCs/>
    </w:rPr>
  </w:style>
  <w:style w:type="table" w:styleId="Tablaconcuadrcula">
    <w:name w:val="Table Grid"/>
    <w:basedOn w:val="Tablanormal"/>
    <w:uiPriority w:val="39"/>
    <w:rsid w:val="004F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6BB4"/>
    <w:rPr>
      <w:color w:val="0563C1" w:themeColor="hyperlink"/>
      <w:u w:val="single"/>
    </w:rPr>
  </w:style>
  <w:style w:type="table" w:styleId="Tabladecuadrcula5oscura-nfasis2">
    <w:name w:val="Grid Table 5 Dark Accent 2"/>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
    <w:name w:val="Grid Table 5 Dark"/>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2">
    <w:name w:val="Grid Table 4 Accent 2"/>
    <w:basedOn w:val="Tablanormal"/>
    <w:uiPriority w:val="49"/>
    <w:rsid w:val="003573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link w:val="SinespaciadoCar"/>
    <w:uiPriority w:val="1"/>
    <w:qFormat/>
    <w:rsid w:val="008E43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43D4"/>
    <w:rPr>
      <w:rFonts w:eastAsiaTheme="minorEastAsia"/>
      <w:lang w:eastAsia="es-ES"/>
    </w:rPr>
  </w:style>
  <w:style w:type="table" w:styleId="Tabladecuadrcula4-nfasis5">
    <w:name w:val="Grid Table 4 Accent 5"/>
    <w:basedOn w:val="Tablanormal"/>
    <w:uiPriority w:val="49"/>
    <w:rsid w:val="001333C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normal5">
    <w:name w:val="Plain Table 5"/>
    <w:basedOn w:val="Tablanormal"/>
    <w:uiPriority w:val="45"/>
    <w:rsid w:val="006D3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842021">
      <w:bodyDiv w:val="1"/>
      <w:marLeft w:val="0"/>
      <w:marRight w:val="0"/>
      <w:marTop w:val="0"/>
      <w:marBottom w:val="0"/>
      <w:divBdr>
        <w:top w:val="none" w:sz="0" w:space="0" w:color="auto"/>
        <w:left w:val="none" w:sz="0" w:space="0" w:color="auto"/>
        <w:bottom w:val="none" w:sz="0" w:space="0" w:color="auto"/>
        <w:right w:val="none" w:sz="0" w:space="0" w:color="auto"/>
      </w:divBdr>
    </w:div>
    <w:div w:id="1322388324">
      <w:bodyDiv w:val="1"/>
      <w:marLeft w:val="0"/>
      <w:marRight w:val="0"/>
      <w:marTop w:val="0"/>
      <w:marBottom w:val="0"/>
      <w:divBdr>
        <w:top w:val="none" w:sz="0" w:space="0" w:color="auto"/>
        <w:left w:val="none" w:sz="0" w:space="0" w:color="auto"/>
        <w:bottom w:val="none" w:sz="0" w:space="0" w:color="auto"/>
        <w:right w:val="none" w:sz="0" w:space="0" w:color="auto"/>
      </w:divBdr>
    </w:div>
    <w:div w:id="17485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ose.roldan@alu.uclm.es" TargetMode="External"/><Relationship Id="rId4" Type="http://schemas.openxmlformats.org/officeDocument/2006/relationships/styles" Target="styles.xml"/><Relationship Id="rId9" Type="http://schemas.openxmlformats.org/officeDocument/2006/relationships/hyperlink" Target="mailto:Jose.riaza@alu.uclm.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B76ACB2DBD40C6A1238E65A5D45741"/>
        <w:category>
          <w:name w:val="General"/>
          <w:gallery w:val="placeholder"/>
        </w:category>
        <w:types>
          <w:type w:val="bbPlcHdr"/>
        </w:types>
        <w:behaviors>
          <w:behavior w:val="content"/>
        </w:behaviors>
        <w:guid w:val="{C21C7F79-4D4E-411C-A2F1-0E20A4E22BC6}"/>
      </w:docPartPr>
      <w:docPartBody>
        <w:p w:rsidR="00D06ADA" w:rsidRDefault="00606B9C" w:rsidP="00606B9C">
          <w:pPr>
            <w:pStyle w:val="A2B76ACB2DBD40C6A1238E65A5D45741"/>
          </w:pPr>
          <w:r>
            <w:rPr>
              <w:rFonts w:asciiTheme="majorHAnsi" w:eastAsiaTheme="majorEastAsia" w:hAnsiTheme="majorHAnsi" w:cstheme="majorBidi"/>
              <w:caps/>
              <w:color w:val="5B9BD5" w:themeColor="accent1"/>
              <w:sz w:val="80"/>
              <w:szCs w:val="80"/>
            </w:rPr>
            <w:t>[Título del documento]</w:t>
          </w:r>
        </w:p>
      </w:docPartBody>
    </w:docPart>
    <w:docPart>
      <w:docPartPr>
        <w:name w:val="C568C84F87F24F138F98BDFEB8358BEC"/>
        <w:category>
          <w:name w:val="General"/>
          <w:gallery w:val="placeholder"/>
        </w:category>
        <w:types>
          <w:type w:val="bbPlcHdr"/>
        </w:types>
        <w:behaviors>
          <w:behavior w:val="content"/>
        </w:behaviors>
        <w:guid w:val="{960B3B74-216C-49F2-9664-2618CC2A1533}"/>
      </w:docPartPr>
      <w:docPartBody>
        <w:p w:rsidR="00D06ADA" w:rsidRDefault="00606B9C" w:rsidP="00606B9C">
          <w:pPr>
            <w:pStyle w:val="C568C84F87F24F138F98BDFEB8358BEC"/>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9C"/>
    <w:rsid w:val="00606B9C"/>
    <w:rsid w:val="00C40EF9"/>
    <w:rsid w:val="00D06ADA"/>
    <w:rsid w:val="00E14D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B76ACB2DBD40C6A1238E65A5D45741">
    <w:name w:val="A2B76ACB2DBD40C6A1238E65A5D45741"/>
    <w:rsid w:val="00606B9C"/>
  </w:style>
  <w:style w:type="paragraph" w:customStyle="1" w:styleId="C568C84F87F24F138F98BDFEB8358BEC">
    <w:name w:val="C568C84F87F24F138F98BDFEB8358BEC"/>
    <w:rsid w:val="00606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de mayo de 2018</PublishDate>
  <Abstract/>
  <CompanyAddress>Cristian Cuerda, Jose Riaza y Jose Roldan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3C8DE-8288-45E5-B95D-D577FD28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Fase de diseño del servicio</vt:lpstr>
    </vt:vector>
  </TitlesOfParts>
  <Company>GOODSOUND</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transición</dc:title>
  <dc:subject>ITIL</dc:subject>
  <dc:creator>cristian cuerda gonzalez</dc:creator>
  <cp:keywords/>
  <dc:description/>
  <cp:lastModifiedBy>cristian cuerda gonzalez</cp:lastModifiedBy>
  <cp:revision>11</cp:revision>
  <dcterms:created xsi:type="dcterms:W3CDTF">2018-05-21T11:05:00Z</dcterms:created>
  <dcterms:modified xsi:type="dcterms:W3CDTF">2018-05-21T11:42:00Z</dcterms:modified>
</cp:coreProperties>
</file>