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Fill the Kubernetes OSS Application</w:t>
        <w:br/>
        <w:t>Architecture Onboarding Checklist</w:t>
      </w:r>
    </w:p>
    <w:p>
      <w:pPr>
        <w:jc w:val="center"/>
      </w:pPr>
      <w:r>
        <w:rPr>
          <w:b/>
          <w:sz w:val="24"/>
        </w:rPr>
        <w:t>Guide for Project Architects / Architecture Review</w:t>
      </w:r>
    </w:p>
    <w:p>
      <w:pPr>
        <w:jc w:val="center"/>
      </w:pPr>
      <w:r>
        <w:rPr>
          <w:i/>
        </w:rPr>
        <w:t>Redis • PostgreSQL • Elastic Stack • MongoDB • RabbitMQ</w:t>
      </w:r>
    </w:p>
    <w:p>
      <w:pPr>
        <w:pStyle w:val="Heading1"/>
      </w:pPr>
      <w:r>
        <w:t>Purpose</w:t>
      </w:r>
    </w:p>
    <w:p>
      <w:r>
        <w:t>This guide explains how the Project Architect should complete the architecture onboarding checklist before the platform team creates the Bitnami Helm values and deploys the application to Rancher Kubernetes or OpenShift Kubernetes.</w:t>
      </w:r>
    </w:p>
    <w:p>
      <w:pPr>
        <w:pStyle w:val="Heading1"/>
      </w:pPr>
      <w:r>
        <w:t>1. What the checklist is for</w:t>
      </w:r>
    </w:p>
    <w:p>
      <w:pPr>
        <w:pStyle w:val="ListBullet"/>
        <w:spacing w:after="40"/>
      </w:pPr>
      <w:r>
        <w:t>Record the intended architecture and design choices, not implementation tasks.</w:t>
      </w:r>
    </w:p>
    <w:p>
      <w:pPr>
        <w:pStyle w:val="ListBullet"/>
        <w:spacing w:after="40"/>
      </w:pPr>
      <w:r>
        <w:t>Make HA, storage, security, backup, networking, monitoring, and operational expectations explicit.</w:t>
      </w:r>
    </w:p>
    <w:p>
      <w:pPr>
        <w:pStyle w:val="ListBullet"/>
        <w:spacing w:after="40"/>
      </w:pPr>
      <w:r>
        <w:t>Identify deviations from the platform baseline as formal Exceptions rather than silently weakening a requirement.</w:t>
      </w:r>
    </w:p>
    <w:p>
      <w:pPr>
        <w:pStyle w:val="ListBullet"/>
        <w:spacing w:after="40"/>
      </w:pPr>
      <w:r>
        <w:t>Give the platform team enough information to translate the approved architecture into Helm values and Kubernetes resources.</w:t>
      </w:r>
    </w:p>
    <w:p>
      <w:pPr>
        <w:pStyle w:val="SmallNote"/>
      </w:pPr>
      <w:r>
        <w:t>Important: the architect is specifying the required outcome and design; the platform team decides the exact Helm/Kubernetes implementation unless a project-specific technical decision explicitly says otherwise.</w:t>
      </w:r>
    </w:p>
    <w:p>
      <w:pPr>
        <w:pStyle w:val="Heading1"/>
      </w:pPr>
      <w:r>
        <w:t>2. How to read and fill the five columns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D9EAF7"/>
            <w:tcMar>
              <w:top w:w="80" w:type="dxa"/>
              <w:start w:w="80" w:type="dxa"/>
              <w:bottom w:w="80" w:type="dxa"/>
              <w:end w:w="80" w:type="dxa"/>
            </w:tcMar>
            <w:vAlign w:val="top"/>
          </w:tcPr>
          <w:p>
            <w:r>
              <w:rPr>
                <w:b/>
                <w:sz w:val="18"/>
              </w:rPr>
              <w:t>Column</w:t>
            </w:r>
          </w:p>
        </w:tc>
        <w:tc>
          <w:tcPr>
            <w:tcW w:type="dxa" w:w="2592"/>
            <w:shd w:fill="D9EAF7"/>
            <w:tcMar>
              <w:top w:w="80" w:type="dxa"/>
              <w:start w:w="80" w:type="dxa"/>
              <w:bottom w:w="80" w:type="dxa"/>
              <w:end w:w="80" w:type="dxa"/>
            </w:tcMar>
            <w:vAlign w:val="top"/>
          </w:tcPr>
          <w:p>
            <w:r>
              <w:rPr>
                <w:b/>
                <w:sz w:val="18"/>
              </w:rPr>
              <w:t>What to enter</w:t>
            </w:r>
          </w:p>
        </w:tc>
        <w:tc>
          <w:tcPr>
            <w:tcW w:type="dxa" w:w="2592"/>
            <w:shd w:fill="D9EAF7"/>
            <w:tcMar>
              <w:top w:w="80" w:type="dxa"/>
              <w:start w:w="80" w:type="dxa"/>
              <w:bottom w:w="80" w:type="dxa"/>
              <w:end w:w="80" w:type="dxa"/>
            </w:tcMar>
            <w:vAlign w:val="top"/>
          </w:tcPr>
          <w:p>
            <w:r>
              <w:rPr>
                <w:b/>
                <w:sz w:val="18"/>
              </w:rPr>
              <w:t>Good example</w:t>
            </w:r>
          </w:p>
        </w:tc>
        <w:tc>
          <w:tcPr>
            <w:tcW w:type="dxa" w:w="2592"/>
            <w:shd w:fill="D9EAF7"/>
            <w:tcMar>
              <w:top w:w="80" w:type="dxa"/>
              <w:start w:w="80" w:type="dxa"/>
              <w:bottom w:w="80" w:type="dxa"/>
              <w:end w:w="80" w:type="dxa"/>
            </w:tcMar>
            <w:vAlign w:val="top"/>
          </w:tcPr>
          <w:p>
            <w:r>
              <w:rPr>
                <w:b/>
                <w:sz w:val="18"/>
              </w:rPr>
              <w:t>Avoid</w:t>
            </w:r>
          </w:p>
        </w:tc>
      </w:tr>
      <w:tr>
        <w:tc>
          <w:tcPr>
            <w:tcW w:type="dxa" w:w="2592"/>
            <w:vAlign w:val="top"/>
            <w:tcMar>
              <w:top w:w="80" w:type="dxa"/>
              <w:start w:w="80" w:type="dxa"/>
              <w:bottom w:w="80" w:type="dxa"/>
              <w:end w:w="80" w:type="dxa"/>
            </w:tcMar>
          </w:tcPr>
          <w:p>
            <w:r>
              <w:rPr>
                <w:sz w:val="17"/>
              </w:rPr>
              <w:t>ID</w:t>
            </w:r>
          </w:p>
        </w:tc>
        <w:tc>
          <w:tcPr>
            <w:tcW w:type="dxa" w:w="2592"/>
            <w:vAlign w:val="top"/>
            <w:tcMar>
              <w:top w:w="80" w:type="dxa"/>
              <w:start w:w="80" w:type="dxa"/>
              <w:bottom w:w="80" w:type="dxa"/>
              <w:end w:w="80" w:type="dxa"/>
            </w:tcMar>
          </w:tcPr>
          <w:p>
            <w:r>
              <w:rPr>
                <w:sz w:val="17"/>
              </w:rPr>
              <w:t>Use the existing requirement number.</w:t>
            </w:r>
          </w:p>
        </w:tc>
        <w:tc>
          <w:tcPr>
            <w:tcW w:type="dxa" w:w="2592"/>
            <w:vAlign w:val="top"/>
            <w:tcMar>
              <w:top w:w="80" w:type="dxa"/>
              <w:start w:w="80" w:type="dxa"/>
              <w:bottom w:w="80" w:type="dxa"/>
              <w:end w:w="80" w:type="dxa"/>
            </w:tcMar>
          </w:tcPr>
          <w:p>
            <w:r>
              <w:rPr>
                <w:sz w:val="17"/>
              </w:rPr>
              <w:t>16.1</w:t>
            </w:r>
          </w:p>
        </w:tc>
        <w:tc>
          <w:tcPr>
            <w:tcW w:type="dxa" w:w="2592"/>
            <w:vAlign w:val="top"/>
            <w:tcMar>
              <w:top w:w="80" w:type="dxa"/>
              <w:start w:w="80" w:type="dxa"/>
              <w:bottom w:w="80" w:type="dxa"/>
              <w:end w:w="80" w:type="dxa"/>
            </w:tcMar>
          </w:tcPr>
          <w:p>
            <w:r>
              <w:rPr>
                <w:sz w:val="17"/>
              </w:rPr>
              <w:t>Renumbering or deleting requirements.</w:t>
            </w:r>
          </w:p>
        </w:tc>
      </w:tr>
      <w:tr>
        <w:tc>
          <w:tcPr>
            <w:tcW w:type="dxa" w:w="2592"/>
            <w:vAlign w:val="top"/>
            <w:tcMar>
              <w:top w:w="80" w:type="dxa"/>
              <w:start w:w="80" w:type="dxa"/>
              <w:bottom w:w="80" w:type="dxa"/>
              <w:end w:w="80" w:type="dxa"/>
            </w:tcMar>
          </w:tcPr>
          <w:p>
            <w:r>
              <w:rPr>
                <w:sz w:val="17"/>
              </w:rPr>
              <w:t>Requirement &amp; Architectural Guardrail</w:t>
            </w:r>
          </w:p>
        </w:tc>
        <w:tc>
          <w:tcPr>
            <w:tcW w:type="dxa" w:w="2592"/>
            <w:vAlign w:val="top"/>
            <w:tcMar>
              <w:top w:w="80" w:type="dxa"/>
              <w:start w:w="80" w:type="dxa"/>
              <w:bottom w:w="80" w:type="dxa"/>
              <w:end w:w="80" w:type="dxa"/>
            </w:tcMar>
          </w:tcPr>
          <w:p>
            <w:r>
              <w:rPr>
                <w:sz w:val="17"/>
              </w:rPr>
              <w:t>Read this as the baseline that the architecture must satisfy. Do not rewrite it unless the requirement itself is being clarified through formal review.</w:t>
            </w:r>
          </w:p>
        </w:tc>
        <w:tc>
          <w:tcPr>
            <w:tcW w:type="dxa" w:w="2592"/>
            <w:vAlign w:val="top"/>
            <w:tcMar>
              <w:top w:w="80" w:type="dxa"/>
              <w:start w:w="80" w:type="dxa"/>
              <w:bottom w:w="80" w:type="dxa"/>
              <w:end w:w="80" w:type="dxa"/>
            </w:tcMar>
          </w:tcPr>
          <w:p>
            <w:r>
              <w:rPr>
                <w:sz w:val="17"/>
              </w:rPr>
              <w:t>“Production baseline: 3 full data-bearing MongoDB voting members.”</w:t>
            </w:r>
          </w:p>
        </w:tc>
        <w:tc>
          <w:tcPr>
            <w:tcW w:type="dxa" w:w="2592"/>
            <w:vAlign w:val="top"/>
            <w:tcMar>
              <w:top w:w="80" w:type="dxa"/>
              <w:start w:w="80" w:type="dxa"/>
              <w:bottom w:w="80" w:type="dxa"/>
              <w:end w:w="80" w:type="dxa"/>
            </w:tcMar>
          </w:tcPr>
          <w:p>
            <w:r>
              <w:rPr>
                <w:sz w:val="17"/>
              </w:rPr>
              <w:t>Treating the guardrail as optional without recording an Exception.</w:t>
            </w:r>
          </w:p>
        </w:tc>
      </w:tr>
      <w:tr>
        <w:tc>
          <w:tcPr>
            <w:tcW w:type="dxa" w:w="2592"/>
            <w:vAlign w:val="top"/>
            <w:tcMar>
              <w:top w:w="80" w:type="dxa"/>
              <w:start w:w="80" w:type="dxa"/>
              <w:bottom w:w="80" w:type="dxa"/>
              <w:end w:w="80" w:type="dxa"/>
            </w:tcMar>
          </w:tcPr>
          <w:p>
            <w:r>
              <w:rPr>
                <w:sz w:val="17"/>
              </w:rPr>
              <w:t>Project Architecture Specification / Design Choice</w:t>
            </w:r>
          </w:p>
        </w:tc>
        <w:tc>
          <w:tcPr>
            <w:tcW w:type="dxa" w:w="2592"/>
            <w:vAlign w:val="top"/>
            <w:tcMar>
              <w:top w:w="80" w:type="dxa"/>
              <w:start w:w="80" w:type="dxa"/>
              <w:bottom w:w="80" w:type="dxa"/>
              <w:end w:w="80" w:type="dxa"/>
            </w:tcMar>
          </w:tcPr>
          <w:p>
            <w:r>
              <w:rPr>
                <w:sz w:val="17"/>
              </w:rPr>
              <w:t>Describe what this project will actually deploy: topology, count, size, storage, exposure, RPO/RTO, security choice, dependencies, etc. Use concrete values where known.</w:t>
            </w:r>
          </w:p>
        </w:tc>
        <w:tc>
          <w:tcPr>
            <w:tcW w:type="dxa" w:w="2592"/>
            <w:vAlign w:val="top"/>
            <w:tcMar>
              <w:top w:w="80" w:type="dxa"/>
              <w:start w:w="80" w:type="dxa"/>
              <w:bottom w:w="80" w:type="dxa"/>
              <w:end w:w="80" w:type="dxa"/>
            </w:tcMar>
          </w:tcPr>
          <w:p>
            <w:r>
              <w:rPr>
                <w:sz w:val="17"/>
              </w:rPr>
              <w:t>“3-node MongoDB PSS; 200 GB PVC/node; w:majority; internal ClusterIP.”</w:t>
            </w:r>
          </w:p>
        </w:tc>
        <w:tc>
          <w:tcPr>
            <w:tcW w:type="dxa" w:w="2592"/>
            <w:vAlign w:val="top"/>
            <w:tcMar>
              <w:top w:w="80" w:type="dxa"/>
              <w:start w:w="80" w:type="dxa"/>
              <w:bottom w:w="80" w:type="dxa"/>
              <w:end w:w="80" w:type="dxa"/>
            </w:tcMar>
          </w:tcPr>
          <w:p>
            <w:r>
              <w:rPr>
                <w:sz w:val="17"/>
              </w:rPr>
              <w:t>“High availability” or “large enough” without measurable values.</w:t>
            </w:r>
          </w:p>
        </w:tc>
      </w:tr>
      <w:tr>
        <w:tc>
          <w:tcPr>
            <w:tcW w:type="dxa" w:w="2592"/>
            <w:vAlign w:val="top"/>
            <w:tcMar>
              <w:top w:w="80" w:type="dxa"/>
              <w:start w:w="80" w:type="dxa"/>
              <w:bottom w:w="80" w:type="dxa"/>
              <w:end w:w="80" w:type="dxa"/>
            </w:tcMar>
          </w:tcPr>
          <w:p>
            <w:r>
              <w:rPr>
                <w:sz w:val="17"/>
              </w:rPr>
              <w:t>Compliance Status</w:t>
            </w:r>
          </w:p>
        </w:tc>
        <w:tc>
          <w:tcPr>
            <w:tcW w:type="dxa" w:w="2592"/>
            <w:vAlign w:val="top"/>
            <w:tcMar>
              <w:top w:w="80" w:type="dxa"/>
              <w:start w:w="80" w:type="dxa"/>
              <w:bottom w:w="80" w:type="dxa"/>
              <w:end w:w="80" w:type="dxa"/>
            </w:tcMar>
          </w:tcPr>
          <w:p>
            <w:r>
              <w:rPr>
                <w:sz w:val="17"/>
              </w:rPr>
              <w:t>Select exactly one: Compliant, Exception, or N/A. See the decision rules below.</w:t>
            </w:r>
          </w:p>
        </w:tc>
        <w:tc>
          <w:tcPr>
            <w:tcW w:type="dxa" w:w="2592"/>
            <w:vAlign w:val="top"/>
            <w:tcMar>
              <w:top w:w="80" w:type="dxa"/>
              <w:start w:w="80" w:type="dxa"/>
              <w:bottom w:w="80" w:type="dxa"/>
              <w:end w:w="80" w:type="dxa"/>
            </w:tcMar>
          </w:tcPr>
          <w:p>
            <w:r>
              <w:rPr>
                <w:sz w:val="17"/>
              </w:rPr>
              <w:t>“Compliant” because the design directly satisfies the stated baseline.</w:t>
            </w:r>
          </w:p>
        </w:tc>
        <w:tc>
          <w:tcPr>
            <w:tcW w:type="dxa" w:w="2592"/>
            <w:vAlign w:val="top"/>
            <w:tcMar>
              <w:top w:w="80" w:type="dxa"/>
              <w:start w:w="80" w:type="dxa"/>
              <w:bottom w:w="80" w:type="dxa"/>
              <w:end w:w="80" w:type="dxa"/>
            </w:tcMar>
          </w:tcPr>
          <w:p>
            <w:r>
              <w:rPr>
                <w:sz w:val="17"/>
              </w:rPr>
              <w:t>Using N/A to avoid a requirement or using Exception without documenting why.</w:t>
            </w:r>
          </w:p>
        </w:tc>
      </w:tr>
      <w:tr>
        <w:tc>
          <w:tcPr>
            <w:tcW w:type="dxa" w:w="2592"/>
            <w:vAlign w:val="top"/>
            <w:tcMar>
              <w:top w:w="80" w:type="dxa"/>
              <w:start w:w="80" w:type="dxa"/>
              <w:bottom w:w="80" w:type="dxa"/>
              <w:end w:w="80" w:type="dxa"/>
            </w:tcMar>
          </w:tcPr>
          <w:p>
            <w:r>
              <w:rPr>
                <w:sz w:val="17"/>
              </w:rPr>
              <w:t>Architectural Rationale / Notes</w:t>
            </w:r>
          </w:p>
        </w:tc>
        <w:tc>
          <w:tcPr>
            <w:tcW w:type="dxa" w:w="2592"/>
            <w:vAlign w:val="top"/>
            <w:tcMar>
              <w:top w:w="80" w:type="dxa"/>
              <w:start w:w="80" w:type="dxa"/>
              <w:bottom w:w="80" w:type="dxa"/>
              <w:end w:w="80" w:type="dxa"/>
            </w:tcMar>
          </w:tcPr>
          <w:p>
            <w:r>
              <w:rPr>
                <w:sz w:val="17"/>
              </w:rPr>
              <w:t>Explain why the selected design is appropriate and record assumptions, risks, compensating controls, or the reason for an Exception/N/A.</w:t>
            </w:r>
          </w:p>
        </w:tc>
        <w:tc>
          <w:tcPr>
            <w:tcW w:type="dxa" w:w="2592"/>
            <w:vAlign w:val="top"/>
            <w:tcMar>
              <w:top w:w="80" w:type="dxa"/>
              <w:start w:w="80" w:type="dxa"/>
              <w:bottom w:w="80" w:type="dxa"/>
              <w:end w:w="80" w:type="dxa"/>
            </w:tcMar>
          </w:tcPr>
          <w:p>
            <w:r>
              <w:rPr>
                <w:sz w:val="17"/>
              </w:rPr>
              <w:t>“Storage footprint = 3 × 200 × 3 = 1.8 TB raw before overhead; ODF capacity must be reserved accordingly.”</w:t>
            </w:r>
          </w:p>
        </w:tc>
        <w:tc>
          <w:tcPr>
            <w:tcW w:type="dxa" w:w="2592"/>
            <w:vAlign w:val="top"/>
            <w:tcMar>
              <w:top w:w="80" w:type="dxa"/>
              <w:start w:w="80" w:type="dxa"/>
              <w:bottom w:w="80" w:type="dxa"/>
              <w:end w:w="80" w:type="dxa"/>
            </w:tcMar>
          </w:tcPr>
          <w:p>
            <w:r>
              <w:rPr>
                <w:sz w:val="17"/>
              </w:rPr>
              <w:t>Repeating the Design Choice without explaining impact or risk.</w:t>
            </w:r>
          </w:p>
        </w:tc>
      </w:tr>
    </w:tbl>
    <w:p>
      <w:pPr>
        <w:pStyle w:val="Heading1"/>
      </w:pPr>
      <w:r>
        <w:t>3. Compliance status: Compliant vs. Exception vs. N/A</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vAlign w:val="top"/>
          </w:tcPr>
          <w:p>
            <w:r>
              <w:rPr>
                <w:b/>
              </w:rPr>
              <w:t>Status</w:t>
            </w:r>
          </w:p>
        </w:tc>
        <w:tc>
          <w:tcPr>
            <w:tcW w:type="dxa" w:w="3456"/>
            <w:shd w:fill="D9EAF7"/>
            <w:vAlign w:val="top"/>
          </w:tcPr>
          <w:p>
            <w:r>
              <w:rPr>
                <w:b/>
              </w:rPr>
              <w:t>Use it when...</w:t>
            </w:r>
          </w:p>
        </w:tc>
        <w:tc>
          <w:tcPr>
            <w:tcW w:type="dxa" w:w="3456"/>
            <w:shd w:fill="D9EAF7"/>
            <w:vAlign w:val="top"/>
          </w:tcPr>
          <w:p>
            <w:r>
              <w:rPr>
                <w:b/>
              </w:rPr>
              <w:t>Example</w:t>
            </w:r>
          </w:p>
        </w:tc>
      </w:tr>
      <w:tr>
        <w:tc>
          <w:tcPr>
            <w:tcW w:type="dxa" w:w="3456"/>
            <w:tcMar>
              <w:top w:w="80" w:type="dxa"/>
              <w:start w:w="80" w:type="dxa"/>
              <w:bottom w:w="80" w:type="dxa"/>
              <w:end w:w="80" w:type="dxa"/>
            </w:tcMar>
            <w:vAlign w:val="top"/>
          </w:tcPr>
          <w:p>
            <w:r>
              <w:rPr>
                <w:sz w:val="18"/>
              </w:rPr>
              <w:t>Compliant</w:t>
            </w:r>
          </w:p>
        </w:tc>
        <w:tc>
          <w:tcPr>
            <w:tcW w:type="dxa" w:w="3456"/>
            <w:tcMar>
              <w:top w:w="80" w:type="dxa"/>
              <w:start w:w="80" w:type="dxa"/>
              <w:bottom w:w="80" w:type="dxa"/>
              <w:end w:w="80" w:type="dxa"/>
            </w:tcMar>
            <w:vAlign w:val="top"/>
          </w:tcPr>
          <w:p>
            <w:r>
              <w:rPr>
                <w:sz w:val="18"/>
              </w:rPr>
              <w:t>The project design satisfies the stated requirement/guardrail.</w:t>
            </w:r>
          </w:p>
        </w:tc>
        <w:tc>
          <w:tcPr>
            <w:tcW w:type="dxa" w:w="3456"/>
            <w:tcMar>
              <w:top w:w="80" w:type="dxa"/>
              <w:start w:w="80" w:type="dxa"/>
              <w:bottom w:w="80" w:type="dxa"/>
              <w:end w:w="80" w:type="dxa"/>
            </w:tcMar>
            <w:vAlign w:val="top"/>
          </w:tcPr>
          <w:p>
            <w:r>
              <w:rPr>
                <w:sz w:val="18"/>
              </w:rPr>
              <w:t>Requirement: 3 MongoDB data-bearing voting members. Design: 3-node PSS. → Compliant.</w:t>
            </w:r>
          </w:p>
        </w:tc>
      </w:tr>
      <w:tr>
        <w:tc>
          <w:tcPr>
            <w:tcW w:type="dxa" w:w="3456"/>
            <w:tcMar>
              <w:top w:w="80" w:type="dxa"/>
              <w:start w:w="80" w:type="dxa"/>
              <w:bottom w:w="80" w:type="dxa"/>
              <w:end w:w="80" w:type="dxa"/>
            </w:tcMar>
            <w:vAlign w:val="top"/>
          </w:tcPr>
          <w:p>
            <w:r>
              <w:rPr>
                <w:sz w:val="18"/>
              </w:rPr>
              <w:t>Exception</w:t>
            </w:r>
          </w:p>
        </w:tc>
        <w:tc>
          <w:tcPr>
            <w:tcW w:type="dxa" w:w="3456"/>
            <w:tcMar>
              <w:top w:w="80" w:type="dxa"/>
              <w:start w:w="80" w:type="dxa"/>
              <w:bottom w:w="80" w:type="dxa"/>
              <w:end w:w="80" w:type="dxa"/>
            </w:tcMar>
            <w:vAlign w:val="top"/>
          </w:tcPr>
          <w:p>
            <w:r>
              <w:rPr>
                <w:sz w:val="18"/>
              </w:rPr>
              <w:t>The requirement applies, but the project intentionally deviates. The deviation must be justified and its risk/compensating controls documented.</w:t>
            </w:r>
          </w:p>
        </w:tc>
        <w:tc>
          <w:tcPr>
            <w:tcW w:type="dxa" w:w="3456"/>
            <w:tcMar>
              <w:top w:w="80" w:type="dxa"/>
              <w:start w:w="80" w:type="dxa"/>
              <w:bottom w:w="80" w:type="dxa"/>
              <w:end w:w="80" w:type="dxa"/>
            </w:tcMar>
            <w:vAlign w:val="top"/>
          </w:tcPr>
          <w:p>
            <w:r>
              <w:rPr>
                <w:sz w:val="18"/>
              </w:rPr>
              <w:t>Requirement: 3 PostgreSQL HA nodes. Design: 2 nodes due to an approved environment constraint. → Exception.</w:t>
            </w:r>
          </w:p>
        </w:tc>
      </w:tr>
      <w:tr>
        <w:tc>
          <w:tcPr>
            <w:tcW w:type="dxa" w:w="3456"/>
            <w:tcMar>
              <w:top w:w="80" w:type="dxa"/>
              <w:start w:w="80" w:type="dxa"/>
              <w:bottom w:w="80" w:type="dxa"/>
              <w:end w:w="80" w:type="dxa"/>
            </w:tcMar>
            <w:vAlign w:val="top"/>
          </w:tcPr>
          <w:p>
            <w:r>
              <w:rPr>
                <w:sz w:val="18"/>
              </w:rPr>
              <w:t>N/A</w:t>
            </w:r>
          </w:p>
        </w:tc>
        <w:tc>
          <w:tcPr>
            <w:tcW w:type="dxa" w:w="3456"/>
            <w:tcMar>
              <w:top w:w="80" w:type="dxa"/>
              <w:start w:w="80" w:type="dxa"/>
              <w:bottom w:w="80" w:type="dxa"/>
              <w:end w:w="80" w:type="dxa"/>
            </w:tcMar>
            <w:vAlign w:val="top"/>
          </w:tcPr>
          <w:p>
            <w:r>
              <w:rPr>
                <w:sz w:val="18"/>
              </w:rPr>
              <w:t>The requirement genuinely does not apply to this project/use case. The rationale must state why.</w:t>
            </w:r>
          </w:p>
        </w:tc>
        <w:tc>
          <w:tcPr>
            <w:tcW w:type="dxa" w:w="3456"/>
            <w:tcMar>
              <w:top w:w="80" w:type="dxa"/>
              <w:start w:w="80" w:type="dxa"/>
              <w:bottom w:w="80" w:type="dxa"/>
              <w:end w:w="80" w:type="dxa"/>
            </w:tcMar>
            <w:vAlign w:val="top"/>
          </w:tcPr>
          <w:p>
            <w:r>
              <w:rPr>
                <w:sz w:val="18"/>
              </w:rPr>
              <w:t>Requirement concerns external exposure, but the component is strictly internal and has no external consumers. → N/A, if the project architecture standard permits this.</w:t>
            </w:r>
          </w:p>
        </w:tc>
      </w:tr>
    </w:tbl>
    <w:p>
      <w:pPr>
        <w:pStyle w:val="SmallNote"/>
      </w:pPr>
      <w:r>
        <w:t>Governance rule: “Exception” means “we know the rule applies and we are deliberately deviating.” “N/A” means “the rule does not apply.” N/A must not be used as a shortcut to avoid an applicable requirement.</w:t>
      </w:r>
    </w:p>
    <w:p>
      <w:pPr>
        <w:pStyle w:val="Heading1"/>
      </w:pPr>
      <w:r>
        <w:t>4. Recommended filling sequence</w:t>
      </w:r>
    </w:p>
    <w:p>
      <w:pPr>
        <w:pStyle w:val="ListNumber"/>
        <w:spacing w:after="40"/>
      </w:pPr>
      <w:r>
        <w:t>Complete project identity and environment information.</w:t>
      </w:r>
    </w:p>
    <w:p>
      <w:pPr>
        <w:pStyle w:val="ListNumber"/>
        <w:spacing w:after="40"/>
      </w:pPr>
      <w:r>
        <w:t>Define the business/service role and identify the application’s consumers.</w:t>
      </w:r>
    </w:p>
    <w:p>
      <w:pPr>
        <w:pStyle w:val="ListNumber"/>
        <w:spacing w:after="40"/>
      </w:pPr>
      <w:r>
        <w:t>Specify the required application topology and HA behavior before choosing storage or exposure details.</w:t>
      </w:r>
    </w:p>
    <w:p>
      <w:pPr>
        <w:pStyle w:val="ListNumber"/>
        <w:spacing w:after="40"/>
      </w:pPr>
      <w:r>
        <w:t>Provide measurable capacity inputs: CPU, memory, storage, throughput, connections, growth, retention, and node/instance count.</w:t>
      </w:r>
    </w:p>
    <w:p>
      <w:pPr>
        <w:pStyle w:val="ListNumber"/>
        <w:spacing w:after="40"/>
      </w:pPr>
      <w:r>
        <w:t>Select the storage model for Rancher (Longhorn) and OpenShift (ODF), including the replication/copy factor used for capacity planning.</w:t>
      </w:r>
    </w:p>
    <w:p>
      <w:pPr>
        <w:pStyle w:val="ListNumber"/>
        <w:spacing w:after="40"/>
      </w:pPr>
      <w:r>
        <w:t>Define backup, restore, RPO, and RTO expectations.</w:t>
      </w:r>
    </w:p>
    <w:p>
      <w:pPr>
        <w:pStyle w:val="ListNumber"/>
        <w:spacing w:after="40"/>
      </w:pPr>
      <w:r>
        <w:t>Define network exposure and required ports. Distinguish HTTP/S routing from raw TCP requirements.</w:t>
      </w:r>
    </w:p>
    <w:p>
      <w:pPr>
        <w:pStyle w:val="ListNumber"/>
        <w:spacing w:after="40"/>
      </w:pPr>
      <w:r>
        <w:t>Complete security requirements: TLS, secrets, identity, NetworkPolicy, pod security, and OpenShift SCC compatibility.</w:t>
      </w:r>
    </w:p>
    <w:p>
      <w:pPr>
        <w:pStyle w:val="ListNumber"/>
        <w:spacing w:after="40"/>
      </w:pPr>
      <w:r>
        <w:t>Complete application-specific clustering decisions for Redis, PostgreSQL, Elastic Stack, MongoDB, and RabbitMQ.</w:t>
      </w:r>
    </w:p>
    <w:p>
      <w:pPr>
        <w:pStyle w:val="ListNumber"/>
        <w:spacing w:after="40"/>
      </w:pPr>
      <w:r>
        <w:t>Review all Compliance Status values. Every Exception and N/A must have a rationale.</w:t>
      </w:r>
    </w:p>
    <w:p>
      <w:pPr>
        <w:pStyle w:val="ListNumber"/>
        <w:spacing w:after="40"/>
      </w:pPr>
      <w:r>
        <w:t>Review the final design for cross-section consistency: replica counts, storage, failover, ports, backups, monitoring, and dependencies must describe the same architecture.</w:t>
      </w:r>
    </w:p>
    <w:p>
      <w:pPr>
        <w:pStyle w:val="Heading1"/>
      </w:pPr>
      <w:r>
        <w:t>5. What level of detail is expected</w:t>
      </w:r>
    </w:p>
    <w:p>
      <w:pPr/>
      <w:r>
        <w:t>Write measurable architecture decisions wherever possible. The platform team should not have to infer core requirements from vague wording.</w:t>
      </w:r>
    </w:p>
    <w:tbl>
      <w:tblPr>
        <w:tblStyle w:val="TableGrid"/>
        <w:tblW w:type="auto" w:w="0"/>
        <w:tblLook w:firstColumn="1" w:firstRow="1" w:lastColumn="0" w:lastRow="0" w:noHBand="0" w:noVBand="1" w:val="04A0"/>
      </w:tblPr>
      <w:tblGrid>
        <w:gridCol w:w="5184"/>
        <w:gridCol w:w="5184"/>
      </w:tblGrid>
      <w:tr>
        <w:trPr>
          <w:tblHeader w:val="true"/>
        </w:trPr>
        <w:tc>
          <w:tcPr>
            <w:tcW w:type="dxa" w:w="5184"/>
            <w:shd w:fill="D9EAF7"/>
            <w:vAlign w:val="top"/>
          </w:tcPr>
          <w:p>
            <w:r>
              <w:rPr>
                <w:b/>
              </w:rPr>
              <w:t>Quality</w:t>
            </w:r>
          </w:p>
        </w:tc>
        <w:tc>
          <w:tcPr>
            <w:tcW w:type="dxa" w:w="5184"/>
            <w:shd w:fill="D9EAF7"/>
            <w:vAlign w:val="top"/>
          </w:tcPr>
          <w:p>
            <w:r>
              <w:rPr>
                <w:b/>
              </w:rPr>
              <w:t>Example</w:t>
            </w:r>
          </w:p>
        </w:tc>
      </w:tr>
      <w:tr>
        <w:tc>
          <w:tcPr>
            <w:tcW w:type="dxa" w:w="5184"/>
            <w:tcMar>
              <w:top w:w="80" w:type="dxa"/>
              <w:start w:w="80" w:type="dxa"/>
              <w:bottom w:w="80" w:type="dxa"/>
              <w:end w:w="80" w:type="dxa"/>
            </w:tcMar>
            <w:vAlign w:val="top"/>
          </w:tcPr>
          <w:p>
            <w:r>
              <w:rPr>
                <w:sz w:val="18"/>
              </w:rPr>
              <w:t>Weak</w:t>
            </w:r>
          </w:p>
        </w:tc>
        <w:tc>
          <w:tcPr>
            <w:tcW w:type="dxa" w:w="5184"/>
            <w:tcMar>
              <w:top w:w="80" w:type="dxa"/>
              <w:start w:w="80" w:type="dxa"/>
              <w:bottom w:w="80" w:type="dxa"/>
              <w:end w:w="80" w:type="dxa"/>
            </w:tcMar>
            <w:vAlign w:val="top"/>
          </w:tcPr>
          <w:p>
            <w:r>
              <w:rPr>
                <w:sz w:val="18"/>
              </w:rPr>
              <w:t>“Deploy PostgreSQL with HA and sufficient resources.”</w:t>
            </w:r>
          </w:p>
        </w:tc>
      </w:tr>
      <w:tr>
        <w:tc>
          <w:tcPr>
            <w:tcW w:type="dxa" w:w="5184"/>
            <w:tcMar>
              <w:top w:w="80" w:type="dxa"/>
              <w:start w:w="80" w:type="dxa"/>
              <w:bottom w:w="80" w:type="dxa"/>
              <w:end w:w="80" w:type="dxa"/>
            </w:tcMar>
            <w:vAlign w:val="top"/>
          </w:tcPr>
          <w:p>
            <w:r>
              <w:rPr>
                <w:sz w:val="18"/>
              </w:rPr>
              <w:t>Better</w:t>
            </w:r>
          </w:p>
        </w:tc>
        <w:tc>
          <w:tcPr>
            <w:tcW w:type="dxa" w:w="5184"/>
            <w:tcMar>
              <w:top w:w="80" w:type="dxa"/>
              <w:start w:w="80" w:type="dxa"/>
              <w:bottom w:w="80" w:type="dxa"/>
              <w:end w:w="80" w:type="dxa"/>
            </w:tcMar>
            <w:vAlign w:val="top"/>
          </w:tcPr>
          <w:p>
            <w:r>
              <w:rPr>
                <w:sz w:val="18"/>
              </w:rPr>
              <w:t>“PostgreSQL HA: 3 application nodes; automatic failover; 300 GB PVC per node; expected 150 connections; peak 800 TPS; RPO ≤ 5 min; RTO ≤ 15 min.”</w:t>
            </w:r>
          </w:p>
        </w:tc>
      </w:tr>
      <w:tr>
        <w:tc>
          <w:tcPr>
            <w:tcW w:type="dxa" w:w="5184"/>
            <w:tcMar>
              <w:top w:w="80" w:type="dxa"/>
              <w:start w:w="80" w:type="dxa"/>
              <w:bottom w:w="80" w:type="dxa"/>
              <w:end w:w="80" w:type="dxa"/>
            </w:tcMar>
            <w:vAlign w:val="top"/>
          </w:tcPr>
          <w:p>
            <w:r>
              <w:rPr>
                <w:sz w:val="18"/>
              </w:rPr>
              <w:t>Weak</w:t>
            </w:r>
          </w:p>
        </w:tc>
        <w:tc>
          <w:tcPr>
            <w:tcW w:type="dxa" w:w="5184"/>
            <w:tcMar>
              <w:top w:w="80" w:type="dxa"/>
              <w:start w:w="80" w:type="dxa"/>
              <w:bottom w:w="80" w:type="dxa"/>
              <w:end w:w="80" w:type="dxa"/>
            </w:tcMar>
            <w:vAlign w:val="top"/>
          </w:tcPr>
          <w:p>
            <w:r>
              <w:rPr>
                <w:sz w:val="18"/>
              </w:rPr>
              <w:t>“Use persistent storage.”</w:t>
            </w:r>
          </w:p>
        </w:tc>
      </w:tr>
      <w:tr>
        <w:tc>
          <w:tcPr>
            <w:tcW w:type="dxa" w:w="5184"/>
            <w:tcMar>
              <w:top w:w="80" w:type="dxa"/>
              <w:start w:w="80" w:type="dxa"/>
              <w:bottom w:w="80" w:type="dxa"/>
              <w:end w:w="80" w:type="dxa"/>
            </w:tcMar>
            <w:vAlign w:val="top"/>
          </w:tcPr>
          <w:p>
            <w:r>
              <w:rPr>
                <w:sz w:val="18"/>
              </w:rPr>
              <w:t>Better</w:t>
            </w:r>
          </w:p>
        </w:tc>
        <w:tc>
          <w:tcPr>
            <w:tcW w:type="dxa" w:w="5184"/>
            <w:tcMar>
              <w:top w:w="80" w:type="dxa"/>
              <w:start w:w="80" w:type="dxa"/>
              <w:bottom w:w="80" w:type="dxa"/>
              <w:end w:w="80" w:type="dxa"/>
            </w:tcMar>
            <w:vAlign w:val="top"/>
          </w:tcPr>
          <w:p>
            <w:r>
              <w:rPr>
                <w:sz w:val="18"/>
              </w:rPr>
              <w:t>“Persistent storage required; 500 GB per PostgreSQL node; Rancher uses Longhorn, OpenShift uses ODF; calculate raw capacity including backend replication.”</w:t>
            </w:r>
          </w:p>
        </w:tc>
      </w:tr>
      <w:tr>
        <w:tc>
          <w:tcPr>
            <w:tcW w:type="dxa" w:w="5184"/>
            <w:tcMar>
              <w:top w:w="80" w:type="dxa"/>
              <w:start w:w="80" w:type="dxa"/>
              <w:bottom w:w="80" w:type="dxa"/>
              <w:end w:w="80" w:type="dxa"/>
            </w:tcMar>
            <w:vAlign w:val="top"/>
          </w:tcPr>
          <w:p>
            <w:r>
              <w:rPr>
                <w:sz w:val="18"/>
              </w:rPr>
              <w:t>Weak</w:t>
            </w:r>
          </w:p>
        </w:tc>
        <w:tc>
          <w:tcPr>
            <w:tcW w:type="dxa" w:w="5184"/>
            <w:tcMar>
              <w:top w:w="80" w:type="dxa"/>
              <w:start w:w="80" w:type="dxa"/>
              <w:bottom w:w="80" w:type="dxa"/>
              <w:end w:w="80" w:type="dxa"/>
            </w:tcMar>
            <w:vAlign w:val="top"/>
          </w:tcPr>
          <w:p>
            <w:r>
              <w:rPr>
                <w:sz w:val="18"/>
              </w:rPr>
              <w:t>“External access through OpenShift.”</w:t>
            </w:r>
          </w:p>
        </w:tc>
      </w:tr>
      <w:tr>
        <w:tc>
          <w:tcPr>
            <w:tcW w:type="dxa" w:w="5184"/>
            <w:tcMar>
              <w:top w:w="80" w:type="dxa"/>
              <w:start w:w="80" w:type="dxa"/>
              <w:bottom w:w="80" w:type="dxa"/>
              <w:end w:w="80" w:type="dxa"/>
            </w:tcMar>
            <w:vAlign w:val="top"/>
          </w:tcPr>
          <w:p>
            <w:r>
              <w:rPr>
                <w:sz w:val="18"/>
              </w:rPr>
              <w:t>Better</w:t>
            </w:r>
          </w:p>
        </w:tc>
        <w:tc>
          <w:tcPr>
            <w:tcW w:type="dxa" w:w="5184"/>
            <w:tcMar>
              <w:top w:w="80" w:type="dxa"/>
              <w:start w:w="80" w:type="dxa"/>
              <w:bottom w:w="80" w:type="dxa"/>
              <w:end w:w="80" w:type="dxa"/>
            </w:tcMar>
            <w:vAlign w:val="top"/>
          </w:tcPr>
          <w:p>
            <w:r>
              <w:rPr>
                <w:sz w:val="18"/>
              </w:rPr>
              <w:t>“External PostgreSQL consumers require TCP/5432; OpenShift Route is not applicable; use approved TCP exposure mechanism (e.g., NodePort, Tyk TCP stream, or internal/load-balancer VIP according to platform policy).”</w:t>
            </w:r>
          </w:p>
        </w:tc>
      </w:tr>
    </w:tbl>
    <w:p>
      <w:pPr>
        <w:pStyle w:val="Heading1"/>
      </w:pPr>
      <w:r>
        <w:t>6. Guardrails the Architect should explicitly consider</w:t>
      </w:r>
    </w:p>
    <w:p>
      <w:pPr>
        <w:pStyle w:val="Heading2"/>
      </w:pPr>
      <w:r>
        <w:t>6.1 High availability and failure domain</w:t>
      </w:r>
    </w:p>
    <w:p>
      <w:pPr>
        <w:pStyle w:val="ListBullet"/>
        <w:spacing w:after="40"/>
      </w:pPr>
      <w:r>
        <w:t>Default baseline: 3 application instances/nodes for production-capable clustered services.</w:t>
      </w:r>
    </w:p>
    <w:p>
      <w:pPr>
        <w:pStyle w:val="ListBullet"/>
        <w:spacing w:after="40"/>
      </w:pPr>
      <w:r>
        <w:t>The design must tolerate failure of one Kubernetes worker without manual intervention for the service to recover.</w:t>
      </w:r>
    </w:p>
    <w:p>
      <w:pPr>
        <w:pStyle w:val="ListBullet"/>
        <w:spacing w:after="40"/>
      </w:pPr>
      <w:r>
        <w:t>The three instances must be distributed across failure domains using appropriate pod anti-affinity/topology spread; “replicas: 3” alone is not sufficient.</w:t>
      </w:r>
    </w:p>
    <w:p>
      <w:pPr>
        <w:pStyle w:val="ListBullet"/>
        <w:spacing w:after="40"/>
      </w:pPr>
      <w:r>
        <w:t>Describe the application-level HA mechanism (replication, election, quorum, failover, etc.).</w:t>
      </w:r>
    </w:p>
    <w:p>
      <w:pPr>
        <w:pStyle w:val="Heading2"/>
      </w:pPr>
      <w:r>
        <w:t>6.2 Storage capacity and replication</w:t>
      </w:r>
    </w:p>
    <w:p>
      <w:pPr>
        <w:pStyle w:val="ListBullet"/>
        <w:spacing w:after="40"/>
      </w:pPr>
      <w:r>
        <w:t>Enter per-instance PVC size and the expected number of application instances.</w:t>
      </w:r>
    </w:p>
    <w:p>
      <w:pPr>
        <w:pStyle w:val="ListBullet"/>
        <w:spacing w:after="40"/>
      </w:pPr>
      <w:r>
        <w:t>Record the storage backend copy/replication factor used for planning.</w:t>
      </w:r>
    </w:p>
    <w:p>
      <w:pPr>
        <w:pStyle w:val="ListBullet"/>
        <w:spacing w:after="40"/>
      </w:pPr>
      <w:r>
        <w:t>Use the planning formula: raw physical capacity ≈ instances × PVC size × storage replication factor, then add appropriate headroom for metadata, snapshots, filesystem overhead, and growth.</w:t>
      </w:r>
    </w:p>
    <w:p>
      <w:pPr>
        <w:pStyle w:val="ListBullet"/>
        <w:spacing w:after="40"/>
      </w:pPr>
      <w:r>
        <w:t>Do not confuse logical application storage with raw cluster storage. Example: 3 PostgreSQL nodes × 500 GB each × 3-way storage replication = 4.5 TB raw before additional overhead.</w:t>
      </w:r>
    </w:p>
    <w:p>
      <w:pPr>
        <w:pStyle w:val="Heading2"/>
      </w:pPr>
      <w:r>
        <w:t>6.3 Backups vs. storage snapshots</w:t>
      </w:r>
    </w:p>
    <w:p>
      <w:pPr>
        <w:pStyle w:val="ListBullet"/>
        <w:spacing w:after="40"/>
      </w:pPr>
      <w:r>
        <w:t>Specify the application-native backup method for data-bearing systems.</w:t>
      </w:r>
    </w:p>
    <w:p>
      <w:pPr>
        <w:pStyle w:val="ListBullet"/>
        <w:spacing w:after="40"/>
      </w:pPr>
      <w:r>
        <w:t>Treat CSI/volume snapshots as a separate capability, not as a substitute for application-consistent backup.</w:t>
      </w:r>
    </w:p>
    <w:p>
      <w:pPr>
        <w:pStyle w:val="ListBullet"/>
        <w:spacing w:after="40"/>
      </w:pPr>
      <w:r>
        <w:t>Document retention, schedule, destination, restore procedure, and the target RPO/RTO.</w:t>
      </w:r>
    </w:p>
    <w:p>
      <w:pPr>
        <w:pStyle w:val="Heading2"/>
      </w:pPr>
      <w:r>
        <w:t>6.4 OpenShift security model</w:t>
      </w:r>
    </w:p>
    <w:p>
      <w:pPr>
        <w:pStyle w:val="ListBullet"/>
        <w:spacing w:after="40"/>
      </w:pPr>
      <w:r>
        <w:t>Do not assume a fixed container UID will be accepted by OpenShift restricted/restricted-v2 SCC.</w:t>
      </w:r>
    </w:p>
    <w:p>
      <w:pPr>
        <w:pStyle w:val="ListBullet"/>
        <w:spacing w:after="40"/>
      </w:pPr>
      <w:r>
        <w:t>The selected Bitnami chart/image and its storage permissions must be validated under the cluster’s actual SCC/security policy.</w:t>
      </w:r>
    </w:p>
    <w:p>
      <w:pPr>
        <w:pStyle w:val="ListBullet"/>
        <w:spacing w:after="40"/>
      </w:pPr>
      <w:r>
        <w:t>Do not approve a design that depends on privileged containers simply to make a PVC writable; record the required permission model and approved implementation.</w:t>
      </w:r>
    </w:p>
    <w:p>
      <w:pPr>
        <w:pStyle w:val="Heading2"/>
      </w:pPr>
      <w:r>
        <w:t>6.5 Network exposure</w:t>
      </w:r>
    </w:p>
    <w:p>
      <w:pPr>
        <w:pStyle w:val="ListBullet"/>
        <w:spacing w:after="40"/>
      </w:pPr>
      <w:r>
        <w:t>Identify every required protocol and port.</w:t>
      </w:r>
    </w:p>
    <w:p>
      <w:pPr>
        <w:pStyle w:val="ListBullet"/>
        <w:spacing w:after="40"/>
      </w:pPr>
      <w:r>
        <w:t>HTTP/HTTPS exposure and raw TCP database/broker exposure are different architecture problems.</w:t>
      </w:r>
    </w:p>
    <w:p>
      <w:pPr>
        <w:pStyle w:val="ListBullet"/>
        <w:spacing w:after="40"/>
      </w:pPr>
      <w:r>
        <w:t>For PostgreSQL, Redis, MongoDB, or RabbitMQ raw TCP traffic on OpenShift, do not assume an OpenShift Route can provide the required routing.</w:t>
      </w:r>
    </w:p>
    <w:p>
      <w:pPr>
        <w:pStyle w:val="Heading1"/>
      </w:pPr>
      <w:r>
        <w:t>7. Application-specific guidance</w:t>
      </w:r>
    </w:p>
    <w:p>
      <w:pPr>
        <w:pStyle w:val="Heading2"/>
      </w:pPr>
      <w:r>
        <w:t>Redis</w:t>
      </w:r>
    </w:p>
    <w:p>
      <w:pPr>
        <w:pStyle w:val="ListBullet"/>
        <w:spacing w:after="40"/>
      </w:pPr>
      <w:r>
        <w:t>Choose the intended HA model: Redis Cluster or Sentinel-based replication/failover. State why.</w:t>
      </w:r>
    </w:p>
    <w:p>
      <w:pPr>
        <w:pStyle w:val="ListBullet"/>
        <w:spacing w:after="40"/>
      </w:pPr>
      <w:r>
        <w:t>Specify node count, replicas per primary, persistence, and expected failover behavior.</w:t>
      </w:r>
    </w:p>
    <w:p>
      <w:pPr>
        <w:pStyle w:val="ListBullet"/>
        <w:spacing w:after="40"/>
      </w:pPr>
      <w:r>
        <w:t>For Sentinel/Kubernetes deployments, ensure service discovery and announcement behavior remain correct when pods move and receive new IPs; prefer stable service/hostname-based discovery where supported.</w:t>
      </w:r>
    </w:p>
    <w:p>
      <w:pPr>
        <w:pStyle w:val="ListBullet"/>
        <w:spacing w:after="40"/>
      </w:pPr>
      <w:r>
        <w:t>State whether clients support the selected Redis topology and failover behavior.</w:t>
      </w:r>
    </w:p>
    <w:p>
      <w:pPr>
        <w:pStyle w:val="Heading2"/>
      </w:pPr>
      <w:r>
        <w:t>PostgreSQL</w:t>
      </w:r>
    </w:p>
    <w:p>
      <w:pPr>
        <w:pStyle w:val="ListBullet"/>
        <w:spacing w:after="40"/>
      </w:pPr>
      <w:r>
        <w:t>Specify the HA architecture actually selected by the approved Bitnami chart/version; do not assume a particular failover technology without checking the chosen chart.</w:t>
      </w:r>
    </w:p>
    <w:p>
      <w:pPr>
        <w:pStyle w:val="ListBullet"/>
        <w:spacing w:after="40"/>
      </w:pPr>
      <w:r>
        <w:t>Define primary/replica count, failover behavior, client connection endpoint, expected write semantics, and replication expectations.</w:t>
      </w:r>
    </w:p>
    <w:p>
      <w:pPr>
        <w:pStyle w:val="ListBullet"/>
        <w:spacing w:after="40"/>
      </w:pPr>
      <w:r>
        <w:t>Address split-brain/fencing behavior explicitly for the selected HA mechanism.</w:t>
      </w:r>
    </w:p>
    <w:p>
      <w:pPr>
        <w:pStyle w:val="ListBullet"/>
        <w:spacing w:after="40"/>
      </w:pPr>
      <w:r>
        <w:t>Define database backup method, retention, restore test, and recovery objectives.</w:t>
      </w:r>
    </w:p>
    <w:p>
      <w:pPr>
        <w:pStyle w:val="Heading2"/>
      </w:pPr>
      <w:r>
        <w:t>Elastic Stack</w:t>
      </w:r>
    </w:p>
    <w:p>
      <w:pPr>
        <w:pStyle w:val="ListBullet"/>
        <w:spacing w:after="40"/>
      </w:pPr>
      <w:r>
        <w:t>Define Elasticsearch node count and roles appropriate to the workload; avoid role mixing where it creates a single overloaded failure domain.</w:t>
      </w:r>
    </w:p>
    <w:p>
      <w:pPr>
        <w:pStyle w:val="ListBullet"/>
        <w:spacing w:after="40"/>
      </w:pPr>
      <w:r>
        <w:t>Define replica/shard strategy, expected data volume and growth, retention, and recovery expectations.</w:t>
      </w:r>
    </w:p>
    <w:p>
      <w:pPr>
        <w:pStyle w:val="ListBullet"/>
        <w:spacing w:after="40"/>
      </w:pPr>
      <w:r>
        <w:t>Capture host/kernel requirements that must be satisfied at the cluster/node level rather than expecting a non-root application pod to change host settings.</w:t>
      </w:r>
    </w:p>
    <w:p>
      <w:pPr>
        <w:pStyle w:val="ListBullet"/>
        <w:spacing w:after="40"/>
      </w:pPr>
      <w:r>
        <w:t>Define Logstash replica/throughput requirements and Kibana availability expectations separately from Elasticsearch.</w:t>
      </w:r>
    </w:p>
    <w:p>
      <w:pPr>
        <w:pStyle w:val="Heading2"/>
      </w:pPr>
      <w:r>
        <w:t>MongoDB</w:t>
      </w:r>
    </w:p>
    <w:p>
      <w:pPr>
        <w:pStyle w:val="ListBullet"/>
        <w:spacing w:after="40"/>
      </w:pPr>
      <w:r>
        <w:t>Production HA baseline: 3 full data-bearing voting members (PSS). Do not count an arbiter as one of the three HA data nodes.</w:t>
      </w:r>
    </w:p>
    <w:p>
      <w:pPr>
        <w:pStyle w:val="ListBullet"/>
        <w:spacing w:after="40"/>
      </w:pPr>
      <w:r>
        <w:t>Define replica-set name, node count, write concern expectations, read preference, storage per node, and failover behavior.</w:t>
      </w:r>
    </w:p>
    <w:p>
      <w:pPr>
        <w:pStyle w:val="ListBullet"/>
        <w:spacing w:after="40"/>
      </w:pPr>
      <w:r>
        <w:t>State whether transactions, majority writes, or specific read/write semantics impose additional availability requirements.</w:t>
      </w:r>
    </w:p>
    <w:p>
      <w:pPr>
        <w:pStyle w:val="ListBullet"/>
        <w:spacing w:after="40"/>
      </w:pPr>
      <w:r>
        <w:t>Define application-native backup and restore approach.</w:t>
      </w:r>
    </w:p>
    <w:p>
      <w:pPr>
        <w:pStyle w:val="Heading2"/>
      </w:pPr>
      <w:r>
        <w:t>RabbitMQ</w:t>
      </w:r>
    </w:p>
    <w:p>
      <w:pPr>
        <w:pStyle w:val="ListBullet"/>
        <w:spacing w:after="40"/>
      </w:pPr>
      <w:r>
        <w:t>Define a multi-node cluster and expected failure behavior.</w:t>
      </w:r>
    </w:p>
    <w:p>
      <w:pPr>
        <w:pStyle w:val="ListBullet"/>
        <w:spacing w:after="40"/>
      </w:pPr>
      <w:r>
        <w:t>For replicated production messaging, use quorum queues as the HA baseline; do not select deprecated classic mirrored-queue patterns.</w:t>
      </w:r>
    </w:p>
    <w:p>
      <w:pPr>
        <w:pStyle w:val="ListBullet"/>
        <w:spacing w:after="40"/>
      </w:pPr>
      <w:r>
        <w:t>Specify queue type, expected message rate, queue depth, message retention, publisher/consumer connection behavior, and durability requirements.</w:t>
      </w:r>
    </w:p>
    <w:p>
      <w:pPr>
        <w:pStyle w:val="ListBullet"/>
        <w:spacing w:after="40"/>
      </w:pPr>
      <w:r>
        <w:t>Define what happens when one broker node is lost and how clients reconnect.</w:t>
      </w:r>
    </w:p>
    <w:p>
      <w:pPr>
        <w:pStyle w:val="Heading1"/>
      </w:pPr>
      <w:r>
        <w:t>8. How to document an Exception correctly</w:t>
      </w:r>
    </w:p>
    <w:p>
      <w:r>
        <w:t>Every Exception should answer four questions:</w:t>
      </w:r>
    </w:p>
    <w:p>
      <w:pPr>
        <w:pStyle w:val="ListBullet"/>
        <w:spacing w:after="40"/>
      </w:pPr>
      <w:r>
        <w:t>What requirement are we not meeting?</w:t>
      </w:r>
    </w:p>
    <w:p>
      <w:pPr>
        <w:pStyle w:val="ListBullet"/>
        <w:spacing w:after="40"/>
      </w:pPr>
      <w:r>
        <w:t>Why is deviation necessary for this project?</w:t>
      </w:r>
    </w:p>
    <w:p>
      <w:pPr>
        <w:pStyle w:val="ListBullet"/>
        <w:spacing w:after="40"/>
      </w:pPr>
      <w:r>
        <w:t>What is the technical/business risk introduced?</w:t>
      </w:r>
    </w:p>
    <w:p>
      <w:pPr>
        <w:pStyle w:val="ListBullet"/>
        <w:spacing w:after="40"/>
      </w:pPr>
      <w:r>
        <w:t>What compensating control, limitation, or approval applies?</w:t>
      </w:r>
    </w:p>
    <w:p>
      <w:pPr>
        <w:pStyle w:val="Heading3"/>
      </w:pPr>
      <w:r>
        <w:t>Example</w:t>
      </w:r>
    </w:p>
    <w:p>
      <w:r>
        <w:t>Requirement: 3-node HA baseline. Design Choice: 2 nodes in a non-production environment. Status: Exception. Rationale: environment cost constraint; service is not production; no production data; failure of one worker may reduce availability. Compensating control: daily rebuild/test and explicit approval for use outside production. This is much stronger than simply marking “N/A.”</w:t>
      </w:r>
    </w:p>
    <w:p>
      <w:pPr>
        <w:pStyle w:val="Heading1"/>
      </w:pPr>
      <w:r>
        <w:t>9. How to document N/A correctly</w:t>
      </w:r>
    </w:p>
    <w:p>
      <w:r>
        <w:t>Use N/A only when the requirement has no meaningful applicability. Write the reason in the Notes column.</w:t>
      </w:r>
    </w:p>
    <w:p>
      <w:pPr>
        <w:pStyle w:val="ListBullet"/>
        <w:spacing w:after="40"/>
      </w:pPr>
      <w:r>
        <w:t>Good N/A: “External exposure requirement is N/A because this component is reachable only by internal services in the same cluster and there is no external consumer.”</w:t>
      </w:r>
    </w:p>
    <w:p>
      <w:pPr>
        <w:pStyle w:val="ListBullet"/>
        <w:spacing w:after="40"/>
      </w:pPr>
      <w:r>
        <w:t>Bad N/A: “Not needed.”</w:t>
      </w:r>
    </w:p>
    <w:p>
      <w:pPr>
        <w:pStyle w:val="ListBullet"/>
        <w:spacing w:after="40"/>
      </w:pPr>
      <w:r>
        <w:t>Bad N/A: “Too expensive.” If the requirement applies but cost drives a deviation, use Exception instead.</w:t>
      </w:r>
    </w:p>
    <w:p>
      <w:pPr>
        <w:pStyle w:val="Heading1"/>
      </w:pPr>
      <w:r>
        <w:t>10. Architect final review before submission</w:t>
      </w:r>
    </w:p>
    <w:p>
      <w:pPr>
        <w:spacing w:after="30"/>
      </w:pPr>
      <w:r>
        <w:rPr>
          <w:b/>
        </w:rPr>
        <w:t xml:space="preserve">☐ </w:t>
      </w:r>
      <w:r>
        <w:t>All required fields are complete and use concrete values where possible.</w:t>
      </w:r>
    </w:p>
    <w:p>
      <w:pPr>
        <w:spacing w:after="30"/>
      </w:pPr>
      <w:r>
        <w:rPr>
          <w:b/>
        </w:rPr>
        <w:t xml:space="preserve">☐ </w:t>
      </w:r>
      <w:r>
        <w:t>Replica/node counts are consistent across HA, scheduling, storage, monitoring, and failure-test sections.</w:t>
      </w:r>
    </w:p>
    <w:p>
      <w:pPr>
        <w:spacing w:after="30"/>
      </w:pPr>
      <w:r>
        <w:rPr>
          <w:b/>
        </w:rPr>
        <w:t xml:space="preserve">☐ </w:t>
      </w:r>
      <w:r>
        <w:t>The design actually uses an application-level HA mechanism; it is not merely multiple Kubernetes replicas.</w:t>
      </w:r>
    </w:p>
    <w:p>
      <w:pPr>
        <w:spacing w:after="30"/>
      </w:pPr>
      <w:r>
        <w:rPr>
          <w:b/>
        </w:rPr>
        <w:t xml:space="preserve">☐ </w:t>
      </w:r>
      <w:r>
        <w:t>The 1-worker failure scenario has a defined expected outcome.</w:t>
      </w:r>
    </w:p>
    <w:p>
      <w:pPr>
        <w:spacing w:after="30"/>
      </w:pPr>
      <w:r>
        <w:rPr>
          <w:b/>
        </w:rPr>
        <w:t xml:space="preserve">☐ </w:t>
      </w:r>
      <w:r>
        <w:t>Storage footprint has been calculated using application instances × PVC size × storage replication factor, with headroom.</w:t>
      </w:r>
    </w:p>
    <w:p>
      <w:pPr>
        <w:spacing w:after="30"/>
      </w:pPr>
      <w:r>
        <w:rPr>
          <w:b/>
        </w:rPr>
        <w:t xml:space="preserve">☐ </w:t>
      </w:r>
      <w:r>
        <w:t>RPO/RTO and backup/restore requirements are stated.</w:t>
      </w:r>
    </w:p>
    <w:p>
      <w:pPr>
        <w:spacing w:after="30"/>
      </w:pPr>
      <w:r>
        <w:rPr>
          <w:b/>
        </w:rPr>
        <w:t xml:space="preserve">☐ </w:t>
      </w:r>
      <w:r>
        <w:t>Application-native backups are defined for data-bearing systems; volume snapshots are not treated as the sole backup.</w:t>
      </w:r>
    </w:p>
    <w:p>
      <w:pPr>
        <w:spacing w:after="30"/>
      </w:pPr>
      <w:r>
        <w:rPr>
          <w:b/>
        </w:rPr>
        <w:t xml:space="preserve">☐ </w:t>
      </w:r>
      <w:r>
        <w:t>Rancher/Longhorn and OpenShift/ODF implications are understood.</w:t>
      </w:r>
    </w:p>
    <w:p>
      <w:pPr>
        <w:spacing w:after="30"/>
      </w:pPr>
      <w:r>
        <w:rPr>
          <w:b/>
        </w:rPr>
        <w:t xml:space="preserve">☐ </w:t>
      </w:r>
      <w:r>
        <w:t>OpenShift security requirements are compatible with the selected image/chart and PVC permissions.</w:t>
      </w:r>
    </w:p>
    <w:p>
      <w:pPr>
        <w:spacing w:after="30"/>
      </w:pPr>
      <w:r>
        <w:rPr>
          <w:b/>
        </w:rPr>
        <w:t xml:space="preserve">☐ </w:t>
      </w:r>
      <w:r>
        <w:t>All required network protocols/ports are identified, and TCP vs HTTP/S exposure is correctly classified.</w:t>
      </w:r>
    </w:p>
    <w:p>
      <w:pPr>
        <w:spacing w:after="30"/>
      </w:pPr>
      <w:r>
        <w:rPr>
          <w:b/>
        </w:rPr>
        <w:t xml:space="preserve">☐ </w:t>
      </w:r>
      <w:r>
        <w:t>Monitoring, alerting, centralized logging, and relevant health indicators are defined.</w:t>
      </w:r>
    </w:p>
    <w:p>
      <w:pPr>
        <w:spacing w:after="30"/>
      </w:pPr>
      <w:r>
        <w:rPr>
          <w:b/>
        </w:rPr>
        <w:t xml:space="preserve">☐ </w:t>
      </w:r>
      <w:r>
        <w:t>Relevant dependencies are listed; irrelevant dependencies are not invented.</w:t>
      </w:r>
    </w:p>
    <w:p>
      <w:pPr>
        <w:spacing w:after="30"/>
      </w:pPr>
      <w:r>
        <w:rPr>
          <w:b/>
        </w:rPr>
        <w:t xml:space="preserve">☐ </w:t>
      </w:r>
      <w:r>
        <w:t>Every Exception has a rationale and risk/compensating-control note.</w:t>
      </w:r>
    </w:p>
    <w:p>
      <w:pPr>
        <w:spacing w:after="30"/>
      </w:pPr>
      <w:r>
        <w:rPr>
          <w:b/>
        </w:rPr>
        <w:t xml:space="preserve">☐ </w:t>
      </w:r>
      <w:r>
        <w:t>Every N/A has a genuine applicability rationale.</w:t>
      </w:r>
    </w:p>
    <w:p>
      <w:pPr>
        <w:pStyle w:val="Heading1"/>
      </w:pPr>
      <w:r>
        <w:t>11. What happens after the architect completes the form</w:t>
      </w:r>
    </w:p>
    <w:p>
      <w:pPr>
        <w:pStyle w:val="ListBullet"/>
        <w:spacing w:after="40"/>
      </w:pPr>
      <w:r>
        <w:t>The completed checklist becomes the architecture input for the platform team.</w:t>
      </w:r>
    </w:p>
    <w:p>
      <w:pPr>
        <w:pStyle w:val="ListBullet"/>
        <w:spacing w:after="40"/>
      </w:pPr>
      <w:r>
        <w:t>The platform team converts the approved design choices into the appropriate Bitnami Helm values and Kubernetes/OpenShift configuration.</w:t>
      </w:r>
    </w:p>
    <w:p>
      <w:pPr>
        <w:pStyle w:val="ListBullet"/>
        <w:spacing w:after="40"/>
      </w:pPr>
      <w:r>
        <w:t>Any unresolved Exception, unclear requirement, or unsupported platform assumption should be sent back to architecture before deployment.</w:t>
      </w:r>
    </w:p>
    <w:p>
      <w:pPr>
        <w:pStyle w:val="ListBullet"/>
        <w:spacing w:after="40"/>
      </w:pPr>
      <w:r>
        <w:t>The final deployed configuration should be tested against the approved HA/failure, backup/restore, network, security, and monitoring expectations.</w:t>
      </w:r>
    </w:p>
    <w:p>
      <w:pPr>
        <w:pStyle w:val="Heading1"/>
      </w:pPr>
      <w:r>
        <w:t>12. One-page decision rule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vAlign w:val="top"/>
          </w:tcPr>
          <w:p>
            <w:r>
              <w:rPr>
                <w:b/>
              </w:rPr>
              <w:t>Question</w:t>
            </w:r>
          </w:p>
        </w:tc>
        <w:tc>
          <w:tcPr>
            <w:tcW w:type="dxa" w:w="5184"/>
            <w:shd w:fill="D9EAF7"/>
            <w:vAlign w:val="top"/>
          </w:tcPr>
          <w:p>
            <w:r>
              <w:rPr>
                <w:b/>
              </w:rPr>
              <w:t>Decision</w:t>
            </w:r>
          </w:p>
        </w:tc>
      </w:tr>
      <w:tr>
        <w:tc>
          <w:tcPr>
            <w:tcW w:type="dxa" w:w="5184"/>
            <w:tcMar>
              <w:top w:w="80" w:type="dxa"/>
              <w:start w:w="80" w:type="dxa"/>
              <w:bottom w:w="80" w:type="dxa"/>
              <w:end w:w="80" w:type="dxa"/>
            </w:tcMar>
            <w:vAlign w:val="top"/>
          </w:tcPr>
          <w:p>
            <w:r>
              <w:rPr>
                <w:sz w:val="18"/>
              </w:rPr>
              <w:t>Does the architecture meet the stated guardrail?</w:t>
            </w:r>
          </w:p>
        </w:tc>
        <w:tc>
          <w:tcPr>
            <w:tcW w:type="dxa" w:w="5184"/>
            <w:tcMar>
              <w:top w:w="80" w:type="dxa"/>
              <w:start w:w="80" w:type="dxa"/>
              <w:bottom w:w="80" w:type="dxa"/>
              <w:end w:w="80" w:type="dxa"/>
            </w:tcMar>
            <w:vAlign w:val="top"/>
          </w:tcPr>
          <w:p>
            <w:r>
              <w:rPr>
                <w:sz w:val="18"/>
              </w:rPr>
              <w:t>Yes → Compliant</w:t>
            </w:r>
          </w:p>
        </w:tc>
      </w:tr>
      <w:tr>
        <w:tc>
          <w:tcPr>
            <w:tcW w:type="dxa" w:w="5184"/>
            <w:tcMar>
              <w:top w:w="80" w:type="dxa"/>
              <w:start w:w="80" w:type="dxa"/>
              <w:bottom w:w="80" w:type="dxa"/>
              <w:end w:w="80" w:type="dxa"/>
            </w:tcMar>
            <w:vAlign w:val="top"/>
          </w:tcPr>
          <w:p>
            <w:r>
              <w:rPr>
                <w:sz w:val="18"/>
              </w:rPr>
              <w:t>Does the guardrail apply, but the project intentionally deviates?</w:t>
            </w:r>
          </w:p>
        </w:tc>
        <w:tc>
          <w:tcPr>
            <w:tcW w:type="dxa" w:w="5184"/>
            <w:tcMar>
              <w:top w:w="80" w:type="dxa"/>
              <w:start w:w="80" w:type="dxa"/>
              <w:bottom w:w="80" w:type="dxa"/>
              <w:end w:w="80" w:type="dxa"/>
            </w:tcMar>
            <w:vAlign w:val="top"/>
          </w:tcPr>
          <w:p>
            <w:r>
              <w:rPr>
                <w:sz w:val="18"/>
              </w:rPr>
              <w:t>Yes → Exception + rationale + risk/compensating control</w:t>
            </w:r>
          </w:p>
        </w:tc>
      </w:tr>
      <w:tr>
        <w:tc>
          <w:tcPr>
            <w:tcW w:type="dxa" w:w="5184"/>
            <w:tcMar>
              <w:top w:w="80" w:type="dxa"/>
              <w:start w:w="80" w:type="dxa"/>
              <w:bottom w:w="80" w:type="dxa"/>
              <w:end w:w="80" w:type="dxa"/>
            </w:tcMar>
            <w:vAlign w:val="top"/>
          </w:tcPr>
          <w:p>
            <w:r>
              <w:rPr>
                <w:sz w:val="18"/>
              </w:rPr>
              <w:t>Does the guardrail genuinely not apply?</w:t>
            </w:r>
          </w:p>
        </w:tc>
        <w:tc>
          <w:tcPr>
            <w:tcW w:type="dxa" w:w="5184"/>
            <w:tcMar>
              <w:top w:w="80" w:type="dxa"/>
              <w:start w:w="80" w:type="dxa"/>
              <w:bottom w:w="80" w:type="dxa"/>
              <w:end w:w="80" w:type="dxa"/>
            </w:tcMar>
            <w:vAlign w:val="top"/>
          </w:tcPr>
          <w:p>
            <w:r>
              <w:rPr>
                <w:sz w:val="18"/>
              </w:rPr>
              <w:t>Yes → N/A + applicability rationale</w:t>
            </w:r>
          </w:p>
        </w:tc>
      </w:tr>
      <w:tr>
        <w:tc>
          <w:tcPr>
            <w:tcW w:type="dxa" w:w="5184"/>
            <w:tcMar>
              <w:top w:w="80" w:type="dxa"/>
              <w:start w:w="80" w:type="dxa"/>
              <w:bottom w:w="80" w:type="dxa"/>
              <w:end w:w="80" w:type="dxa"/>
            </w:tcMar>
            <w:vAlign w:val="top"/>
          </w:tcPr>
          <w:p>
            <w:r>
              <w:rPr>
                <w:sz w:val="18"/>
              </w:rPr>
              <w:t>Can the platform team implement the design without guessing a core requirement?</w:t>
            </w:r>
          </w:p>
        </w:tc>
        <w:tc>
          <w:tcPr>
            <w:tcW w:type="dxa" w:w="5184"/>
            <w:tcMar>
              <w:top w:w="80" w:type="dxa"/>
              <w:start w:w="80" w:type="dxa"/>
              <w:bottom w:w="80" w:type="dxa"/>
              <w:end w:w="80" w:type="dxa"/>
            </w:tcMar>
            <w:vAlign w:val="top"/>
          </w:tcPr>
          <w:p>
            <w:r>
              <w:rPr>
                <w:sz w:val="18"/>
              </w:rPr>
              <w:t>Yes → ready for platform implementation</w:t>
            </w:r>
          </w:p>
        </w:tc>
      </w:tr>
      <w:tr>
        <w:tc>
          <w:tcPr>
            <w:tcW w:type="dxa" w:w="5184"/>
            <w:tcMar>
              <w:top w:w="80" w:type="dxa"/>
              <w:start w:w="80" w:type="dxa"/>
              <w:bottom w:w="80" w:type="dxa"/>
              <w:end w:w="80" w:type="dxa"/>
            </w:tcMar>
            <w:vAlign w:val="top"/>
          </w:tcPr>
          <w:p>
            <w:r>
              <w:rPr>
                <w:sz w:val="18"/>
              </w:rPr>
              <w:t>Does the design survive the defined failure scenario?</w:t>
            </w:r>
          </w:p>
        </w:tc>
        <w:tc>
          <w:tcPr>
            <w:tcW w:type="dxa" w:w="5184"/>
            <w:tcMar>
              <w:top w:w="80" w:type="dxa"/>
              <w:start w:w="80" w:type="dxa"/>
              <w:bottom w:w="80" w:type="dxa"/>
              <w:end w:w="80" w:type="dxa"/>
            </w:tcMar>
            <w:vAlign w:val="top"/>
          </w:tcPr>
          <w:p>
            <w:r>
              <w:rPr>
                <w:sz w:val="18"/>
              </w:rPr>
              <w:t>Yes → proceed to acceptance testing</w:t>
            </w:r>
          </w:p>
        </w:tc>
      </w:tr>
    </w:tbl>
    <w:p/>
    <w:p>
      <w:pPr>
        <w:jc w:val="center"/>
      </w:pPr>
      <w:r>
        <w:rPr>
          <w:b/>
          <w:sz w:val="18"/>
        </w:rPr>
        <w:t>End of guide</w:t>
      </w:r>
    </w:p>
    <w:sectPr w:rsidR="00FC693F" w:rsidRPr="0006063C" w:rsidSect="00034616">
      <w:headerReference w:type="default" r:id="rId9"/>
      <w:footerReference w:type="default" r:id="rId10"/>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Architecture Checklist Filling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Kubernetes OSS Application Architecture Onboarding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