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Ticker Research Report</w:t>
      </w:r>
    </w:p>
    <w:p>
      <w:pPr>
        <w:spacing w:after="400"/>
        <w:jc w:val="center"/>
      </w:pPr>
      <w:r>
        <w:rPr>
          <w:rFonts w:ascii="Arial" w:cs="Arial" w:eastAsia="Arial" w:hAnsi="Arial"/>
          <w:color w:val="666666"/>
          <w:sz w:val="22"/>
          <w:szCs w:val="22"/>
        </w:rPr>
        <w:t xml:space="preserve">High-Level Overview  |  April 14, 2026</w:t>
      </w:r>
    </w:p>
    <w:p>
      <w:pPr>
        <w:pStyle w:val="Heading1"/>
        <w:spacing w:after="120" w:before="120"/>
      </w:pPr>
      <w:r>
        <w:rPr>
          <w:rFonts w:ascii="Arial" w:cs="Arial" w:eastAsia="Arial" w:hAnsi="Arial"/>
        </w:rPr>
        <w:t xml:space="preserve">1. Bloom Energy (BE) — Public Stock</w:t>
      </w:r>
    </w:p>
    <w:p>
      <w:pPr>
        <w:spacing w:after="120"/>
      </w:pPr>
      <w:r>
        <w:rPr>
          <w:rFonts w:ascii="Arial" w:cs="Arial" w:eastAsia="Arial" w:hAnsi="Arial"/>
          <w:sz w:val="22"/>
          <w:szCs w:val="22"/>
        </w:rPr>
        <w:t xml:space="preserve">Bloom Energy designs and manufactures solid oxide fuel cell (SOFC) systems that generate clean, reliable on-site electricity. Originally focused on commercial and industrial power, the company has pivoted heavily toward AI data center power solutions, partnering with Oracle for up to 2.8 GW of fuel cell deployments.</w:t>
      </w:r>
    </w:p>
    <w:p>
      <w:pPr>
        <w:pStyle w:val="Heading2"/>
        <w:spacing w:after="100" w:before="100"/>
      </w:pPr>
      <w:r>
        <w:rPr>
          <w:rFonts w:ascii="Arial" w:cs="Arial" w:eastAsia="Arial" w:hAnsi="Arial"/>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Price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$198.71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$49.6B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(Trailing)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(currently unprofitable)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(Forward)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52-Week Range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$16.01 – $203.41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Industrials / Clean Energy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HQ</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Jose, California</w:t>
            </w:r>
          </w:p>
        </w:tc>
      </w:tr>
    </w:tbl>
    <w:p>
      <w:pPr>
        <w:pStyle w:val="Heading2"/>
        <w:spacing w:after="100" w:before="100"/>
      </w:pPr>
      <w:r>
        <w:rPr>
          <w:rFonts w:ascii="Arial" w:cs="Arial" w:eastAsia="Arial" w:hAnsi="Arial"/>
        </w:rPr>
        <w:t xml:space="preserve">Stock Performance</w:t>
      </w:r>
    </w:p>
    <w:p>
      <w:pPr>
        <w:spacing w:after="120"/>
      </w:pPr>
      <w:r>
        <w:rPr>
          <w:rFonts w:ascii="Arial" w:cs="Arial" w:eastAsia="Arial" w:hAnsi="Arial"/>
          <w:sz w:val="22"/>
          <w:szCs w:val="22"/>
        </w:rPr>
        <w:t xml:space="preserve">Bloom Energy shares surged approximately 291% over the past year, driven by massive AI data center demand and the Oracle partnership. The stock moved from ~$16 to over $198, making it one of the best-performing energy stocks of the year.</w:t>
      </w:r>
    </w:p>
    <w:p>
      <w:pPr>
        <w:spacing w:after="200" w:before="120"/>
        <w:jc w:val="center"/>
      </w:pPr>
      <w:r>
        <w:drawing>
          <wp:inline distT="0" distB="0" distL="0" distR="0">
            <wp:extent cx="5524500" cy="2524125"/>
            <wp:effectExtent t="0" r="0" b="0" l="0"/>
            <wp:docPr id="1" name="BE_chart" descr="1-year price chart for BE" title="B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24125"/>
                    </a:xfrm>
                    <a:prstGeom prst="rect">
                      <a:avLst/>
                    </a:prstGeom>
                  </pic:spPr>
                </pic:pic>
              </a:graphicData>
            </a:graphic>
          </wp:inline>
        </w:drawing>
      </w:r>
    </w:p>
    <w:p>
      <w:pPr>
        <w:pStyle w:val="Heading2"/>
        <w:spacing w:after="100" w:before="100"/>
      </w:pPr>
      <w:r>
        <w:rPr>
          <w:rFonts w:ascii="Arial" w:cs="Arial" w:eastAsia="Arial" w:hAnsi="Arial"/>
        </w:rPr>
        <w:t xml:space="preserve">Comparable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Market Cap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 Power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Hydrogen fuel cells (mobility/forklifts)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FuelCell Energy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Carbonate fuel cells (utility-scale)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Ballard Power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BLDP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PEM fuel cells (heavy-duty transport)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OKLO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Nuclear micro-reactors (data centers)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w:t>
            </w:r>
          </w:p>
        </w:tc>
      </w:tr>
    </w:tbl>
    <w:p>
      <w:r>
        <w:br w:type="page"/>
      </w:r>
    </w:p>
    <w:p>
      <w:pPr>
        <w:pStyle w:val="Heading1"/>
        <w:spacing w:after="120" w:before="120"/>
      </w:pPr>
      <w:r>
        <w:rPr>
          <w:rFonts w:ascii="Arial" w:cs="Arial" w:eastAsia="Arial" w:hAnsi="Arial"/>
        </w:rPr>
        <w:t xml:space="preserve">2. Allo Energy — Private</w:t>
      </w:r>
    </w:p>
    <w:p>
      <w:pPr>
        <w:spacing w:after="120"/>
      </w:pPr>
      <w:r>
        <w:rPr>
          <w:rFonts w:ascii="Arial" w:cs="Arial" w:eastAsia="Arial" w:hAnsi="Arial"/>
          <w:sz w:val="22"/>
          <w:szCs w:val="22"/>
        </w:rPr>
        <w:t xml:space="preserve">"Allo Energy" does not appear to be a publicly traded company. Two private companies match this name:</w:t>
      </w:r>
    </w:p>
    <w:p>
      <w:pPr>
        <w:pStyle w:val="Heading2"/>
        <w:spacing w:after="100" w:before="100"/>
      </w:pPr>
      <w:r>
        <w:rPr>
          <w:rFonts w:ascii="Arial" w:cs="Arial" w:eastAsia="Arial" w:hAnsi="Arial"/>
        </w:rPr>
        <w:t xml:space="preserve">ALLO Energy Ltd (UK)</w:t>
      </w:r>
    </w:p>
    <w:p>
      <w:pPr>
        <w:spacing w:after="120"/>
      </w:pPr>
      <w:r>
        <w:rPr>
          <w:rFonts w:ascii="Arial" w:cs="Arial" w:eastAsia="Arial" w:hAnsi="Arial"/>
          <w:sz w:val="22"/>
          <w:szCs w:val="22"/>
        </w:rPr>
        <w:t xml:space="preserve">A private limited company registered in Scotland, focused on smart-home energy AI and optimization. Limited public financial data available.</w:t>
      </w:r>
    </w:p>
    <w:p>
      <w:pPr>
        <w:pStyle w:val="Heading2"/>
        <w:spacing w:after="100" w:before="100"/>
      </w:pPr>
      <w:r>
        <w:rPr>
          <w:rFonts w:ascii="Arial" w:cs="Arial" w:eastAsia="Arial" w:hAnsi="Arial"/>
        </w:rPr>
        <w:t xml:space="preserve">Alléo Energy (US)</w:t>
      </w:r>
    </w:p>
    <w:p>
      <w:pPr>
        <w:spacing w:after="120"/>
      </w:pPr>
      <w:r>
        <w:rPr>
          <w:rFonts w:ascii="Arial" w:cs="Arial" w:eastAsia="Arial" w:hAnsi="Arial"/>
          <w:sz w:val="22"/>
          <w:szCs w:val="22"/>
        </w:rPr>
        <w:t xml:space="preserve">A US-based private company working on carbon-negative green hydrogen production. Also limited public disclosure. If you meant a different company (e.g., Aalo Atomics for nuclear energy), let me know and I can research that instead.</w:t>
      </w:r>
    </w:p>
    <w:p>
      <w:r>
        <w:br w:type="page"/>
      </w:r>
    </w:p>
    <w:p>
      <w:pPr>
        <w:pStyle w:val="Heading1"/>
        <w:spacing w:after="120" w:before="120"/>
      </w:pPr>
      <w:r>
        <w:rPr>
          <w:rFonts w:ascii="Arial" w:cs="Arial" w:eastAsia="Arial" w:hAnsi="Arial"/>
        </w:rPr>
        <w:t xml:space="preserve">3. Sidus Space (SIDU) — Public Stock</w:t>
      </w:r>
    </w:p>
    <w:p>
      <w:pPr>
        <w:spacing w:after="120"/>
      </w:pPr>
      <w:r>
        <w:rPr>
          <w:rFonts w:ascii="Arial" w:cs="Arial" w:eastAsia="Arial" w:hAnsi="Arial"/>
          <w:sz w:val="22"/>
          <w:szCs w:val="22"/>
        </w:rPr>
        <w:t xml:space="preserve">Sidus Space is a micro-cap satellite company providing space-as-a-service through its LizzieSat multi-mission platform, onboard AI computing (FeatherEdge), and mission software (FeatherWare). The company designs, manufactures, and operates small satellites for near-real-time Earth observation and data analytics.</w:t>
      </w:r>
    </w:p>
    <w:p>
      <w:pPr>
        <w:pStyle w:val="Heading2"/>
        <w:spacing w:after="100" w:before="100"/>
      </w:pPr>
      <w:r>
        <w:rPr>
          <w:rFonts w:ascii="Arial" w:cs="Arial" w:eastAsia="Arial" w:hAnsi="Arial"/>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Price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~$328M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(Trailing)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(unprofitable)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 Revenue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52-Week Low/High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 / ~$5.00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Aerospace &amp; Defense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HQ</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Cape Canaveral, Florida</w:t>
            </w:r>
          </w:p>
        </w:tc>
      </w:tr>
    </w:tbl>
    <w:p>
      <w:pPr>
        <w:pStyle w:val="Heading2"/>
        <w:spacing w:after="100" w:before="100"/>
      </w:pPr>
      <w:r>
        <w:rPr>
          <w:rFonts w:ascii="Arial" w:cs="Arial" w:eastAsia="Arial" w:hAnsi="Arial"/>
        </w:rPr>
        <w:t xml:space="preserve">Stock Performance</w:t>
      </w:r>
    </w:p>
    <w:p>
      <w:pPr>
        <w:spacing w:after="120"/>
      </w:pPr>
      <w:r>
        <w:rPr>
          <w:rFonts w:ascii="Arial" w:cs="Arial" w:eastAsia="Arial" w:hAnsi="Arial"/>
          <w:sz w:val="22"/>
          <w:szCs w:val="22"/>
        </w:rPr>
        <w:t xml:space="preserve">SIDU surged ~97% in late March/early April 2026 after being selected for the Missile Defense Agency (MDA) SHIELD program — an IDIQ contract with a $151B ceiling. YTD the stock is up roughly 44%. However, the company remains deeply unprofitable with a net loss of $29.5M in 2025.</w:t>
      </w:r>
    </w:p>
    <w:p>
      <w:pPr>
        <w:spacing w:after="200" w:before="120"/>
        <w:jc w:val="center"/>
      </w:pPr>
      <w:r>
        <w:drawing>
          <wp:inline distT="0" distB="0" distL="0" distR="0">
            <wp:extent cx="5524500" cy="2524125"/>
            <wp:effectExtent t="0" r="0" b="0" l="0"/>
            <wp:docPr id="1" name="SIDU_chart" descr="1-year price chart for SIDU" title="SIDU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24125"/>
                    </a:xfrm>
                    <a:prstGeom prst="rect">
                      <a:avLst/>
                    </a:prstGeom>
                  </pic:spPr>
                </pic:pic>
              </a:graphicData>
            </a:graphic>
          </wp:inline>
        </w:drawing>
      </w:r>
    </w:p>
    <w:p>
      <w:pPr>
        <w:pStyle w:val="Heading2"/>
        <w:spacing w:after="100" w:before="100"/>
      </w:pPr>
      <w:r>
        <w:rPr>
          <w:rFonts w:ascii="Arial" w:cs="Arial" w:eastAsia="Arial" w:hAnsi="Arial"/>
        </w:rPr>
        <w:t xml:space="preserve">Comparable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5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Rocket Lab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RKLB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launch vehicles + satellite buses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 SpaceMobile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Space-based cellular broadband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York Space Systems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Tactical small satellites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Iridium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IRDM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satellite communications</w:t>
            </w:r>
          </w:p>
        </w:tc>
      </w:tr>
    </w:tbl>
    <w:p>
      <w:r>
        <w:br w:type="page"/>
      </w:r>
    </w:p>
    <w:p>
      <w:pPr>
        <w:pStyle w:val="Heading1"/>
        <w:spacing w:after="120" w:before="120"/>
      </w:pPr>
      <w:r>
        <w:rPr>
          <w:rFonts w:ascii="Arial" w:cs="Arial" w:eastAsia="Arial" w:hAnsi="Arial"/>
        </w:rPr>
        <w:t xml:space="preserve">4. Power Infrastructure ETFs — GRID &amp; VOLT</w:t>
      </w:r>
    </w:p>
    <w:p>
      <w:pPr>
        <w:spacing w:after="120"/>
      </w:pPr>
      <w:r>
        <w:rPr>
          <w:rFonts w:ascii="Arial" w:cs="Arial" w:eastAsia="Arial" w:hAnsi="Arial"/>
          <w:sz w:val="22"/>
          <w:szCs w:val="22"/>
        </w:rPr>
        <w:t xml:space="preserve">Two ETFs best capture the "power infrastructure" theme:</w:t>
      </w:r>
    </w:p>
    <w:p>
      <w:pPr>
        <w:pStyle w:val="Heading2"/>
        <w:spacing w:after="100" w:before="100"/>
      </w:pPr>
      <w:r>
        <w:rPr>
          <w:rFonts w:ascii="Arial" w:cs="Arial" w:eastAsia="Arial" w:hAnsi="Arial"/>
        </w:rPr>
        <w:t xml:space="preserve">GRID — First Trust NASDAQ Clean Edge Smart Grid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Ratio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1-Year Return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stocks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grid, electric utilities, energy storage</w:t>
            </w:r>
          </w:p>
        </w:tc>
      </w:tr>
    </w:tbl>
    <w:p>
      <w:pPr>
        <w:spacing w:after="120"/>
      </w:pPr>
      <w:r>
        <w:rPr>
          <w:rFonts w:ascii="Arial" w:cs="Arial" w:eastAsia="Arial" w:hAnsi="Arial"/>
          <w:sz w:val="22"/>
          <w:szCs w:val="22"/>
        </w:rPr>
        <w:t xml:space="preserve">Top 5 Holdings: Eaton Corp (8.3%), National Grid (8.0%), Johnson Controls (8.0%), ABB Ltd (7.6%), Schneider Electric (7.2%).</w:t>
      </w:r>
    </w:p>
    <w:p>
      <w:pPr>
        <w:spacing w:after="200" w:before="120"/>
        <w:jc w:val="center"/>
      </w:pPr>
      <w:r>
        <w:drawing>
          <wp:inline distT="0" distB="0" distL="0" distR="0">
            <wp:extent cx="5524500" cy="2524125"/>
            <wp:effectExtent t="0" r="0" b="0" l="0"/>
            <wp:docPr id="1" name="GRID_chart" descr="1-year price chart for GRID" title="GRI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24125"/>
                    </a:xfrm>
                    <a:prstGeom prst="rect">
                      <a:avLst/>
                    </a:prstGeom>
                  </pic:spPr>
                </pic:pic>
              </a:graphicData>
            </a:graphic>
          </wp:inline>
        </w:drawing>
      </w:r>
    </w:p>
    <w:p>
      <w:pPr>
        <w:pStyle w:val="Heading2"/>
        <w:spacing w:after="100" w:before="100"/>
      </w:pPr>
      <w:r>
        <w:rPr>
          <w:rFonts w:ascii="Arial" w:cs="Arial" w:eastAsia="Arial" w:hAnsi="Arial"/>
        </w:rPr>
        <w:t xml:space="preserve">VOLT — Tema Electrification ETF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Ratio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1-Year Return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stocks (concentrated)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electrification, grid infra, nuclear</w:t>
            </w:r>
          </w:p>
        </w:tc>
      </w:tr>
    </w:tbl>
    <w:p>
      <w:pPr>
        <w:spacing w:after="120"/>
      </w:pPr>
      <w:r>
        <w:rPr>
          <w:rFonts w:ascii="Arial" w:cs="Arial" w:eastAsia="Arial" w:hAnsi="Arial"/>
          <w:sz w:val="22"/>
          <w:szCs w:val="22"/>
        </w:rPr>
        <w:t xml:space="preserve">Top 5 Holdings: Bel Fuse (6.6%), Powell Industries (6.5%), NextEra Energy (6.4%), Quanta Services (4.9%), American Electric Power (4.7%). VOLT is more concentrated and actively managed vs. GRID's passive index approach.</w:t>
      </w:r>
    </w:p>
    <w:p>
      <w:pPr>
        <w:spacing w:after="200" w:before="120"/>
        <w:jc w:val="center"/>
      </w:pPr>
      <w:r>
        <w:drawing>
          <wp:inline distT="0" distB="0" distL="0" distR="0">
            <wp:extent cx="5524500" cy="2524125"/>
            <wp:effectExtent t="0" r="0" b="0" l="0"/>
            <wp:docPr id="1" name="VOLT_chart" descr="1-year price chart for VOLT" title="VOL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24125"/>
                    </a:xfrm>
                    <a:prstGeom prst="rect">
                      <a:avLst/>
                    </a:prstGeom>
                  </pic:spPr>
                </pic:pic>
              </a:graphicData>
            </a:graphic>
          </wp:inline>
        </w:drawing>
      </w:r>
    </w:p>
    <w:p>
      <w:r>
        <w:br w:type="page"/>
      </w:r>
    </w:p>
    <w:p>
      <w:pPr>
        <w:pStyle w:val="Heading1"/>
        <w:spacing w:after="120" w:before="120"/>
      </w:pPr>
      <w:r>
        <w:rPr>
          <w:rFonts w:ascii="Arial" w:cs="Arial" w:eastAsia="Arial" w:hAnsi="Arial"/>
        </w:rPr>
        <w:t xml:space="preserve">5. Cerebras Systems — Private (IPO Pending)</w:t>
      </w:r>
    </w:p>
    <w:p>
      <w:pPr>
        <w:spacing w:after="120"/>
      </w:pPr>
      <w:r>
        <w:rPr>
          <w:rFonts w:ascii="Arial" w:cs="Arial" w:eastAsia="Arial" w:hAnsi="Arial"/>
          <w:sz w:val="22"/>
          <w:szCs w:val="22"/>
        </w:rPr>
        <w:t xml:space="preserve">Cerebras builds the world's largest AI chips, including the Wafer Scale Engine (WSE), which packs an entire wafer's worth of transistors into a single chip. The company competes directly with Nvidia in AI training and inference hardware.</w:t>
      </w:r>
    </w:p>
    <w:p>
      <w:pPr>
        <w:pStyle w:val="Heading2"/>
        <w:spacing w:after="100" w:before="100"/>
      </w:pPr>
      <w:r>
        <w:rPr>
          <w:rFonts w:ascii="Arial" w:cs="Arial" w:eastAsia="Arial" w:hAnsi="Arial"/>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$23.1B (Series H, Feb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Funding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~$2.9B across 8 rounds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 Revenue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$78.7M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 Revenue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~$421M (estimated)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Deal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$10B+ compute agreement with OpenAI through 2028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IPO Target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2026, Nasdaq (ticker: CBRS)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HQ</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Sunnyvale, California</w:t>
            </w:r>
          </w:p>
        </w:tc>
      </w:tr>
    </w:tbl>
    <w:p>
      <w:pPr>
        <w:pStyle w:val="Heading2"/>
        <w:spacing w:after="100" w:before="100"/>
      </w:pPr>
      <w:r>
        <w:rPr>
          <w:rFonts w:ascii="Arial" w:cs="Arial" w:eastAsia="Arial" w:hAnsi="Arial"/>
        </w:rPr>
        <w:t xml:space="preserve">Funding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 2025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2026</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$23.1B</w:t>
            </w:r>
          </w:p>
        </w:tc>
      </w:tr>
    </w:tbl>
    <w:p>
      <w:pPr>
        <w:spacing w:after="120"/>
      </w:pPr>
      <w:r>
        <w:rPr>
          <w:rFonts w:ascii="Arial" w:cs="Arial" w:eastAsia="Arial" w:hAnsi="Arial"/>
          <w:sz w:val="22"/>
          <w:szCs w:val="22"/>
        </w:rPr>
        <w:t xml:space="preserve">Key investors include Tiger Global, AMD, Fidelity, Benchmark, Coatue, and Altimeter. CFIUS cleared the company after G42's stake was restructured to non-voting shares.</w:t>
      </w:r>
    </w:p>
    <w:p>
      <w:r>
        <w:br w:type="page"/>
      </w:r>
    </w:p>
    <w:p>
      <w:pPr>
        <w:pStyle w:val="Heading1"/>
        <w:spacing w:after="120" w:before="120"/>
      </w:pPr>
      <w:r>
        <w:rPr>
          <w:rFonts w:ascii="Arial" w:cs="Arial" w:eastAsia="Arial" w:hAnsi="Arial"/>
        </w:rPr>
        <w:t xml:space="preserve">6. Luma AI — Private</w:t>
      </w:r>
    </w:p>
    <w:p>
      <w:pPr>
        <w:spacing w:after="120"/>
      </w:pPr>
      <w:r>
        <w:rPr>
          <w:rFonts w:ascii="Arial" w:cs="Arial" w:eastAsia="Arial" w:hAnsi="Arial"/>
          <w:sz w:val="22"/>
          <w:szCs w:val="22"/>
        </w:rPr>
        <w:t xml:space="preserve">Luma AI develops generative AI models for video and image creation. Its flagship product, Dream Machine, enables users to generate photorealistic videos from text and image prompts. The company targets creators, advertisers, and film studios.</w:t>
      </w:r>
    </w:p>
    <w:p>
      <w:pPr>
        <w:pStyle w:val="Heading2"/>
        <w:spacing w:after="100" w:before="100"/>
      </w:pPr>
      <w:r>
        <w:rPr>
          <w:rFonts w:ascii="Arial" w:cs="Arial" w:eastAsia="Arial" w:hAnsi="Arial"/>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$4.0B (Nov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Funding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$1.07B across 6 rounds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$900M (led by Humain, Saudi-backed)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 Revenue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(creators) + Enterprise (studios)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HQ</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Palo Alto, California</w:t>
            </w:r>
          </w:p>
        </w:tc>
      </w:tr>
    </w:tbl>
    <w:p>
      <w:pPr>
        <w:spacing w:after="120"/>
      </w:pPr>
      <w:r>
        <w:rPr>
          <w:rFonts w:ascii="Arial" w:cs="Arial" w:eastAsia="Arial" w:hAnsi="Arial"/>
          <w:sz w:val="22"/>
          <w:szCs w:val="22"/>
        </w:rPr>
        <w:t xml:space="preserve">Key investors include Amazon, Andreessen Horowitz, and Amplify Partners. Luma competes with Runway, Pika, and OpenAI's Sora in the AI video generation space.</w:t>
      </w:r>
    </w:p>
    <w:p>
      <w:r>
        <w:br w:type="page"/>
      </w:r>
    </w:p>
    <w:p>
      <w:pPr>
        <w:pStyle w:val="Heading1"/>
        <w:spacing w:after="120" w:before="120"/>
      </w:pPr>
      <w:r>
        <w:rPr>
          <w:rFonts w:ascii="Arial" w:cs="Arial" w:eastAsia="Arial" w:hAnsi="Arial"/>
        </w:rPr>
        <w:t xml:space="preserve">7. Scale AI — Private</w:t>
      </w:r>
    </w:p>
    <w:p>
      <w:pPr>
        <w:spacing w:after="120"/>
      </w:pPr>
      <w:r>
        <w:rPr>
          <w:rFonts w:ascii="Arial" w:cs="Arial" w:eastAsia="Arial" w:hAnsi="Arial"/>
          <w:sz w:val="22"/>
          <w:szCs w:val="22"/>
        </w:rPr>
        <w:t xml:space="preserve">Scale AI provides data infrastructure for AI development, including data labeling, model evaluation, and synthetic data generation. Originally a labeling company, Scale evolved into a critical AI supply chain player serving OpenAI, Google, Microsoft, Meta, and the US Department of Defense.</w:t>
      </w:r>
    </w:p>
    <w:p>
      <w:pPr>
        <w:pStyle w:val="Heading2"/>
        <w:spacing w:after="100" w:before="100"/>
      </w:pPr>
      <w:r>
        <w:rPr>
          <w:rFonts w:ascii="Arial" w:cs="Arial" w:eastAsia="Arial" w:hAnsi="Arial"/>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$29B (post-Meta investment)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Funding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~$15.9B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Investment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$14.8B for 49% non-voting stake (Jun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 Revenue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$870M (ARR $1.5B by year-end)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 Revenue Target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 (+130% YoY)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Contracts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Google, Microsoft, DoD ($249M)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HQ</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Francisco, California</w:t>
            </w:r>
          </w:p>
        </w:tc>
      </w:tr>
    </w:tbl>
    <w:p>
      <w:pPr>
        <w:spacing w:after="120"/>
      </w:pPr>
      <w:r>
        <w:rPr>
          <w:rFonts w:ascii="Arial" w:cs="Arial" w:eastAsia="Arial" w:hAnsi="Arial"/>
          <w:sz w:val="22"/>
          <w:szCs w:val="22"/>
        </w:rPr>
        <w:t xml:space="preserve">Former CEO Alexandr Wang moved to a senior role inside Meta as part of the deal. Scale is now led by former Uber executive Jason Droege as CEO. No IPO has been announced.</w:t>
      </w:r>
    </w:p>
    <w:p>
      <w:r>
        <w:br w:type="page"/>
      </w:r>
    </w:p>
    <w:p>
      <w:pPr>
        <w:pStyle w:val="Heading1"/>
        <w:spacing w:after="120" w:before="120"/>
      </w:pPr>
      <w:r>
        <w:rPr>
          <w:rFonts w:ascii="Arial" w:cs="Arial" w:eastAsia="Arial" w:hAnsi="Arial"/>
        </w:rPr>
        <w:t xml:space="preserve">8. Castelion — Private</w:t>
      </w:r>
    </w:p>
    <w:p>
      <w:pPr>
        <w:spacing w:after="120"/>
      </w:pPr>
      <w:r>
        <w:rPr>
          <w:rFonts w:ascii="Arial" w:cs="Arial" w:eastAsia="Arial" w:hAnsi="Arial"/>
          <w:sz w:val="22"/>
          <w:szCs w:val="22"/>
        </w:rPr>
        <w:t xml:space="preserve">Castelion is a modern defense production company specializing in advanced hypersonic strike systems. Founded in 2022, it became a unicorn in just 3 years. The company applies modern hardware development and manufacturing processes to address national security challenges, with its flagship product being the Blackbeard hypersonic missile system.</w:t>
      </w:r>
    </w:p>
    <w:p>
      <w:pPr>
        <w:pStyle w:val="Heading2"/>
        <w:spacing w:after="100" w:before="100"/>
      </w:pPr>
      <w:r>
        <w:rPr>
          <w:rFonts w:ascii="Arial" w:cs="Arial" w:eastAsia="Arial" w:hAnsi="Arial"/>
        </w:rP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$2.8B (Series B, Jul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Funding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~$504M across 5 rounds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$350M–$360M (Jul 2025, 12 investors)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~166 (as of Mar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Flagship Product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Blackbeard hypersonic missile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HQ</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Segundo, California</w:t>
            </w:r>
          </w:p>
        </w:tc>
      </w:tr>
    </w:tbl>
    <w:p>
      <w:pPr>
        <w:pStyle w:val="Heading2"/>
        <w:spacing w:after="100" w:before="100"/>
      </w:pPr>
      <w:r>
        <w:rPr>
          <w:rFonts w:ascii="Arial" w:cs="Arial" w:eastAsia="Arial" w:hAnsi="Arial"/>
        </w:rPr>
        <w:t xml:space="preserve">Key Developments</w:t>
      </w:r>
    </w:p>
    <w:p>
      <w:pPr>
        <w:spacing w:after="120"/>
      </w:pPr>
      <w:r>
        <w:rPr>
          <w:rFonts w:ascii="Arial" w:cs="Arial" w:eastAsia="Arial" w:hAnsi="Arial"/>
          <w:sz w:val="22"/>
          <w:szCs w:val="22"/>
        </w:rPr>
        <w:t xml:space="preserve">In January 2026, Castelion broke ground on Project Ranger, a 1,000-acre manufacturing campus in Rio Rancho, NM, designed for high-cadence production of hypersonic strike systems. The company completed a major flight test at Point Mugu Sea Range with the Naval Air Warfare Center Weapons Division. Backed by a16z and other top-tier investors. Plans for continued high-tempo testing in 2026 with increasingly complex capability demonstrations.</w:t>
      </w:r>
    </w:p>
    <w:p>
      <w:pPr>
        <w:spacing w:before="400"/>
      </w:pPr>
    </w:p>
    <w:p>
      <w:pPr>
        <w:spacing w:before="200"/>
      </w:pPr>
      <w:r>
        <w:rPr>
          <w:rFonts w:ascii="Arial" w:cs="Arial" w:eastAsia="Arial" w:hAnsi="Arial"/>
          <w:b/>
          <w:bCs/>
          <w:i/>
          <w:iCs/>
          <w:color w:val="888888"/>
          <w:sz w:val="18"/>
          <w:szCs w:val="18"/>
        </w:rPr>
        <w:t xml:space="preserve">Disclaimer: </w:t>
      </w:r>
      <w:r>
        <w:rPr>
          <w:rFonts w:ascii="Arial" w:cs="Arial" w:eastAsia="Arial" w:hAnsi="Arial"/>
          <w:i/>
          <w:iCs/>
          <w:color w:val="888888"/>
          <w:sz w:val="18"/>
          <w:szCs w:val="18"/>
        </w:rPr>
        <w:t xml:space="preserve">This report is for informational purposes only and does not constitute investment advice. Data sourced from public filings, news reports, and financial databases as of April 2026. Verify all figures before making investment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Ticker Research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3A6B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f1a31194ce4442dacc318dc1b15600ff4def73.png"/><Relationship Id="rId10" Type="http://schemas.openxmlformats.org/officeDocument/2006/relationships/image" Target="media/e70bad286242938f8970fa5b7fb02457ecbf4917.png"/><Relationship Id="rId11" Type="http://schemas.openxmlformats.org/officeDocument/2006/relationships/image" Target="media/02c9ece4367efd5dab5088b3cfb03f203b5b2d19.png"/><Relationship Id="rId12" Type="http://schemas.openxmlformats.org/officeDocument/2006/relationships/image" Target="media/bd19c0c11b6673f88c007db41db93210256828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2026-04-15T04:28:16.181Z</dcterms:created>
  <dcterms:modified xsi:type="dcterms:W3CDTF">2026-04-15T04:28:16.181Z</dcterms:modified>
</cp:coreProperties>
</file>

<file path=docProps/custom.xml><?xml version="1.0" encoding="utf-8"?>
<Properties xmlns="http://schemas.openxmlformats.org/officeDocument/2006/custom-properties" xmlns:vt="http://schemas.openxmlformats.org/officeDocument/2006/docPropsVTypes"/>
</file>