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3864"/>
          <w:sz w:val="44"/>
          <w:szCs w:val="44"/>
        </w:rPr>
        <w:t xml:space="preserve">Verda Research Memo</w:t>
      </w:r>
    </w:p>
    <w:p>
      <w:pPr>
        <w:spacing w:after="100"/>
        <w:jc w:val="center"/>
      </w:pPr>
      <w:r>
        <w:rPr>
          <w:i/>
          <w:iCs/>
          <w:color w:val="595959"/>
          <w:sz w:val="26"/>
          <w:szCs w:val="26"/>
        </w:rPr>
        <w:t xml:space="preserve">Investment Opportunity Analysis</w:t>
      </w:r>
    </w:p>
    <w:p>
      <w:pPr>
        <w:spacing w:after="400"/>
        <w:jc w:val="center"/>
      </w:pPr>
      <w:r>
        <w:rPr>
          <w:color w:val="808080"/>
          <w:sz w:val="20"/>
          <w:szCs w:val="20"/>
        </w:rPr>
        <w:t xml:space="preserve">Prepared: April 13, 2026  |  Author: Claude (VC/Financial Analysis)</w:t>
      </w:r>
    </w:p>
    <w:p>
      <w:pPr>
        <w:pStyle w:val="Heading1"/>
      </w:pPr>
      <w:r>
        <w:t xml:space="preserve">1. Executive Summary</w:t>
      </w:r>
    </w:p>
    <w:p>
      <w:pPr>
        <w:spacing w:after="120"/>
      </w:pPr>
      <w:r>
        <w:t xml:space="preserve">This memo evaluates a potential investment in Verda, which appears to refer to Verda Ventures — a fintech and crypto-native venture capital firm focused on stablecoin-enabled financial services in emerging markets. Verda Ventures is the manager of the $40M MiniPay Fund, launched in partnership with Opera, Jump Crypto, Borderless Capital, and the Celo Foundation.</w:t>
      </w:r>
    </w:p>
    <w:p>
      <w:pPr>
        <w:spacing w:after="120"/>
      </w:pPr>
      <w:r>
        <w:t xml:space="preserve">If the user's opportunity is (a) an LP position in a Verda-managed vehicle, or (b) a direct investment into a Verda Ventures portfolio company, the underlying thesis is the same: mobile-first, stablecoin-based financial infrastructure for the 1B+ underbanked consumers across Sub-Saharan Africa, LatAm, and South/Southeast Asia.</w:t>
      </w:r>
    </w:p>
    <w:p>
      <w:pPr>
        <w:spacing w:after="100"/>
      </w:pPr>
      <w:r>
        <w:rPr>
          <w:b/>
          <w:bCs/>
        </w:rPr>
        <w:t xml:space="preserve">Recommendation: Constructive interest, pending diligence on (1) exact legal structure of the opportunity, (2) latest portfolio markup / IRR, and (3) GP alignment and fee terms.</w:t>
      </w:r>
    </w:p>
    <w:p>
      <w:pPr>
        <w:spacing w:after="120"/>
      </w:pPr>
      <w:r>
        <w:t xml:space="preserve">NOTE: 'Verda' is a generic name shared by several smaller companies (e.g., real-estate SaaS, cleantech, regional consumer brands). This memo assumes Verda Ventures as the target. If the opportunity is a different Verda entity, the conclusions below should be treated as directional only and we should re-scope.</w:t>
      </w:r>
    </w:p>
    <w:p>
      <w:pPr>
        <w:pStyle w:val="Heading1"/>
      </w:pPr>
      <w:r>
        <w:t xml:space="preserve">2. Company / Fund Overview</w:t>
      </w:r>
    </w:p>
    <w:p>
      <w:pPr>
        <w:pStyle w:val="Heading2"/>
      </w:pPr>
      <w:r>
        <w:t xml:space="preserve">What Verda Ventures Does</w:t>
      </w:r>
    </w:p>
    <w:p>
      <w:pPr>
        <w:pStyle w:val="ListParagraph"/>
        <w:numPr>
          <w:ilvl w:val="0"/>
          <w:numId w:val="2"/>
        </w:numPr>
      </w:pPr>
      <w:r>
        <w:t xml:space="preserve">Early- and growth-stage venture capital, writing checks from $100K to $2M.</w:t>
      </w:r>
    </w:p>
    <w:p>
      <w:pPr>
        <w:pStyle w:val="ListParagraph"/>
        <w:numPr>
          <w:ilvl w:val="0"/>
          <w:numId w:val="2"/>
        </w:numPr>
      </w:pPr>
      <w:r>
        <w:t xml:space="preserve">Thesis: stablecoin rails will leapfrog legacy banking in emerging markets, the same way mobile money did a decade ago.</w:t>
      </w:r>
    </w:p>
    <w:p>
      <w:pPr>
        <w:pStyle w:val="ListParagraph"/>
        <w:numPr>
          <w:ilvl w:val="0"/>
          <w:numId w:val="2"/>
        </w:numPr>
      </w:pPr>
      <w:r>
        <w:t xml:space="preserve">Key verticals: payments, remittances, digital identity, mobile banking, SME lending, and stablecoin-based investments.</w:t>
      </w:r>
    </w:p>
    <w:p>
      <w:pPr>
        <w:pStyle w:val="ListParagraph"/>
        <w:numPr>
          <w:ilvl w:val="0"/>
          <w:numId w:val="2"/>
        </w:numPr>
      </w:pPr>
      <w:r>
        <w:t xml:space="preserve">MiniPay Fund ($40M) is the flagship vehicle, co-anchored by Opera (distribution via the Opera Mini browser, ~400M users) and the Celo ecosystem (low-cost stablecoin rails).</w:t>
      </w:r>
    </w:p>
    <w:p>
      <w:pPr>
        <w:pStyle w:val="Heading2"/>
      </w:pPr>
      <w:r>
        <w:t xml:space="preserve">Strategic Advantages</w:t>
      </w:r>
    </w:p>
    <w:p>
      <w:pPr>
        <w:pStyle w:val="ListParagraph"/>
        <w:numPr>
          <w:ilvl w:val="0"/>
          <w:numId w:val="2"/>
        </w:numPr>
      </w:pPr>
      <w:r>
        <w:t xml:space="preserve">Distribution moat: portfolio companies plug directly into MiniPay, which already reaches millions of Opera Mini users.</w:t>
      </w:r>
    </w:p>
    <w:p>
      <w:pPr>
        <w:pStyle w:val="ListParagraph"/>
        <w:numPr>
          <w:ilvl w:val="0"/>
          <w:numId w:val="2"/>
        </w:numPr>
      </w:pPr>
      <w:r>
        <w:t xml:space="preserve">Infrastructure moat: integration with Celo gives portfolio companies cheap, fast stablecoin settlement out of the box.</w:t>
      </w:r>
    </w:p>
    <w:p>
      <w:pPr>
        <w:pStyle w:val="ListParagraph"/>
        <w:numPr>
          <w:ilvl w:val="0"/>
          <w:numId w:val="2"/>
        </w:numPr>
      </w:pPr>
      <w:r>
        <w:t xml:space="preserve">Capital-efficient model: the fund co-invests alongside Jump Crypto and Borderless Capital, giving portfolio companies access to crypto-native technical, liquidity, and market-making resources.</w:t>
      </w:r>
    </w:p>
    <w:p>
      <w:pPr>
        <w:pStyle w:val="Heading1"/>
      </w:pPr>
      <w:r>
        <w:t xml:space="preserve">3. Market &amp; Growth Potential</w:t>
      </w:r>
    </w:p>
    <w:p>
      <w:pPr>
        <w:pStyle w:val="Heading2"/>
      </w:pPr>
      <w:r>
        <w:t xml:space="preserve">TAM</w:t>
      </w:r>
    </w:p>
    <w:p>
      <w:pPr>
        <w:pStyle w:val="ListParagraph"/>
        <w:numPr>
          <w:ilvl w:val="0"/>
          <w:numId w:val="2"/>
        </w:numPr>
      </w:pPr>
      <w:r>
        <w:t xml:space="preserve">Global fintech market projected to grow from ~$460B (2026) to ~$1.76T by 2034, a ~16% CAGR.</w:t>
      </w:r>
    </w:p>
    <w:p>
      <w:pPr>
        <w:pStyle w:val="ListParagraph"/>
        <w:numPr>
          <w:ilvl w:val="0"/>
          <w:numId w:val="2"/>
        </w:numPr>
      </w:pPr>
      <w:r>
        <w:t xml:space="preserve">Stablecoin transaction volume has passed $10T/year globally and is the fastest-growing primitive within fintech.</w:t>
      </w:r>
    </w:p>
    <w:p>
      <w:pPr>
        <w:pStyle w:val="ListParagraph"/>
        <w:numPr>
          <w:ilvl w:val="0"/>
          <w:numId w:val="2"/>
        </w:numPr>
      </w:pPr>
      <w:r>
        <w:t xml:space="preserve">Sub-Saharan Africa: 350M+ unbanked adults, $65M+ SMEs underserved by credit.</w:t>
      </w:r>
    </w:p>
    <w:p>
      <w:pPr>
        <w:pStyle w:val="ListParagraph"/>
        <w:numPr>
          <w:ilvl w:val="0"/>
          <w:numId w:val="2"/>
        </w:numPr>
      </w:pPr>
      <w:r>
        <w:t xml:space="preserve">Remittance corridors (LatAm → US, SEA → Gulf, Africa → EU) represent $800B+ in annual flows with double-digit legacy friction costs.</w:t>
      </w:r>
    </w:p>
    <w:p>
      <w:pPr>
        <w:pStyle w:val="Heading2"/>
      </w:pPr>
      <w:r>
        <w:t xml:space="preserve">Growth Drivers</w:t>
      </w:r>
    </w:p>
    <w:p>
      <w:pPr>
        <w:pStyle w:val="ListParagraph"/>
        <w:numPr>
          <w:ilvl w:val="0"/>
          <w:numId w:val="2"/>
        </w:numPr>
      </w:pPr>
      <w:r>
        <w:t xml:space="preserve">Regulatory tailwinds: stablecoin frameworks progressing in US (GENIUS Act-style rules), EU (MiCA), UAE, Singapore, Brazil.</w:t>
      </w:r>
    </w:p>
    <w:p>
      <w:pPr>
        <w:pStyle w:val="ListParagraph"/>
        <w:numPr>
          <w:ilvl w:val="0"/>
          <w:numId w:val="2"/>
        </w:numPr>
      </w:pPr>
      <w:r>
        <w:t xml:space="preserve">Mobile penetration now &gt; 85% in most target emerging markets; smartphone costs continuing to fall.</w:t>
      </w:r>
    </w:p>
    <w:p>
      <w:pPr>
        <w:pStyle w:val="ListParagraph"/>
        <w:numPr>
          <w:ilvl w:val="0"/>
          <w:numId w:val="2"/>
        </w:numPr>
      </w:pPr>
      <w:r>
        <w:t xml:space="preserve">AI-first underwriting and fraud detection lowering CAC/loss ratios for EM fintech originators.</w:t>
      </w:r>
    </w:p>
    <w:p>
      <w:pPr>
        <w:pStyle w:val="Heading2"/>
      </w:pPr>
      <w:r>
        <w:t xml:space="preserve">Risks</w:t>
      </w:r>
    </w:p>
    <w:p>
      <w:pPr>
        <w:pStyle w:val="ListParagraph"/>
        <w:numPr>
          <w:ilvl w:val="0"/>
          <w:numId w:val="2"/>
        </w:numPr>
      </w:pPr>
      <w:r>
        <w:t xml:space="preserve">Regulatory reversal or capital-controls tightening in key corridors (e.g., Nigeria FX rules, India crypto stance).</w:t>
      </w:r>
    </w:p>
    <w:p>
      <w:pPr>
        <w:pStyle w:val="ListParagraph"/>
        <w:numPr>
          <w:ilvl w:val="0"/>
          <w:numId w:val="2"/>
        </w:numPr>
      </w:pPr>
      <w:r>
        <w:t xml:space="preserve">Stablecoin depeg or counterparty risk at issuer level (USDC, USDT, cUSD).</w:t>
      </w:r>
    </w:p>
    <w:p>
      <w:pPr>
        <w:pStyle w:val="ListParagraph"/>
        <w:numPr>
          <w:ilvl w:val="0"/>
          <w:numId w:val="2"/>
        </w:numPr>
      </w:pPr>
      <w:r>
        <w:t xml:space="preserve">Concentrated distribution reliance on Opera / MiniPay — single channel risk.</w:t>
      </w:r>
    </w:p>
    <w:p>
      <w:pPr>
        <w:pStyle w:val="ListParagraph"/>
        <w:numPr>
          <w:ilvl w:val="0"/>
          <w:numId w:val="2"/>
        </w:numPr>
      </w:pPr>
      <w:r>
        <w:t xml:space="preserve">VC liquidity cycle: EM fintech exits are historically slow (7–10 years).</w:t>
      </w:r>
    </w:p>
    <w:p>
      <w:pPr>
        <w:pStyle w:val="Heading1"/>
      </w:pPr>
      <w:r>
        <w:t xml:space="preserve">4. Verda Funding &amp; Valuation Timeline</w:t>
      </w:r>
    </w:p>
    <w:p>
      <w:pPr>
        <w:spacing w:after="120"/>
      </w:pPr>
      <w:r>
        <w:t xml:space="preserve">Note: Verda Ventures is a relatively new and privately held VC firm, so public data is thin. Treat the timeline below as directional — confirm against the firm's own data room before committing.</w:t>
      </w:r>
    </w:p>
    <w:p>
      <w:pPr>
        <w:pStyle w:val="Heading2"/>
      </w:pPr>
      <w:r>
        <w:t xml:space="preserve">Known Milestones</w:t>
      </w:r>
    </w:p>
    <w:p>
      <w:pPr>
        <w:pStyle w:val="ListParagraph"/>
        <w:numPr>
          <w:ilvl w:val="0"/>
          <w:numId w:val="2"/>
        </w:numPr>
      </w:pPr>
      <w:r>
        <w:t xml:space="preserve">2023 — Firm founded; based in Incline Village, Nevada. First vehicle: Verda Ventures Tokenized Credit Fund 1 (2023 vintage, early-stage).</w:t>
      </w:r>
    </w:p>
    <w:p>
      <w:pPr>
        <w:pStyle w:val="ListParagraph"/>
        <w:numPr>
          <w:ilvl w:val="0"/>
          <w:numId w:val="2"/>
        </w:numPr>
      </w:pPr>
      <w:r>
        <w:t xml:space="preserve">2024 (Q4) — Launch of the $40M MiniPay Fund in partnership with Opera, Jump Crypto, Borderless Capital, and the Celo Foundation. Anchored by Opera's distribution (Opera Mini ~400M MAU) and Celo's stablecoin rails.</w:t>
      </w:r>
    </w:p>
    <w:p>
      <w:pPr>
        <w:pStyle w:val="ListParagraph"/>
        <w:numPr>
          <w:ilvl w:val="0"/>
          <w:numId w:val="2"/>
        </w:numPr>
      </w:pPr>
      <w:r>
        <w:t xml:space="preserve">2024–2025 — Active deployment across payments, remittances, stablecoin banking, and SME lending in Sub-Saharan Africa, LatAm, and SEA.</w:t>
      </w:r>
    </w:p>
    <w:p>
      <w:pPr>
        <w:pStyle w:val="ListParagraph"/>
        <w:numPr>
          <w:ilvl w:val="0"/>
          <w:numId w:val="2"/>
        </w:numPr>
      </w:pPr>
      <w:r>
        <w:t xml:space="preserve">2025–2026 — Portfolio expansion; firm profile now tracked on PitchBook, Crunchbase, CB Insights, and Messari. Specific AUM and portfolio-level IRR remain non-public.</w:t>
      </w:r>
    </w:p>
    <w:p>
      <w:pPr>
        <w:pStyle w:val="Heading2"/>
      </w:pPr>
      <w:r>
        <w:t xml:space="preserve">Valuation Context</w:t>
      </w:r>
    </w:p>
    <w:p>
      <w:pPr>
        <w:pStyle w:val="ListParagraph"/>
        <w:numPr>
          <w:ilvl w:val="0"/>
          <w:numId w:val="2"/>
        </w:numPr>
      </w:pPr>
      <w:r>
        <w:t xml:space="preserve">Verda Ventures is the general partner and does not itself have an equity 'valuation' in the traditional sense — instead, its value accrues through carry on the $40M MiniPay Fund (plus Tokenized Credit Fund 1).</w:t>
      </w:r>
    </w:p>
    <w:p>
      <w:pPr>
        <w:pStyle w:val="ListParagraph"/>
        <w:numPr>
          <w:ilvl w:val="0"/>
          <w:numId w:val="2"/>
        </w:numPr>
      </w:pPr>
      <w:r>
        <w:t xml:space="preserve">If the opportunity is equity into the GP entity (a rare and premium deal), benchmark against peer VC GP valuations: typically 10–20x forward fee + carry NPV.</w:t>
      </w:r>
    </w:p>
    <w:p>
      <w:pPr>
        <w:pStyle w:val="ListParagraph"/>
        <w:numPr>
          <w:ilvl w:val="0"/>
          <w:numId w:val="2"/>
        </w:numPr>
      </w:pPr>
      <w:r>
        <w:t xml:space="preserve">If the opportunity is an LP commitment into a Verda fund, the relevant 'valuation' is the fund's current NAV vs. capital called. Request: TVPI, DPI, IRR, and top-3 portfolio markups.</w:t>
      </w:r>
    </w:p>
    <w:p>
      <w:pPr>
        <w:pStyle w:val="ListParagraph"/>
        <w:numPr>
          <w:ilvl w:val="0"/>
          <w:numId w:val="2"/>
        </w:numPr>
      </w:pPr>
      <w:r>
        <w:t xml:space="preserve">If the opportunity is a direct investment into a Verda portfolio company, the valuation should be benchmarked against EM fintech comps: seed $8–15M post, Series A $25–60M post, Series B $80–200M post in the current environment.</w:t>
      </w:r>
    </w:p>
    <w:p>
      <w:pPr>
        <w:pStyle w:val="Heading1"/>
      </w:pPr>
      <w:r>
        <w:t xml:space="preserve">5. Comparable Companies /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Firm / Fund</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Focus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Check Size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rPr>
              <w:t xml:space="preserve">Notable Backers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Verda Ventures (MiniPay Fund)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Stablecoin / fintech in emerging markets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$100K–$2M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Opera, Jump Crypto, Borderless, Celo</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Jump Crypto</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Crypto infra, stablecoin rails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$1M–$50M+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Jump Trading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Flourish Ventures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Fintech for financial health, EM focus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$1M–$15M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Omidyar Network spin-out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Quona Capital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Emerging-market fintech (Africa, LatAm, Asia)</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$2M–$15M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Accion, multiple DFIs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Variant Fund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Crypto / web3 consumer apps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$500K–$10M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000000"/>
              </w:rPr>
              <w:t xml:space="preserve">Multiple LPs</w:t>
            </w:r>
          </w:p>
        </w:tc>
      </w:tr>
    </w:tbl>
    <w:p>
      <w:pPr>
        <w:spacing w:after="120"/>
      </w:pPr>
      <w:r>
        <w:t xml:space="preserve"/>
      </w:r>
    </w:p>
    <w:p>
      <w:pPr>
        <w:spacing w:after="120"/>
      </w:pPr>
      <w:r>
        <w:t xml:space="preserve">Takeaway: Verda Ventures sits in a competitive but not crowded niche. Its differentiation is the Opera/Celo distribution-plus-infrastructure combination, which is rare among EM fintech VCs. Jump Crypto is the closest strategic peer on the crypto side; Flourish and Quona are closer peers on the EM fintech side but lack crypto-native infra.</w:t>
      </w:r>
    </w:p>
    <w:p>
      <w:pPr>
        <w:pStyle w:val="Heading1"/>
      </w:pPr>
      <w:r>
        <w:t xml:space="preserve">5a. Founders Fund Overview (context for your question)</w:t>
      </w:r>
    </w:p>
    <w:p>
      <w:pPr>
        <w:spacing w:after="120"/>
      </w:pPr>
      <w:r>
        <w:t xml:space="preserve">You asked whether you could 'invest blind' in a Founders Fund-backed company. Here's the context.</w:t>
      </w:r>
    </w:p>
    <w:p>
      <w:pPr>
        <w:pStyle w:val="Heading2"/>
      </w:pPr>
      <w:r>
        <w:t xml:space="preserve">Firm Snapshot</w:t>
      </w:r>
    </w:p>
    <w:p>
      <w:pPr>
        <w:pStyle w:val="ListParagraph"/>
        <w:numPr>
          <w:ilvl w:val="0"/>
          <w:numId w:val="2"/>
        </w:numPr>
      </w:pPr>
      <w:r>
        <w:t xml:space="preserve">Founded 2005 by Peter Thiel, Ken Howery, and Luke Nosek. Headquartered in San Francisco.</w:t>
      </w:r>
    </w:p>
    <w:p>
      <w:pPr>
        <w:pStyle w:val="ListParagraph"/>
        <w:numPr>
          <w:ilvl w:val="0"/>
          <w:numId w:val="2"/>
        </w:numPr>
      </w:pPr>
      <w:r>
        <w:t xml:space="preserve">~$17B AUM as of 2025.</w:t>
      </w:r>
    </w:p>
    <w:p>
      <w:pPr>
        <w:pStyle w:val="ListParagraph"/>
        <w:numPr>
          <w:ilvl w:val="0"/>
          <w:numId w:val="2"/>
        </w:numPr>
      </w:pPr>
      <w:r>
        <w:t xml:space="preserve">Raised Founders Fund Growth III in 2025 at $4.6B for late-stage investments; funds are consistently oversubscribed.</w:t>
      </w:r>
    </w:p>
    <w:p>
      <w:pPr>
        <w:pStyle w:val="ListParagraph"/>
        <w:numPr>
          <w:ilvl w:val="0"/>
          <w:numId w:val="2"/>
        </w:numPr>
      </w:pPr>
      <w:r>
        <w:t xml:space="preserve">~555 companies invested over 21 years, ~35 new investments per year on average over the last decade.</w:t>
      </w:r>
    </w:p>
    <w:p>
      <w:pPr>
        <w:pStyle w:val="ListParagraph"/>
        <w:numPr>
          <w:ilvl w:val="0"/>
          <w:numId w:val="2"/>
        </w:numPr>
      </w:pPr>
      <w:r>
        <w:t xml:space="preserve">Portfolio has produced 49 unicorns, 28 IPOs, and 124 acquisitions (Facebook, SpaceX, Palantir, Stripe, Airbnb, Anduril, Affirm, Nubank, Figma, BitGo).</w:t>
      </w:r>
    </w:p>
    <w:p>
      <w:pPr>
        <w:pStyle w:val="Heading2"/>
      </w:pPr>
      <w:r>
        <w:t xml:space="preserve">Sector Evolution</w:t>
      </w:r>
    </w:p>
    <w:p>
      <w:pPr>
        <w:pStyle w:val="ListParagraph"/>
        <w:numPr>
          <w:ilvl w:val="0"/>
          <w:numId w:val="2"/>
        </w:numPr>
      </w:pPr>
      <w:r>
        <w:t xml:space="preserve">Started in consumer internet; pivoted to 'hard tech' — AI, biotech, defense, space.</w:t>
      </w:r>
    </w:p>
    <w:p>
      <w:pPr>
        <w:pStyle w:val="ListParagraph"/>
        <w:numPr>
          <w:ilvl w:val="0"/>
          <w:numId w:val="2"/>
        </w:numPr>
      </w:pPr>
      <w:r>
        <w:t xml:space="preserve">Heavier fintech and crypto exposure through later funds (Affirm, Anduril, Nubank, BitGo).</w:t>
      </w:r>
    </w:p>
    <w:p>
      <w:pPr>
        <w:pStyle w:val="Heading2"/>
      </w:pPr>
      <w:r>
        <w:t xml:space="preserve">Should You 'Invest Blind' When FF Leads?</w:t>
      </w:r>
    </w:p>
    <w:p>
      <w:pPr>
        <w:spacing w:after="100"/>
      </w:pPr>
      <w:r>
        <w:rPr>
          <w:b/>
          <w:bCs/>
        </w:rPr>
        <w:t xml:space="preserve">No — but treat it as a strong positive signal.</w:t>
      </w:r>
    </w:p>
    <w:p>
      <w:pPr>
        <w:pStyle w:val="ListParagraph"/>
        <w:numPr>
          <w:ilvl w:val="0"/>
          <w:numId w:val="2"/>
        </w:numPr>
      </w:pPr>
      <w:r>
        <w:t xml:space="preserve">Power-law reality: even at top-decile funds, the majority of portfolio companies return less than 1x. FF's success comes from a handful of outliers. As a single-name co-investor or secondary buyer, you do not get fund-level diversification.</w:t>
      </w:r>
    </w:p>
    <w:p>
      <w:pPr>
        <w:pStyle w:val="ListParagraph"/>
        <w:numPr>
          <w:ilvl w:val="0"/>
          <w:numId w:val="2"/>
        </w:numPr>
      </w:pPr>
      <w:r>
        <w:t xml:space="preserve">Entry price matters: FF usually enters at Series A/B. By the time a deal reaches retail, angel, or SPV channels, pricing is often 5–20x FF's cost basis — you are paying late-stage valuations for private-company risk.</w:t>
      </w:r>
    </w:p>
    <w:p>
      <w:pPr>
        <w:pStyle w:val="ListParagraph"/>
        <w:numPr>
          <w:ilvl w:val="0"/>
          <w:numId w:val="2"/>
        </w:numPr>
      </w:pPr>
      <w:r>
        <w:t xml:space="preserve">Thiel's ventures are not identical to FF's. Thiel invests personally via Thiel Capital and Mithril Capital; some of those names never touch FF. Confirm which entity actually owns the position.</w:t>
      </w:r>
    </w:p>
    <w:p>
      <w:pPr>
        <w:pStyle w:val="ListParagraph"/>
        <w:numPr>
          <w:ilvl w:val="0"/>
          <w:numId w:val="2"/>
        </w:numPr>
      </w:pPr>
      <w:r>
        <w:t xml:space="preserve">Brand signal lowers the probability of obvious fraud; it does NOT lower valuation risk, regulatory risk, or market-timing risk.</w:t>
      </w:r>
    </w:p>
    <w:p>
      <w:pPr>
        <w:pStyle w:val="Heading2"/>
      </w:pPr>
      <w:r>
        <w:t xml:space="preserve">If Verda Is Backed by Founders Fund</w:t>
      </w:r>
    </w:p>
    <w:p>
      <w:pPr>
        <w:pStyle w:val="ListParagraph"/>
        <w:numPr>
          <w:ilvl w:val="0"/>
          <w:numId w:val="2"/>
        </w:numPr>
      </w:pPr>
      <w:r>
        <w:t xml:space="preserve">Use it as a green light to open the data room, not a green light to sign.</w:t>
      </w:r>
    </w:p>
    <w:p>
      <w:pPr>
        <w:pStyle w:val="ListParagraph"/>
        <w:numPr>
          <w:ilvl w:val="0"/>
          <w:numId w:val="2"/>
        </w:numPr>
      </w:pPr>
      <w:r>
        <w:t xml:space="preserve">Confirm exact entity (FF, FF Growth, Thiel Capital, Mithril).</w:t>
      </w:r>
    </w:p>
    <w:p>
      <w:pPr>
        <w:pStyle w:val="ListParagraph"/>
        <w:numPr>
          <w:ilvl w:val="0"/>
          <w:numId w:val="2"/>
        </w:numPr>
      </w:pPr>
      <w:r>
        <w:t xml:space="preserve">Ask what round FF participated in, at what valuation, and whether they took pro-rata on the follow-on.</w:t>
      </w:r>
    </w:p>
    <w:p>
      <w:pPr>
        <w:pStyle w:val="ListParagraph"/>
        <w:numPr>
          <w:ilvl w:val="0"/>
          <w:numId w:val="2"/>
        </w:numPr>
      </w:pPr>
      <w:r>
        <w:t xml:space="preserve">Compare the price you are being offered vs. FF's reported round post-money.</w:t>
      </w:r>
    </w:p>
    <w:p>
      <w:pPr>
        <w:pStyle w:val="Heading1"/>
      </w:pPr>
      <w:r>
        <w:t xml:space="preserve">6. Valuation &amp; Return Framework</w:t>
      </w:r>
    </w:p>
    <w:p>
      <w:pPr>
        <w:pStyle w:val="Heading2"/>
      </w:pPr>
      <w:r>
        <w:t xml:space="preserve">If this is an LP commitment</w:t>
      </w:r>
    </w:p>
    <w:p>
      <w:pPr>
        <w:pStyle w:val="ListParagraph"/>
        <w:numPr>
          <w:ilvl w:val="0"/>
          <w:numId w:val="2"/>
        </w:numPr>
      </w:pPr>
      <w:r>
        <w:t xml:space="preserve">Typical EM/crypto VC terms: 2% management fee, 20% carry, 10-year fund life with two 1-year extensions.</w:t>
      </w:r>
    </w:p>
    <w:p>
      <w:pPr>
        <w:pStyle w:val="ListParagraph"/>
        <w:numPr>
          <w:ilvl w:val="0"/>
          <w:numId w:val="2"/>
        </w:numPr>
      </w:pPr>
      <w:r>
        <w:t xml:space="preserve">Expected fund-level gross TVPI target: 3.0x–4.0x; net DPI target ~2.0x–2.5x over 7–10 years.</w:t>
      </w:r>
    </w:p>
    <w:p>
      <w:pPr>
        <w:pStyle w:val="ListParagraph"/>
        <w:numPr>
          <w:ilvl w:val="0"/>
          <w:numId w:val="2"/>
        </w:numPr>
      </w:pPr>
      <w:r>
        <w:t xml:space="preserve">Diligence the GP's prior track record (prior angel/seed checks, exits, markups) before committing.</w:t>
      </w:r>
    </w:p>
    <w:p>
      <w:pPr>
        <w:pStyle w:val="Heading2"/>
      </w:pPr>
      <w:r>
        <w:t xml:space="preserve">If this is a direct portfolio-company investment</w:t>
      </w:r>
    </w:p>
    <w:p>
      <w:pPr>
        <w:pStyle w:val="ListParagraph"/>
        <w:numPr>
          <w:ilvl w:val="0"/>
          <w:numId w:val="2"/>
        </w:numPr>
      </w:pPr>
      <w:r>
        <w:t xml:space="preserve">Request the full cap table, primary vs. secondary allocation, and pro-rata rights.</w:t>
      </w:r>
    </w:p>
    <w:p>
      <w:pPr>
        <w:pStyle w:val="ListParagraph"/>
        <w:numPr>
          <w:ilvl w:val="0"/>
          <w:numId w:val="2"/>
        </w:numPr>
      </w:pPr>
      <w:r>
        <w:t xml:space="preserve">Benchmark valuation against EM fintech comps: series seed typically $8–15M post; Series A $25–60M post in current environment.</w:t>
      </w:r>
    </w:p>
    <w:p>
      <w:pPr>
        <w:pStyle w:val="ListParagraph"/>
        <w:numPr>
          <w:ilvl w:val="0"/>
          <w:numId w:val="2"/>
        </w:numPr>
      </w:pPr>
      <w:r>
        <w:t xml:space="preserve">Confirm stablecoin / treasury policy: how does the target manage its own USD exposure and runway?</w:t>
      </w:r>
    </w:p>
    <w:p>
      <w:pPr>
        <w:pStyle w:val="Heading1"/>
      </w:pPr>
      <w:r>
        <w:t xml:space="preserve">7. Key Diligence Questions</w:t>
      </w:r>
    </w:p>
    <w:p>
      <w:pPr>
        <w:pStyle w:val="ListParagraph"/>
        <w:numPr>
          <w:ilvl w:val="0"/>
          <w:numId w:val="2"/>
        </w:numPr>
      </w:pPr>
      <w:r>
        <w:t xml:space="preserve">What is the exact legal structure of the opportunity (LP interest, SAFE, SPV, direct equity)?</w:t>
      </w:r>
    </w:p>
    <w:p>
      <w:pPr>
        <w:pStyle w:val="ListParagraph"/>
        <w:numPr>
          <w:ilvl w:val="0"/>
          <w:numId w:val="2"/>
        </w:numPr>
      </w:pPr>
      <w:r>
        <w:t xml:space="preserve">What is the minimum check size, and what are the liquidity / lock-up terms?</w:t>
      </w:r>
    </w:p>
    <w:p>
      <w:pPr>
        <w:pStyle w:val="ListParagraph"/>
        <w:numPr>
          <w:ilvl w:val="0"/>
          <w:numId w:val="2"/>
        </w:numPr>
      </w:pPr>
      <w:r>
        <w:t xml:space="preserve">Who are the GPs, what is their prior track record, and how much of their own capital is committed?</w:t>
      </w:r>
    </w:p>
    <w:p>
      <w:pPr>
        <w:pStyle w:val="ListParagraph"/>
        <w:numPr>
          <w:ilvl w:val="0"/>
          <w:numId w:val="2"/>
        </w:numPr>
      </w:pPr>
      <w:r>
        <w:t xml:space="preserve">What is the latest portfolio markup, and how many portfolio companies have raised follow-on rounds at a step-up?</w:t>
      </w:r>
    </w:p>
    <w:p>
      <w:pPr>
        <w:pStyle w:val="ListParagraph"/>
        <w:numPr>
          <w:ilvl w:val="0"/>
          <w:numId w:val="2"/>
        </w:numPr>
      </w:pPr>
      <w:r>
        <w:t xml:space="preserve">What is the reporting cadence (quarterly NAV, audited financials)?</w:t>
      </w:r>
    </w:p>
    <w:p>
      <w:pPr>
        <w:pStyle w:val="ListParagraph"/>
        <w:numPr>
          <w:ilvl w:val="0"/>
          <w:numId w:val="2"/>
        </w:numPr>
      </w:pPr>
      <w:r>
        <w:t xml:space="preserve">What are the concentration limits per portfolio company and per country?</w:t>
      </w:r>
    </w:p>
    <w:p>
      <w:pPr>
        <w:pStyle w:val="ListParagraph"/>
        <w:numPr>
          <w:ilvl w:val="0"/>
          <w:numId w:val="2"/>
        </w:numPr>
      </w:pPr>
      <w:r>
        <w:t xml:space="preserve">How does the fund manage FX and stablecoin depeg risk at the portfolio level?</w:t>
      </w:r>
    </w:p>
    <w:p>
      <w:pPr>
        <w:pStyle w:val="Heading1"/>
      </w:pPr>
      <w:r>
        <w:t xml:space="preserve">8. Recommendation</w:t>
      </w:r>
    </w:p>
    <w:p>
      <w:pPr>
        <w:spacing w:after="100"/>
      </w:pPr>
      <w:r>
        <w:rPr>
          <w:b/>
          <w:bCs/>
        </w:rPr>
        <w:t xml:space="preserve">Move to formal diligence.</w:t>
      </w:r>
    </w:p>
    <w:p>
      <w:pPr>
        <w:spacing w:after="120"/>
      </w:pPr>
      <w:r>
        <w:t xml:space="preserve">The thesis is credible and the fund's structural advantages (Opera distribution + Celo infra + Jump capital) are real. However, the specific investment terms and GP track record are unknown from public sources. Before committing, request the data room, reference at least two existing LPs, and have an independent legal/tax review of the fund documents.</w:t>
      </w:r>
    </w:p>
    <w:p>
      <w:pPr>
        <w:spacing w:after="120"/>
      </w:pPr>
      <w:r>
        <w:t xml:space="preserve">Next steps: (1) confirm that 'Verda' = Verda Ventures vs. a different entity, (2) request fund deck + LPA, (3) schedule a call with the GP, (4) run comp valuation on 2–3 top portfolio companies.</w:t>
      </w:r>
    </w:p>
    <w:p>
      <w:pPr>
        <w:pStyle w:val="Heading1"/>
      </w:pPr>
      <w:r>
        <w:t xml:space="preserve">Appendix: Sources</w:t>
      </w:r>
    </w:p>
    <w:p>
      <w:pPr>
        <w:pStyle w:val="ListParagraph"/>
        <w:numPr>
          <w:ilvl w:val="0"/>
          <w:numId w:val="2"/>
        </w:numPr>
      </w:pPr>
      <w:r>
        <w:t xml:space="preserve">Verda Ventures — https://verda.ventures/</w:t>
      </w:r>
    </w:p>
    <w:p>
      <w:pPr>
        <w:pStyle w:val="ListParagraph"/>
        <w:numPr>
          <w:ilvl w:val="0"/>
          <w:numId w:val="2"/>
        </w:numPr>
      </w:pPr>
      <w:r>
        <w:t xml:space="preserve">Verda Ventures Launches $40M MiniPay Fund — verda.ventures press release</w:t>
      </w:r>
    </w:p>
    <w:p>
      <w:pPr>
        <w:pStyle w:val="ListParagraph"/>
        <w:numPr>
          <w:ilvl w:val="0"/>
          <w:numId w:val="2"/>
        </w:numPr>
      </w:pPr>
      <w:r>
        <w:t xml:space="preserve">Crunchbase — Verda Ventures company profile</w:t>
      </w:r>
    </w:p>
    <w:p>
      <w:pPr>
        <w:pStyle w:val="ListParagraph"/>
        <w:numPr>
          <w:ilvl w:val="0"/>
          <w:numId w:val="2"/>
        </w:numPr>
      </w:pPr>
      <w:r>
        <w:t xml:space="preserve">PitchBook — Verda company profile</w:t>
      </w:r>
    </w:p>
    <w:p>
      <w:pPr>
        <w:pStyle w:val="ListParagraph"/>
        <w:numPr>
          <w:ilvl w:val="0"/>
          <w:numId w:val="2"/>
        </w:numPr>
      </w:pPr>
      <w:r>
        <w:t xml:space="preserve">FinTech Global — InsurTech funding data, March 2026</w:t>
      </w:r>
    </w:p>
    <w:p>
      <w:pPr>
        <w:pStyle w:val="ListParagraph"/>
        <w:numPr>
          <w:ilvl w:val="0"/>
          <w:numId w:val="2"/>
        </w:numPr>
      </w:pPr>
      <w:r>
        <w:t xml:space="preserve">Finovate — Insurtech 2026 outlook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Verda Research</dc:title>
  <dc:creator>Claude</dc:creator>
  <cp:lastModifiedBy>Un-named</cp:lastModifiedBy>
  <cp:revision>1</cp:revision>
  <dcterms:created xsi:type="dcterms:W3CDTF">2026-04-13T16:58:03.653Z</dcterms:created>
  <dcterms:modified xsi:type="dcterms:W3CDTF">2026-04-13T16:58:03.653Z</dcterms:modified>
</cp:coreProperties>
</file>

<file path=docProps/custom.xml><?xml version="1.0" encoding="utf-8"?>
<Properties xmlns="http://schemas.openxmlformats.org/officeDocument/2006/custom-properties" xmlns:vt="http://schemas.openxmlformats.org/officeDocument/2006/docPropsVTypes"/>
</file>