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5CD6" w14:textId="158E748D" w:rsidR="00CA476B" w:rsidRDefault="007644CE" w:rsidP="00E0461C">
      <w:pPr>
        <w:jc w:val="center"/>
        <w:rPr>
          <w:b/>
          <w:sz w:val="24"/>
        </w:rPr>
      </w:pPr>
      <w:r w:rsidRPr="007644CE">
        <w:rPr>
          <w:b/>
          <w:sz w:val="24"/>
        </w:rPr>
        <w:t xml:space="preserve">Commissioning a high-repetition rate, 1 J </w:t>
      </w:r>
      <w:proofErr w:type="spellStart"/>
      <w:proofErr w:type="gramStart"/>
      <w:r w:rsidRPr="007644CE">
        <w:rPr>
          <w:b/>
          <w:sz w:val="24"/>
        </w:rPr>
        <w:t>Nd:YAG</w:t>
      </w:r>
      <w:proofErr w:type="spellEnd"/>
      <w:proofErr w:type="gramEnd"/>
      <w:r w:rsidRPr="007644CE">
        <w:rPr>
          <w:b/>
          <w:sz w:val="24"/>
        </w:rPr>
        <w:t xml:space="preserve"> laser upgrade for the HSX Thomson scattering system</w:t>
      </w:r>
    </w:p>
    <w:p w14:paraId="20136074" w14:textId="77777777" w:rsidR="007644CE" w:rsidRPr="00663F85" w:rsidRDefault="007644CE" w:rsidP="00E0461C">
      <w:pPr>
        <w:jc w:val="center"/>
        <w:rPr>
          <w:b/>
          <w:sz w:val="24"/>
        </w:rPr>
      </w:pPr>
    </w:p>
    <w:p w14:paraId="3DF5C217" w14:textId="67CBEF61" w:rsidR="00085FC9" w:rsidRPr="00085FC9" w:rsidRDefault="00CA4992" w:rsidP="00962C3C">
      <w:pPr>
        <w:jc w:val="center"/>
        <w:rPr>
          <w:sz w:val="24"/>
        </w:rPr>
      </w:pPr>
      <w:r>
        <w:rPr>
          <w:sz w:val="24"/>
        </w:rPr>
        <w:t>W</w:t>
      </w:r>
      <w:r w:rsidR="00871436">
        <w:rPr>
          <w:sz w:val="24"/>
        </w:rPr>
        <w:t>.</w:t>
      </w:r>
      <w:r>
        <w:rPr>
          <w:sz w:val="24"/>
        </w:rPr>
        <w:t>R</w:t>
      </w:r>
      <w:r w:rsidR="00871436">
        <w:rPr>
          <w:sz w:val="24"/>
        </w:rPr>
        <w:t xml:space="preserve">. </w:t>
      </w:r>
      <w:r>
        <w:rPr>
          <w:sz w:val="24"/>
        </w:rPr>
        <w:t>Goodman</w:t>
      </w:r>
      <w:r w:rsidR="00871436" w:rsidRPr="00871436">
        <w:rPr>
          <w:sz w:val="24"/>
          <w:vertAlign w:val="superscript"/>
        </w:rPr>
        <w:t>1</w:t>
      </w:r>
      <w:r w:rsidR="00871436">
        <w:rPr>
          <w:sz w:val="24"/>
        </w:rPr>
        <w:t xml:space="preserve">, </w:t>
      </w:r>
      <w:r w:rsidR="007644CE">
        <w:rPr>
          <w:sz w:val="24"/>
        </w:rPr>
        <w:t>M.D.</w:t>
      </w:r>
      <w:r w:rsidR="003B5033">
        <w:rPr>
          <w:sz w:val="24"/>
        </w:rPr>
        <w:t xml:space="preserve"> </w:t>
      </w:r>
      <w:r w:rsidR="007644CE">
        <w:rPr>
          <w:sz w:val="24"/>
        </w:rPr>
        <w:t>Nornberg</w:t>
      </w:r>
      <w:r w:rsidR="003B5033" w:rsidRPr="003B5033">
        <w:rPr>
          <w:sz w:val="24"/>
          <w:vertAlign w:val="superscript"/>
        </w:rPr>
        <w:t>1</w:t>
      </w:r>
      <w:r w:rsidR="003B5033">
        <w:rPr>
          <w:sz w:val="24"/>
        </w:rPr>
        <w:t xml:space="preserve">, </w:t>
      </w:r>
      <w:r w:rsidR="006F00FC">
        <w:rPr>
          <w:sz w:val="24"/>
        </w:rPr>
        <w:t>A. Wolfmeister</w:t>
      </w:r>
      <w:r w:rsidR="00B659BB">
        <w:rPr>
          <w:sz w:val="24"/>
          <w:vertAlign w:val="superscript"/>
        </w:rPr>
        <w:t>1</w:t>
      </w:r>
      <w:r w:rsidR="003B5033">
        <w:rPr>
          <w:sz w:val="24"/>
        </w:rPr>
        <w:t xml:space="preserve">, </w:t>
      </w:r>
      <w:r w:rsidR="006F00FC">
        <w:rPr>
          <w:sz w:val="24"/>
        </w:rPr>
        <w:t>A.M</w:t>
      </w:r>
      <w:r w:rsidR="00B659BB">
        <w:rPr>
          <w:sz w:val="24"/>
        </w:rPr>
        <w:t xml:space="preserve">. </w:t>
      </w:r>
      <w:r w:rsidR="006F00FC">
        <w:rPr>
          <w:sz w:val="24"/>
        </w:rPr>
        <w:t>Wright</w:t>
      </w:r>
      <w:r w:rsidR="006F00FC">
        <w:rPr>
          <w:sz w:val="24"/>
          <w:vertAlign w:val="superscript"/>
        </w:rPr>
        <w:t>1</w:t>
      </w:r>
      <w:r w:rsidR="003B5033">
        <w:rPr>
          <w:sz w:val="24"/>
        </w:rPr>
        <w:t xml:space="preserve">, </w:t>
      </w:r>
      <w:r w:rsidR="00B77140">
        <w:rPr>
          <w:sz w:val="24"/>
        </w:rPr>
        <w:t>B</w:t>
      </w:r>
      <w:r w:rsidR="00B659BB">
        <w:rPr>
          <w:sz w:val="24"/>
        </w:rPr>
        <w:t xml:space="preserve">. </w:t>
      </w:r>
      <w:r w:rsidR="00B77140">
        <w:rPr>
          <w:sz w:val="24"/>
        </w:rPr>
        <w:t>Geiger</w:t>
      </w:r>
      <w:r w:rsidR="00B77140">
        <w:rPr>
          <w:sz w:val="24"/>
          <w:vertAlign w:val="superscript"/>
        </w:rPr>
        <w:t>1</w:t>
      </w:r>
      <w:r w:rsidR="00B77140">
        <w:rPr>
          <w:sz w:val="24"/>
        </w:rPr>
        <w:t>,</w:t>
      </w:r>
      <w:r w:rsidR="00B77140">
        <w:rPr>
          <w:sz w:val="24"/>
        </w:rPr>
        <w:t xml:space="preserve"> and the HSX Team</w:t>
      </w:r>
    </w:p>
    <w:p w14:paraId="1823C5D3" w14:textId="77777777" w:rsidR="00085FC9" w:rsidRDefault="00085FC9" w:rsidP="00962C3C">
      <w:pPr>
        <w:rPr>
          <w:sz w:val="24"/>
        </w:rPr>
      </w:pPr>
    </w:p>
    <w:p w14:paraId="43A2385B" w14:textId="34AFEFBC" w:rsidR="00B659BB" w:rsidRPr="008B5981" w:rsidRDefault="00B659BB" w:rsidP="00B659BB">
      <w:pPr>
        <w:pStyle w:val="NoSpacing"/>
        <w:spacing w:line="280" w:lineRule="exac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B5981"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="00CA476B">
        <w:rPr>
          <w:rFonts w:ascii="Times New Roman" w:hAnsi="Times New Roman" w:cs="Times New Roman"/>
          <w:i/>
          <w:sz w:val="24"/>
          <w:szCs w:val="24"/>
        </w:rPr>
        <w:t>University of Wisconsin – Madison</w:t>
      </w:r>
      <w:r w:rsidRPr="008B5981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CA476B">
        <w:rPr>
          <w:rFonts w:ascii="Times New Roman" w:hAnsi="Times New Roman" w:cs="Times New Roman"/>
          <w:i/>
          <w:sz w:val="24"/>
          <w:szCs w:val="24"/>
        </w:rPr>
        <w:t>Madison</w:t>
      </w:r>
      <w:r w:rsidRPr="008B5981">
        <w:rPr>
          <w:rFonts w:ascii="Times New Roman" w:hAnsi="Times New Roman" w:cs="Times New Roman"/>
          <w:i/>
          <w:sz w:val="24"/>
          <w:szCs w:val="24"/>
        </w:rPr>
        <w:t>,</w:t>
      </w:r>
      <w:r w:rsidR="00CA476B">
        <w:rPr>
          <w:rFonts w:ascii="Times New Roman" w:hAnsi="Times New Roman" w:cs="Times New Roman"/>
          <w:i/>
          <w:sz w:val="24"/>
          <w:szCs w:val="24"/>
        </w:rPr>
        <w:t xml:space="preserve"> WI </w:t>
      </w:r>
      <w:r w:rsidR="00CA4992">
        <w:rPr>
          <w:rFonts w:ascii="Times New Roman" w:hAnsi="Times New Roman" w:cs="Times New Roman"/>
          <w:i/>
          <w:sz w:val="24"/>
          <w:szCs w:val="24"/>
        </w:rPr>
        <w:t>53706</w:t>
      </w:r>
      <w:r w:rsidRPr="008B5981">
        <w:rPr>
          <w:rFonts w:ascii="Times New Roman" w:hAnsi="Times New Roman" w:cs="Times New Roman"/>
          <w:i/>
          <w:iCs/>
          <w:sz w:val="24"/>
          <w:szCs w:val="24"/>
        </w:rPr>
        <w:t>, USA</w:t>
      </w:r>
    </w:p>
    <w:p w14:paraId="641E813C" w14:textId="77777777" w:rsidR="00130850" w:rsidRDefault="00130850" w:rsidP="00962C3C">
      <w:pPr>
        <w:jc w:val="center"/>
        <w:rPr>
          <w:i/>
          <w:sz w:val="24"/>
        </w:rPr>
      </w:pPr>
    </w:p>
    <w:p w14:paraId="792E886D" w14:textId="05066673" w:rsidR="00E431B1" w:rsidRDefault="0044547B" w:rsidP="00E431B1">
      <w:pPr>
        <w:jc w:val="center"/>
        <w:rPr>
          <w:iCs/>
          <w:sz w:val="24"/>
        </w:rPr>
      </w:pPr>
      <w:r>
        <w:rPr>
          <w:iCs/>
          <w:sz w:val="24"/>
        </w:rPr>
        <w:t xml:space="preserve">Corresponding Author Email: </w:t>
      </w:r>
      <w:hyperlink r:id="rId7" w:history="1">
        <w:r w:rsidR="00CA4992">
          <w:rPr>
            <w:rStyle w:val="Hyperlink"/>
            <w:iCs/>
            <w:sz w:val="24"/>
          </w:rPr>
          <w:t>wgoodman2@wisc.edu</w:t>
        </w:r>
      </w:hyperlink>
    </w:p>
    <w:p w14:paraId="48849A72" w14:textId="77777777" w:rsidR="00E431B1" w:rsidRPr="00E431B1" w:rsidRDefault="00E431B1" w:rsidP="00E431B1">
      <w:pPr>
        <w:jc w:val="center"/>
        <w:rPr>
          <w:iCs/>
          <w:sz w:val="24"/>
        </w:rPr>
      </w:pPr>
    </w:p>
    <w:p w14:paraId="286306AD" w14:textId="77777777" w:rsidR="00C37DD7" w:rsidRPr="00C37DD7" w:rsidRDefault="00C37DD7" w:rsidP="00C37DD7">
      <w:pPr>
        <w:rPr>
          <w:iCs/>
          <w:sz w:val="24"/>
        </w:rPr>
      </w:pPr>
    </w:p>
    <w:p w14:paraId="431A91E8" w14:textId="77777777" w:rsidR="005C5906" w:rsidRPr="005C5906" w:rsidRDefault="005C5906" w:rsidP="005C5906">
      <w:pPr>
        <w:pStyle w:val="Paragraph"/>
        <w:jc w:val="both"/>
        <w:rPr>
          <w:sz w:val="24"/>
        </w:rPr>
      </w:pPr>
      <w:r w:rsidRPr="005C5906">
        <w:rPr>
          <w:sz w:val="24"/>
        </w:rPr>
        <w:t>Thomson scattering (TS) diagnostics are ubiquitous among high-temperature plasma experiments because they provide electron temperature and density measurements with excellent spatial resolution and well-characterized uncertainties. TS signal levels are intrinsically low (scattered power fractions on the order of 10^-14), so high-energy nanosecond laser pulses and photon-statistics-limited inference are required. In many TS systems, the laser repetition rate is a primary limiter on temporal coverage within a discharge and on the ability to reduce random uncertainties through averaging.</w:t>
      </w:r>
    </w:p>
    <w:p w14:paraId="6D5C5682" w14:textId="25AD9CB5" w:rsidR="005C5906" w:rsidRPr="005C5906" w:rsidRDefault="005C5906" w:rsidP="00A96026">
      <w:pPr>
        <w:pStyle w:val="Paragraph"/>
        <w:jc w:val="both"/>
        <w:rPr>
          <w:sz w:val="24"/>
        </w:rPr>
      </w:pPr>
      <w:r w:rsidRPr="005C5906">
        <w:rPr>
          <w:sz w:val="24"/>
        </w:rPr>
        <w:t xml:space="preserve">We report on the installation and commissioning of a major TS upgrade at the HSX stellarator, centered on a new </w:t>
      </w:r>
      <w:proofErr w:type="spellStart"/>
      <w:proofErr w:type="gramStart"/>
      <w:r w:rsidRPr="005C5906">
        <w:rPr>
          <w:sz w:val="24"/>
        </w:rPr>
        <w:t>Nd:YAG</w:t>
      </w:r>
      <w:proofErr w:type="spellEnd"/>
      <w:proofErr w:type="gramEnd"/>
      <w:r w:rsidRPr="005C5906">
        <w:rPr>
          <w:sz w:val="24"/>
        </w:rPr>
        <w:t xml:space="preserve"> laser capable of burst operation </w:t>
      </w:r>
      <w:r>
        <w:rPr>
          <w:sz w:val="24"/>
        </w:rPr>
        <w:t xml:space="preserve">of </w:t>
      </w:r>
      <w:r w:rsidRPr="005C5906">
        <w:rPr>
          <w:sz w:val="24"/>
        </w:rPr>
        <w:t>80 consecutive</w:t>
      </w:r>
      <w:r w:rsidRPr="005C5906">
        <w:rPr>
          <w:sz w:val="24"/>
        </w:rPr>
        <w:t xml:space="preserve"> </w:t>
      </w:r>
      <w:r>
        <w:rPr>
          <w:sz w:val="24"/>
        </w:rPr>
        <w:t xml:space="preserve">1 J, 10 ns pulses </w:t>
      </w:r>
      <w:r w:rsidRPr="005C5906">
        <w:rPr>
          <w:sz w:val="24"/>
        </w:rPr>
        <w:t xml:space="preserve">at 400 Hz. A 2 kHz mode supports up to 10 pulses per burst, limited by thermal loading. The upgrade includes integrating the laser with HSX beam-delivery optics and shot-to-shot pulse-energy monitoring to verify stability. To accommodate the increased data rate, </w:t>
      </w:r>
      <w:r w:rsidR="00A96026">
        <w:rPr>
          <w:sz w:val="24"/>
        </w:rPr>
        <w:t>a high-speed digitizer</w:t>
      </w:r>
      <w:r w:rsidRPr="005C5906">
        <w:rPr>
          <w:sz w:val="24"/>
        </w:rPr>
        <w:t xml:space="preserve"> (3.2 </w:t>
      </w:r>
      <w:proofErr w:type="spellStart"/>
      <w:r w:rsidRPr="005C5906">
        <w:rPr>
          <w:sz w:val="24"/>
        </w:rPr>
        <w:t>GSa</w:t>
      </w:r>
      <w:proofErr w:type="spellEnd"/>
      <w:r w:rsidRPr="005C5906">
        <w:rPr>
          <w:sz w:val="24"/>
        </w:rPr>
        <w:t xml:space="preserve">/s) and low-noise </w:t>
      </w:r>
      <w:r w:rsidR="00A96026">
        <w:rPr>
          <w:sz w:val="24"/>
        </w:rPr>
        <w:t>preamplifiers</w:t>
      </w:r>
      <w:r w:rsidRPr="005C5906">
        <w:rPr>
          <w:sz w:val="24"/>
        </w:rPr>
        <w:t xml:space="preserve">, providing an ~8.6 dB improvement in signal-to-noise ratio over the legacy digitizer chain [1]. In the near term, increasing the time resolution of the TS system will enable the study of plasma breakdown effects, the island-healing effect [2], impurity injection behavior, and </w:t>
      </w:r>
      <w:r w:rsidR="00426679">
        <w:rPr>
          <w:sz w:val="24"/>
        </w:rPr>
        <w:t xml:space="preserve">time-resolved </w:t>
      </w:r>
      <w:r w:rsidRPr="005C5906">
        <w:rPr>
          <w:sz w:val="24"/>
        </w:rPr>
        <w:t>density profile adjustments.</w:t>
      </w:r>
    </w:p>
    <w:p w14:paraId="0A6FA248" w14:textId="6937CAC4" w:rsidR="005C5906" w:rsidRPr="005C5906" w:rsidRDefault="005C5906" w:rsidP="005C5906">
      <w:pPr>
        <w:pStyle w:val="Paragraph"/>
        <w:jc w:val="both"/>
        <w:rPr>
          <w:sz w:val="24"/>
        </w:rPr>
      </w:pPr>
      <w:r w:rsidRPr="005C5906">
        <w:rPr>
          <w:sz w:val="24"/>
        </w:rPr>
        <w:t xml:space="preserve">In parallel, we use filter polychromators with multiple spectral passbands to improve spectral utilization and reduce inferred TS uncertainties without increasing detector count [3]. For HSX, this enables a compact configuration where a system with only three multi-passband filters has equivalent utility (temperature sensitivity and density precision over the HSX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  <w:r w:rsidRPr="005C5906">
        <w:rPr>
          <w:sz w:val="24"/>
        </w:rPr>
        <w:t xml:space="preserve"> range) to a standard five-channel single-passband system, while maintaining or improving uncertainty relative to a traditional single-passband filter set. The higher shot rate increases statistical power and improves temporal resolution, while the multi-passband filters increase spectral utilization per shot. Together, these changes reduce uncertainty </w:t>
      </w:r>
      <w:r w:rsidR="00890958">
        <w:rPr>
          <w:sz w:val="24"/>
        </w:rPr>
        <w:t>associated with</w:t>
      </w:r>
      <w:r w:rsidRPr="005C5906">
        <w:rPr>
          <w:sz w:val="24"/>
        </w:rPr>
        <w:t xml:space="preserve"> a detector </w:t>
      </w:r>
      <w:r w:rsidR="00886A03">
        <w:rPr>
          <w:sz w:val="24"/>
        </w:rPr>
        <w:t>set</w:t>
      </w:r>
      <w:r w:rsidRPr="005C5906">
        <w:rPr>
          <w:sz w:val="24"/>
        </w:rPr>
        <w:t xml:space="preserve"> and discharge time.</w:t>
      </w:r>
    </w:p>
    <w:p w14:paraId="45D6AF9B" w14:textId="5F011027" w:rsidR="006A44E6" w:rsidRDefault="005C5906" w:rsidP="005C5906">
      <w:pPr>
        <w:pStyle w:val="Paragraph"/>
        <w:jc w:val="both"/>
        <w:rPr>
          <w:sz w:val="24"/>
        </w:rPr>
      </w:pPr>
      <w:r w:rsidRPr="005C5906">
        <w:rPr>
          <w:sz w:val="24"/>
        </w:rPr>
        <w:t>Commissioning results and first TS measurements from the upgraded system will be presented, with emphasis on the laser installation, high-repetition-rate operation, and resulting improvements in temporal resolution</w:t>
      </w:r>
      <w:r w:rsidR="006053B4">
        <w:rPr>
          <w:sz w:val="24"/>
        </w:rPr>
        <w:t xml:space="preserve"> </w:t>
      </w:r>
      <w:r w:rsidRPr="005C5906">
        <w:rPr>
          <w:sz w:val="24"/>
        </w:rPr>
        <w:t>compared with the prior configuration.</w:t>
      </w:r>
    </w:p>
    <w:p w14:paraId="334A161C" w14:textId="77777777" w:rsidR="00426679" w:rsidRPr="00F03981" w:rsidRDefault="00426679" w:rsidP="005C5906">
      <w:pPr>
        <w:pStyle w:val="Paragraph"/>
        <w:jc w:val="both"/>
        <w:rPr>
          <w:sz w:val="24"/>
        </w:rPr>
      </w:pPr>
    </w:p>
    <w:p w14:paraId="068CB4DB" w14:textId="7553EAD3" w:rsidR="00F03981" w:rsidRPr="00F03981" w:rsidRDefault="00F03981" w:rsidP="00F03981">
      <w:pPr>
        <w:pStyle w:val="Paragraph"/>
        <w:ind w:firstLine="0"/>
        <w:jc w:val="both"/>
        <w:rPr>
          <w:sz w:val="24"/>
        </w:rPr>
      </w:pPr>
      <w:r w:rsidRPr="00F03981">
        <w:rPr>
          <w:sz w:val="24"/>
        </w:rPr>
        <w:t xml:space="preserve">This work was supported by the U.S. D.O.E. contract </w:t>
      </w:r>
      <w:r w:rsidR="00A107D3" w:rsidRPr="00A107D3">
        <w:rPr>
          <w:sz w:val="24"/>
        </w:rPr>
        <w:t>DE-FG02-93ER54222.</w:t>
      </w:r>
    </w:p>
    <w:p w14:paraId="14D74702" w14:textId="22E9672B" w:rsidR="0035680F" w:rsidRDefault="0035680F" w:rsidP="00962C3C">
      <w:pPr>
        <w:pStyle w:val="Paragraph"/>
        <w:ind w:firstLine="0"/>
        <w:jc w:val="both"/>
        <w:rPr>
          <w:sz w:val="24"/>
        </w:rPr>
      </w:pPr>
    </w:p>
    <w:p w14:paraId="163F19B4" w14:textId="77777777" w:rsidR="000F5941" w:rsidRPr="000F5941" w:rsidRDefault="000F5941" w:rsidP="000F5941">
      <w:pPr>
        <w:pStyle w:val="Paragraph"/>
        <w:ind w:firstLine="0"/>
        <w:jc w:val="both"/>
        <w:rPr>
          <w:sz w:val="24"/>
        </w:rPr>
      </w:pPr>
      <w:r w:rsidRPr="000F5941">
        <w:rPr>
          <w:sz w:val="24"/>
        </w:rPr>
        <w:t xml:space="preserve">[1] W. R. Goodman et al, Rev. Sci. </w:t>
      </w:r>
      <w:proofErr w:type="spellStart"/>
      <w:r w:rsidRPr="000F5941">
        <w:rPr>
          <w:sz w:val="24"/>
        </w:rPr>
        <w:t>Instrum</w:t>
      </w:r>
      <w:proofErr w:type="spellEnd"/>
      <w:r w:rsidRPr="000F5941">
        <w:rPr>
          <w:sz w:val="24"/>
        </w:rPr>
        <w:t>. 93, 093518 (2022)</w:t>
      </w:r>
    </w:p>
    <w:p w14:paraId="0DC9B91A" w14:textId="77777777" w:rsidR="000F5941" w:rsidRPr="000F5941" w:rsidRDefault="000F5941" w:rsidP="000F5941">
      <w:pPr>
        <w:pStyle w:val="Paragraph"/>
        <w:ind w:firstLine="0"/>
        <w:jc w:val="both"/>
        <w:rPr>
          <w:sz w:val="24"/>
        </w:rPr>
      </w:pPr>
      <w:r w:rsidRPr="000F5941">
        <w:rPr>
          <w:sz w:val="24"/>
        </w:rPr>
        <w:t>[2] C. C. Hegna, Phys. Plasmas 19, 056101 (2012)</w:t>
      </w:r>
    </w:p>
    <w:p w14:paraId="076BF4DC" w14:textId="0ECEE274" w:rsidR="00DB600B" w:rsidRDefault="000F5941" w:rsidP="000F5941">
      <w:pPr>
        <w:pStyle w:val="Paragraph"/>
        <w:ind w:firstLine="0"/>
        <w:jc w:val="both"/>
        <w:rPr>
          <w:rStyle w:val="Hyperlink"/>
          <w:sz w:val="24"/>
        </w:rPr>
      </w:pPr>
      <w:r w:rsidRPr="000F5941">
        <w:rPr>
          <w:sz w:val="24"/>
        </w:rPr>
        <w:t xml:space="preserve">[3] W. R. Goodman, B. Geigerl, Rev. Sci. </w:t>
      </w:r>
      <w:proofErr w:type="spellStart"/>
      <w:r w:rsidRPr="000F5941">
        <w:rPr>
          <w:sz w:val="24"/>
        </w:rPr>
        <w:t>Instrum</w:t>
      </w:r>
      <w:proofErr w:type="spellEnd"/>
      <w:r w:rsidRPr="000F5941">
        <w:rPr>
          <w:sz w:val="24"/>
        </w:rPr>
        <w:t>. 95, 093507 (2024)</w:t>
      </w:r>
    </w:p>
    <w:p w14:paraId="71641FAE" w14:textId="77777777" w:rsidR="00DB600B" w:rsidRPr="00082DF1" w:rsidRDefault="00DB600B" w:rsidP="00082DF1">
      <w:pPr>
        <w:pStyle w:val="NoSpacing"/>
        <w:rPr>
          <w:rFonts w:ascii="Times New Roman" w:hAnsi="Times New Roman" w:cs="Times New Roman"/>
        </w:rPr>
      </w:pPr>
    </w:p>
    <w:p w14:paraId="58C83071" w14:textId="77777777" w:rsidR="00DB600B" w:rsidRPr="00082DF1" w:rsidRDefault="00DB600B" w:rsidP="00082DF1">
      <w:pPr>
        <w:pStyle w:val="NoSpacing"/>
        <w:rPr>
          <w:rFonts w:ascii="Times New Roman" w:hAnsi="Times New Roman" w:cs="Times New Roman"/>
        </w:rPr>
      </w:pPr>
    </w:p>
    <w:p w14:paraId="7CDA0FF4" w14:textId="7A365834" w:rsidR="00A3459B" w:rsidRPr="00082DF1" w:rsidRDefault="00DB600B" w:rsidP="00426679">
      <w:pPr>
        <w:pStyle w:val="NoSpacing"/>
        <w:rPr>
          <w:sz w:val="24"/>
        </w:rPr>
      </w:pPr>
      <w:r w:rsidRPr="009274B9">
        <w:rPr>
          <w:rFonts w:ascii="Times New Roman" w:hAnsi="Times New Roman" w:cs="Times New Roman"/>
          <w:b/>
          <w:bCs/>
        </w:rPr>
        <w:t>Specify category</w:t>
      </w:r>
      <w:r w:rsidR="00082DF1">
        <w:rPr>
          <w:rFonts w:ascii="Times New Roman" w:hAnsi="Times New Roman" w:cs="Times New Roman"/>
          <w:color w:val="000000"/>
          <w:szCs w:val="24"/>
        </w:rPr>
        <w:t>:</w:t>
      </w:r>
      <w:r w:rsidR="00426679">
        <w:rPr>
          <w:rFonts w:ascii="Times New Roman" w:hAnsi="Times New Roman" w:cs="Times New Roman"/>
          <w:color w:val="000000"/>
          <w:szCs w:val="24"/>
        </w:rPr>
        <w:t xml:space="preserve"> </w:t>
      </w:r>
      <w:r w:rsidR="00422738">
        <w:rPr>
          <w:rFonts w:ascii="Times New Roman" w:hAnsi="Times New Roman" w:cs="Times New Roman"/>
          <w:color w:val="000000"/>
          <w:szCs w:val="24"/>
        </w:rPr>
        <w:t>Magnetic Confinement Fusion</w:t>
      </w:r>
    </w:p>
    <w:sectPr w:rsidR="00A3459B" w:rsidRPr="00082DF1" w:rsidSect="00D9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8804" w14:textId="77777777" w:rsidR="00F234D6" w:rsidRDefault="00F234D6" w:rsidP="003E14F0">
      <w:r>
        <w:separator/>
      </w:r>
    </w:p>
  </w:endnote>
  <w:endnote w:type="continuationSeparator" w:id="0">
    <w:p w14:paraId="04B6CA77" w14:textId="77777777" w:rsidR="00F234D6" w:rsidRDefault="00F234D6" w:rsidP="003E1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2B76" w14:textId="77777777" w:rsidR="00F234D6" w:rsidRDefault="00F234D6" w:rsidP="003E14F0">
      <w:r>
        <w:separator/>
      </w:r>
    </w:p>
  </w:footnote>
  <w:footnote w:type="continuationSeparator" w:id="0">
    <w:p w14:paraId="1412F0CE" w14:textId="77777777" w:rsidR="00F234D6" w:rsidRDefault="00F234D6" w:rsidP="003E14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5A8"/>
    <w:multiLevelType w:val="hybridMultilevel"/>
    <w:tmpl w:val="A3800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407FC"/>
    <w:multiLevelType w:val="multilevel"/>
    <w:tmpl w:val="109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C472B"/>
    <w:multiLevelType w:val="hybridMultilevel"/>
    <w:tmpl w:val="06427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0033111">
    <w:abstractNumId w:val="0"/>
  </w:num>
  <w:num w:numId="2" w16cid:durableId="469828432">
    <w:abstractNumId w:val="2"/>
  </w:num>
  <w:num w:numId="3" w16cid:durableId="479080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C9"/>
    <w:rsid w:val="0000224B"/>
    <w:rsid w:val="00010CB2"/>
    <w:rsid w:val="0001558B"/>
    <w:rsid w:val="00023BF7"/>
    <w:rsid w:val="00061631"/>
    <w:rsid w:val="00082DF1"/>
    <w:rsid w:val="00085FC9"/>
    <w:rsid w:val="000F5941"/>
    <w:rsid w:val="00101F2B"/>
    <w:rsid w:val="00106416"/>
    <w:rsid w:val="00121653"/>
    <w:rsid w:val="0012781E"/>
    <w:rsid w:val="00130850"/>
    <w:rsid w:val="00136994"/>
    <w:rsid w:val="001562AE"/>
    <w:rsid w:val="001A0630"/>
    <w:rsid w:val="001E1BB0"/>
    <w:rsid w:val="00242EF7"/>
    <w:rsid w:val="0026604C"/>
    <w:rsid w:val="002A66EE"/>
    <w:rsid w:val="002D1AF0"/>
    <w:rsid w:val="002F203B"/>
    <w:rsid w:val="003020BB"/>
    <w:rsid w:val="00313E8B"/>
    <w:rsid w:val="0035680F"/>
    <w:rsid w:val="0039136E"/>
    <w:rsid w:val="00393640"/>
    <w:rsid w:val="003B5033"/>
    <w:rsid w:val="003C7139"/>
    <w:rsid w:val="003E14F0"/>
    <w:rsid w:val="00422738"/>
    <w:rsid w:val="00426679"/>
    <w:rsid w:val="00426B37"/>
    <w:rsid w:val="0044547B"/>
    <w:rsid w:val="004557DE"/>
    <w:rsid w:val="00460B50"/>
    <w:rsid w:val="004725F0"/>
    <w:rsid w:val="004756B9"/>
    <w:rsid w:val="004E63CA"/>
    <w:rsid w:val="0051575C"/>
    <w:rsid w:val="00576773"/>
    <w:rsid w:val="00592A55"/>
    <w:rsid w:val="005A2BB6"/>
    <w:rsid w:val="005C5906"/>
    <w:rsid w:val="006053B4"/>
    <w:rsid w:val="006251A4"/>
    <w:rsid w:val="006637F9"/>
    <w:rsid w:val="00677C23"/>
    <w:rsid w:val="006A44E6"/>
    <w:rsid w:val="006D63BE"/>
    <w:rsid w:val="006F00FC"/>
    <w:rsid w:val="006F3125"/>
    <w:rsid w:val="007443C8"/>
    <w:rsid w:val="00745806"/>
    <w:rsid w:val="00750EFD"/>
    <w:rsid w:val="007644CE"/>
    <w:rsid w:val="00764699"/>
    <w:rsid w:val="007724D1"/>
    <w:rsid w:val="0079601F"/>
    <w:rsid w:val="007C1999"/>
    <w:rsid w:val="007C2CC9"/>
    <w:rsid w:val="007C54E7"/>
    <w:rsid w:val="007F4862"/>
    <w:rsid w:val="007F7FC7"/>
    <w:rsid w:val="0081697D"/>
    <w:rsid w:val="008203D2"/>
    <w:rsid w:val="00844BEE"/>
    <w:rsid w:val="00864EAA"/>
    <w:rsid w:val="00871436"/>
    <w:rsid w:val="00886A03"/>
    <w:rsid w:val="0088751D"/>
    <w:rsid w:val="00890958"/>
    <w:rsid w:val="008F25D0"/>
    <w:rsid w:val="009103B3"/>
    <w:rsid w:val="009268D7"/>
    <w:rsid w:val="009274B9"/>
    <w:rsid w:val="009341CC"/>
    <w:rsid w:val="00962C3C"/>
    <w:rsid w:val="0097616E"/>
    <w:rsid w:val="009860C0"/>
    <w:rsid w:val="009A06EC"/>
    <w:rsid w:val="00A107D3"/>
    <w:rsid w:val="00A22A33"/>
    <w:rsid w:val="00A3459B"/>
    <w:rsid w:val="00A627CE"/>
    <w:rsid w:val="00A8175E"/>
    <w:rsid w:val="00A924F9"/>
    <w:rsid w:val="00A96026"/>
    <w:rsid w:val="00AA2DC9"/>
    <w:rsid w:val="00B248C9"/>
    <w:rsid w:val="00B53D22"/>
    <w:rsid w:val="00B659BB"/>
    <w:rsid w:val="00B77140"/>
    <w:rsid w:val="00B970ED"/>
    <w:rsid w:val="00C150E3"/>
    <w:rsid w:val="00C34F16"/>
    <w:rsid w:val="00C37DD7"/>
    <w:rsid w:val="00C758A1"/>
    <w:rsid w:val="00C80678"/>
    <w:rsid w:val="00C82DE2"/>
    <w:rsid w:val="00C870D2"/>
    <w:rsid w:val="00CA476B"/>
    <w:rsid w:val="00CA4992"/>
    <w:rsid w:val="00CB231A"/>
    <w:rsid w:val="00CC4636"/>
    <w:rsid w:val="00CD37BE"/>
    <w:rsid w:val="00CF3D8B"/>
    <w:rsid w:val="00D13D2C"/>
    <w:rsid w:val="00D14259"/>
    <w:rsid w:val="00D23D20"/>
    <w:rsid w:val="00D31259"/>
    <w:rsid w:val="00D4266B"/>
    <w:rsid w:val="00D4496F"/>
    <w:rsid w:val="00D761E0"/>
    <w:rsid w:val="00D956BD"/>
    <w:rsid w:val="00DA5F34"/>
    <w:rsid w:val="00DB600B"/>
    <w:rsid w:val="00DC12F8"/>
    <w:rsid w:val="00DE6537"/>
    <w:rsid w:val="00DF3170"/>
    <w:rsid w:val="00E0461C"/>
    <w:rsid w:val="00E055AA"/>
    <w:rsid w:val="00E223DF"/>
    <w:rsid w:val="00E431B1"/>
    <w:rsid w:val="00E43659"/>
    <w:rsid w:val="00E45785"/>
    <w:rsid w:val="00E66B8B"/>
    <w:rsid w:val="00E732BA"/>
    <w:rsid w:val="00E92657"/>
    <w:rsid w:val="00E92B11"/>
    <w:rsid w:val="00F03981"/>
    <w:rsid w:val="00F158CC"/>
    <w:rsid w:val="00F234D6"/>
    <w:rsid w:val="00F34B40"/>
    <w:rsid w:val="00F62524"/>
    <w:rsid w:val="00F70283"/>
    <w:rsid w:val="00F7118D"/>
    <w:rsid w:val="00FB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074B"/>
  <w15:chartTrackingRefBased/>
  <w15:docId w15:val="{80BC615A-9E6F-4A4B-A16A-30EED888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FC9"/>
    <w:rPr>
      <w:rFonts w:ascii="Times New Roman" w:eastAsia="Times New Roman" w:hAnsi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85FC9"/>
    <w:pPr>
      <w:ind w:firstLine="360"/>
    </w:pPr>
  </w:style>
  <w:style w:type="character" w:styleId="Hyperlink">
    <w:name w:val="Hyperlink"/>
    <w:uiPriority w:val="99"/>
    <w:unhideWhenUsed/>
    <w:rsid w:val="0035680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E14F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3E14F0"/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3E14F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3E14F0"/>
    <w:rPr>
      <w:rFonts w:ascii="Times New Roman" w:eastAsia="Times New Roman" w:hAnsi="Times New Roman" w:cs="Times New Roman"/>
      <w:sz w:val="20"/>
      <w:szCs w:val="20"/>
      <w:lang w:eastAsia="ja-JP"/>
    </w:rPr>
  </w:style>
  <w:style w:type="character" w:customStyle="1" w:styleId="UnresolvedMention1">
    <w:name w:val="Unresolved Mention1"/>
    <w:uiPriority w:val="99"/>
    <w:semiHidden/>
    <w:unhideWhenUsed/>
    <w:rsid w:val="00C37DD7"/>
    <w:rPr>
      <w:color w:val="605E5C"/>
      <w:shd w:val="clear" w:color="auto" w:fill="E1DFDD"/>
    </w:rPr>
  </w:style>
  <w:style w:type="character" w:styleId="UnresolvedMention">
    <w:name w:val="Unresolved Mention"/>
    <w:uiPriority w:val="99"/>
    <w:semiHidden/>
    <w:unhideWhenUsed/>
    <w:rsid w:val="00F0398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36994"/>
    <w:rPr>
      <w:rFonts w:ascii="Times New Roman" w:eastAsia="Times New Roman" w:hAnsi="Times New Roman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3B503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659BB"/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8909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9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goodman2@wisc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436</Words>
  <Characters>2667</Characters>
  <Application>Microsoft Office Word</Application>
  <DocSecurity>0</DocSecurity>
  <Lines>74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LLNL</Company>
  <LinksUpToDate>false</LinksUpToDate>
  <CharactersWithSpaces>3073</CharactersWithSpaces>
  <SharedDoc>false</SharedDoc>
  <HLinks>
    <vt:vector size="24" baseType="variant">
      <vt:variant>
        <vt:i4>5701716</vt:i4>
      </vt:variant>
      <vt:variant>
        <vt:i4>9</vt:i4>
      </vt:variant>
      <vt:variant>
        <vt:i4>0</vt:i4>
      </vt:variant>
      <vt:variant>
        <vt:i4>5</vt:i4>
      </vt:variant>
      <vt:variant>
        <vt:lpwstr>http://www.lanl.gov/htpd2020</vt:lpwstr>
      </vt:variant>
      <vt:variant>
        <vt:lpwstr/>
      </vt:variant>
      <vt:variant>
        <vt:i4>4784243</vt:i4>
      </vt:variant>
      <vt:variant>
        <vt:i4>6</vt:i4>
      </vt:variant>
      <vt:variant>
        <vt:i4>0</vt:i4>
      </vt:variant>
      <vt:variant>
        <vt:i4>5</vt:i4>
      </vt:variant>
      <vt:variant>
        <vt:lpwstr>mailto:htpd2020abstracts@lanl.gov</vt:lpwstr>
      </vt:variant>
      <vt:variant>
        <vt:lpwstr/>
      </vt:variant>
      <vt:variant>
        <vt:i4>4784243</vt:i4>
      </vt:variant>
      <vt:variant>
        <vt:i4>3</vt:i4>
      </vt:variant>
      <vt:variant>
        <vt:i4>0</vt:i4>
      </vt:variant>
      <vt:variant>
        <vt:i4>5</vt:i4>
      </vt:variant>
      <vt:variant>
        <vt:lpwstr>mailto:htpd2020abstracts@lanl.gov</vt:lpwstr>
      </vt:variant>
      <vt:variant>
        <vt:lpwstr/>
      </vt:variant>
      <vt:variant>
        <vt:i4>2228238</vt:i4>
      </vt:variant>
      <vt:variant>
        <vt:i4>0</vt:i4>
      </vt:variant>
      <vt:variant>
        <vt:i4>0</vt:i4>
      </vt:variant>
      <vt:variant>
        <vt:i4>5</vt:i4>
      </vt:variant>
      <vt:variant>
        <vt:lpwstr>mailto:Author@domain.net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meier5</dc:creator>
  <cp:keywords/>
  <cp:lastModifiedBy>Wayne Goodman</cp:lastModifiedBy>
  <cp:revision>28</cp:revision>
  <cp:lastPrinted>2026-03-23T19:22:00Z</cp:lastPrinted>
  <dcterms:created xsi:type="dcterms:W3CDTF">2023-12-05T11:54:00Z</dcterms:created>
  <dcterms:modified xsi:type="dcterms:W3CDTF">2026-03-23T19:26:00Z</dcterms:modified>
</cp:coreProperties>
</file>