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String、Generator 对象、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2019-04-26T06:25:18Z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