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Web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parent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视三间多 属自控循前源高宽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音三间多 属自控循前源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拖例 布使矩例 比使依不适能 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应文服三所注一应文容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工运例由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html5新特性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278BF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B0AA0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81E7E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A3D5E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94933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43F6A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90728C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07CA0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3C81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2C0DB3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1BEB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08F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3376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4C2CA8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0B49F7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B6B8F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80EAE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1910A6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15DB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C6B30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70685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2017-08-07T09:04:13Z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