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bookmarkStart w:id="0" w:name="_GoBack"/>
      <w:bookmarkEnd w:id="0"/>
      <w:r>
        <w:rPr>
          <w:rFonts w:hint="eastAsia" w:asciiTheme="minorEastAsia" w:hAnsiTheme="minorEastAsia" w:cstheme="minorEastAsia"/>
          <w:sz w:val="24"/>
          <w:szCs w:val="24"/>
          <w:lang w:val="en-US" w:eastAsia="zh-CN"/>
        </w:rPr>
        <w:t>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2019-05-01T13:34:50Z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