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macro-task(宏任务)：包括整体代码script，setTimeout，setInterval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micro-task(微任务)：Promise，process.nextTick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mouseover与moseenter区别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mouseover鼠标移入元素及其子元素时会触发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mouseenter鼠标移入元素时会触发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0.1+0.2===0.3</w:t>
      </w:r>
      <w:r>
        <w:rPr>
          <w:rFonts w:hint="eastAsia" w:asciiTheme="minorEastAsia" w:hAnsiTheme="minorEastAsia" w:cstheme="minorEastAsia"/>
          <w:sz w:val="24"/>
          <w:szCs w:val="24"/>
          <w:lang w:val="en-US" w:eastAsia="zh-CN"/>
        </w:rPr>
        <w:t xml:space="preserve">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46数组鉴别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var arr = [1,2,3];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 instanceof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arr.constructor ===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Object.prototype.toString.call(arr) === '[object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css 宽度高度等于屏幕宽度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容器的padding比例值是相对于容器的宽度值来计算的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padding-bottom:100%;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border:solid 1px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48左定宽，右自适应布局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(1)利用position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left: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top: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flex:0 0 200px;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order:-1;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49css 三个div 宽度不定 每个间距20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yellow;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class="content1"&gt;右侧主体自适应区块&lt;/div&gt;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class="content2"&gt;右侧主体自适应区块&lt;/div&gt;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class="content3"&gt;右侧主体自适应区块&lt;/div&gt;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 react router 中link 和a标签区别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对比&lt;a&gt;,Link组件避免了不必要的重渲染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51react component 和pure component区别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PureComponent自带通过props和state的浅对比来实现 shouldComponentUpate()，而Component没有。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   h5 storage事件监听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网页A：监听了storage事件：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&lt;title&gt;A&lt;/title&gt;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window.addEventListener("storage", function (e)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alert(e.newValue);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网页B：修改了localStorage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&lt;title&gt;B&lt;/title&gt;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localStorage.clear();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localStorage.setItem('foo', 'bar');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（2）如果非得要在同一网页监听怎么办？可以重写localStorage的方法，抛出自定义事件：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&lt;title&gt;A&lt;/title&gt;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var orignalSetItem = localStorage.setItem;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 = function(key,newValue){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var setItemEvent = new Event("setItemEvent");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setItemEvent.newValue = 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window.dispatchEvent(setItemEvent);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orignalSetItem.apply(this,arguments);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window.addEventListener("setItemEvent", function (e)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alert(e.newValue);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localStorage.setItem("nm","1234");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 linux 新建文件 touch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53 </w:t>
      </w:r>
      <w:r>
        <w:rPr>
          <w:rFonts w:hint="default" w:asciiTheme="minorEastAsia" w:hAnsiTheme="minorEastAsia" w:cstheme="minorEastAsia"/>
          <w:sz w:val="24"/>
          <w:szCs w:val="24"/>
          <w:lang w:val="en-US" w:eastAsia="zh-CN"/>
        </w:rPr>
        <w:t>apply，call和bind方法区别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apply 改变函数运行时上下文，调用之后立即执行，参数是数组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call 改变函数运行时上下文，调用之后立即执行，参数是列表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call 改变函数运行时上下文，调用之后返回一个新的函数需要时再调用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function test(){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console.log(a===a);  //true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console.log(a===b);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console.log(a.bind(this)===a.bind(this));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55 Promise用ok代替then;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let test=new Promise((resolve, reject) =&gt;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console.log("1");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resolve();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Promise.prototype.ok=Promise.prototype.then;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test.ok(function(data){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console.log("2");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56 浏览器断网重连  navigator.onLine 返回true和false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57 http 头参数 过期相关的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"https://www.jianshu.com/p/5391052d5382" </w:instrText>
      </w:r>
      <w:r>
        <w:rPr>
          <w:rFonts w:ascii="宋体" w:hAnsi="宋体" w:eastAsia="宋体" w:cs="宋体"/>
          <w:sz w:val="24"/>
          <w:szCs w:val="24"/>
        </w:rPr>
        <w:fldChar w:fldCharType="separate"/>
      </w:r>
      <w:r>
        <w:rPr>
          <w:rStyle w:val="6"/>
          <w:rFonts w:ascii="宋体" w:hAnsi="宋体" w:eastAsia="宋体" w:cs="宋体"/>
          <w:sz w:val="24"/>
          <w:szCs w:val="24"/>
        </w:rPr>
        <w:t>https://www.jianshu.com/p/5391052d5382</w:t>
      </w:r>
      <w:r>
        <w:rPr>
          <w:rFonts w:ascii="宋体" w:hAnsi="宋体" w:eastAsia="宋体" w:cs="宋体"/>
          <w:sz w:val="24"/>
          <w:szCs w:val="24"/>
        </w:rPr>
        <w:fldChar w:fldCharType="end"/>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2019-06-09T04:27:31Z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