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pPr>
              <w:rPr>
                <w:rFonts w:hint="eastAsia" w:ascii="仿宋" w:hAnsi="仿宋" w:eastAsia="仿宋" w:cs="仿宋"/>
                <w:sz w:val="28"/>
                <w:szCs w:val="28"/>
              </w:rPr>
            </w:pPr>
            <w:r>
              <w:rPr>
                <w:rFonts w:hint="eastAsia" w:ascii="仿宋" w:hAnsi="仿宋" w:eastAsia="仿宋" w:cs="仿宋"/>
                <w:b/>
                <w:bCs/>
                <w:sz w:val="28"/>
                <w:szCs w:val="28"/>
              </w:rPr>
              <w:br w:type="page"/>
            </w:r>
            <w:r>
              <w:rPr>
                <w:rFonts w:hint="eastAsia" w:ascii="仿宋" w:hAnsi="仿宋" w:eastAsia="仿宋" w:cs="仿宋"/>
                <w:sz w:val="28"/>
                <w:szCs w:val="28"/>
              </w:rPr>
              <w:t>分类号</w:t>
            </w:r>
          </w:p>
        </w:tc>
        <w:tc>
          <w:tcPr>
            <w:tcW w:w="1365" w:type="dxa"/>
            <w:gridSpan w:val="2"/>
            <w:tcBorders>
              <w:top w:val="nil"/>
              <w:left w:val="nil"/>
              <w:bottom w:val="dashSmallGap" w:color="auto" w:sz="4" w:space="0"/>
              <w:right w:val="nil"/>
            </w:tcBorders>
            <w:vAlign w:val="bottom"/>
          </w:tcPr>
          <w:p>
            <w:pPr>
              <w:rPr>
                <w:b/>
                <w:bCs/>
              </w:rPr>
            </w:pPr>
          </w:p>
        </w:tc>
        <w:tc>
          <w:tcPr>
            <w:tcW w:w="4303" w:type="dxa"/>
            <w:gridSpan w:val="3"/>
            <w:tcBorders>
              <w:top w:val="nil"/>
              <w:left w:val="nil"/>
              <w:bottom w:val="nil"/>
              <w:right w:val="nil"/>
            </w:tcBorders>
            <w:vAlign w:val="bottom"/>
          </w:tcPr>
          <w:p/>
        </w:tc>
        <w:tc>
          <w:tcPr>
            <w:tcW w:w="945" w:type="dxa"/>
            <w:gridSpan w:val="2"/>
            <w:tcBorders>
              <w:top w:val="nil"/>
              <w:left w:val="nil"/>
              <w:bottom w:val="nil"/>
              <w:right w:val="nil"/>
            </w:tcBorders>
            <w:vAlign w:val="bottom"/>
          </w:tcPr>
          <w:p>
            <w:pPr>
              <w:rPr>
                <w:rFonts w:hint="eastAsia" w:ascii="仿宋" w:hAnsi="仿宋" w:eastAsia="仿宋" w:cs="仿宋"/>
                <w:sz w:val="28"/>
                <w:szCs w:val="28"/>
              </w:rPr>
            </w:pPr>
            <w:r>
              <w:rPr>
                <w:rFonts w:hint="eastAsia" w:ascii="仿宋" w:hAnsi="仿宋" w:eastAsia="仿宋" w:cs="仿宋"/>
                <w:sz w:val="28"/>
                <w:szCs w:val="28"/>
              </w:rPr>
              <w:t>密 级</w:t>
            </w:r>
          </w:p>
        </w:tc>
        <w:tc>
          <w:tcPr>
            <w:tcW w:w="1365" w:type="dxa"/>
            <w:tcBorders>
              <w:top w:val="nil"/>
              <w:left w:val="nil"/>
              <w:bottom w:val="dashSmallGap" w:color="auto" w:sz="4" w:space="0"/>
              <w:right w:val="nil"/>
            </w:tcBorders>
            <w:vAlign w:val="bottom"/>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pPr>
              <w:rPr>
                <w:rFonts w:hint="eastAsia" w:ascii="仿宋" w:hAnsi="仿宋" w:eastAsia="仿宋" w:cs="仿宋"/>
                <w:sz w:val="28"/>
                <w:szCs w:val="28"/>
              </w:rPr>
            </w:pPr>
            <w:r>
              <w:rPr>
                <w:rFonts w:hint="eastAsia" w:ascii="仿宋" w:hAnsi="仿宋" w:eastAsia="仿宋" w:cs="仿宋"/>
                <w:sz w:val="28"/>
                <w:szCs w:val="28"/>
              </w:rPr>
              <w:t>U D C</w:t>
            </w:r>
          </w:p>
        </w:tc>
        <w:tc>
          <w:tcPr>
            <w:tcW w:w="1365" w:type="dxa"/>
            <w:gridSpan w:val="2"/>
            <w:tcBorders>
              <w:top w:val="dashSmallGap" w:color="auto" w:sz="4" w:space="0"/>
              <w:left w:val="nil"/>
              <w:bottom w:val="dashSmallGap" w:color="auto" w:sz="4" w:space="0"/>
              <w:right w:val="nil"/>
            </w:tcBorders>
            <w:vAlign w:val="bottom"/>
          </w:tcPr>
          <w:p/>
        </w:tc>
        <w:tc>
          <w:tcPr>
            <w:tcW w:w="4303" w:type="dxa"/>
            <w:gridSpan w:val="3"/>
            <w:tcBorders>
              <w:top w:val="nil"/>
              <w:left w:val="nil"/>
              <w:bottom w:val="nil"/>
              <w:right w:val="nil"/>
            </w:tcBorders>
            <w:vAlign w:val="bottom"/>
          </w:tcPr>
          <w:p/>
        </w:tc>
        <w:tc>
          <w:tcPr>
            <w:tcW w:w="945" w:type="dxa"/>
            <w:gridSpan w:val="2"/>
            <w:tcBorders>
              <w:top w:val="nil"/>
              <w:left w:val="nil"/>
              <w:bottom w:val="nil"/>
              <w:right w:val="nil"/>
            </w:tcBorders>
            <w:vAlign w:val="bottom"/>
          </w:tcPr>
          <w:p>
            <w:pPr>
              <w:rPr>
                <w:rFonts w:hint="eastAsia" w:ascii="仿宋" w:hAnsi="仿宋" w:eastAsia="仿宋" w:cs="仿宋"/>
                <w:sz w:val="28"/>
                <w:szCs w:val="28"/>
              </w:rPr>
            </w:pPr>
            <w:r>
              <w:rPr>
                <w:rFonts w:hint="eastAsia" w:ascii="仿宋" w:hAnsi="仿宋" w:eastAsia="仿宋" w:cs="仿宋"/>
                <w:sz w:val="28"/>
                <w:szCs w:val="28"/>
              </w:rPr>
              <w:t>编 号</w:t>
            </w:r>
          </w:p>
        </w:tc>
        <w:tc>
          <w:tcPr>
            <w:tcW w:w="1365" w:type="dxa"/>
            <w:tcBorders>
              <w:top w:val="dashSmallGap" w:color="auto" w:sz="4" w:space="0"/>
              <w:left w:val="nil"/>
              <w:bottom w:val="dashSmallGap" w:color="auto" w:sz="4" w:space="0"/>
              <w:right w:val="nil"/>
            </w:tcBorders>
            <w:vAlign w:val="bottom"/>
          </w:tcPr>
          <w:p>
            <w:pPr>
              <w:rPr>
                <w:rFonts w:hint="default" w:eastAsia="仿宋_GB2312"/>
                <w:lang w:val="en-US" w:eastAsia="zh-CN"/>
              </w:rPr>
            </w:pPr>
            <w:r>
              <w:rPr>
                <w:rFonts w:hint="eastAsia"/>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pPr>
              <w:rPr>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pPr>
              <w:ind w:left="0" w:leftChars="0" w:firstLine="0" w:firstLineChars="0"/>
              <w:jc w:val="center"/>
              <w:rPr>
                <w:color w:val="000000"/>
              </w:rPr>
            </w:pPr>
            <w:r>
              <w:drawing>
                <wp:inline distT="0" distB="0" distL="0" distR="0">
                  <wp:extent cx="530860" cy="460375"/>
                  <wp:effectExtent l="0" t="0" r="2540" b="12065"/>
                  <wp:docPr id="4" name="图片 4"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liutianjiao\Desktop\TIM图片20191230192855.pngTIM图片20191230192855"/>
                          <pic:cNvPicPr>
                            <a:picLocks noChangeAspect="1" noChangeArrowheads="1"/>
                          </pic:cNvPicPr>
                        </pic:nvPicPr>
                        <pic:blipFill>
                          <a:blip r:embed="rId5"/>
                          <a:srcRect l="44565" r="5225"/>
                          <a:stretch>
                            <a:fillRect/>
                          </a:stretch>
                        </pic:blipFill>
                        <pic:spPr>
                          <a:xfrm>
                            <a:off x="0" y="0"/>
                            <a:ext cx="530860" cy="460375"/>
                          </a:xfrm>
                          <a:prstGeom prst="rect">
                            <a:avLst/>
                          </a:prstGeom>
                          <a:noFill/>
                          <a:ln>
                            <a:noFill/>
                          </a:ln>
                        </pic:spPr>
                      </pic:pic>
                    </a:graphicData>
                  </a:graphic>
                </wp:inline>
              </w:drawing>
            </w:r>
          </w:p>
          <w:p>
            <w:pPr>
              <w:bidi w:val="0"/>
              <w:ind w:left="0" w:leftChars="0" w:firstLine="0" w:firstLineChars="0"/>
              <w:jc w:val="center"/>
            </w:pPr>
            <w:r>
              <w:rPr>
                <w:rFonts w:hint="eastAsia"/>
                <w:b/>
                <w:bCs/>
                <w:sz w:val="56"/>
                <w:szCs w:val="56"/>
              </w:rPr>
              <w:t>硕  士  学  位  论  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pPr>
              <w:adjustRightInd w:val="0"/>
              <w:snapToGrid w:val="0"/>
              <w:jc w:val="center"/>
              <w:rPr>
                <w:color w:val="000000"/>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pPr>
              <w:jc w:val="center"/>
            </w:pPr>
            <w:r>
              <w:rPr>
                <w:rFonts w:hint="eastAsia" w:ascii="楷体" w:hAnsi="楷体" w:eastAsia="楷体" w:cs="楷体"/>
                <w:b/>
                <w:bCs/>
                <w:sz w:val="52"/>
                <w:szCs w:val="52"/>
              </w:rPr>
              <w:t>论文标题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研究生姓名</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lang w:eastAsia="zh-CN"/>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学号</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指导教师姓名</w:t>
            </w:r>
            <w:r>
              <w:rPr>
                <w:rFonts w:hint="eastAsia"/>
                <w:sz w:val="28"/>
                <w:szCs w:val="28"/>
                <w:lang w:val="en-US" w:eastAsia="zh-CN"/>
              </w:rPr>
              <w:t>及</w:t>
            </w:r>
            <w:r>
              <w:rPr>
                <w:rFonts w:hint="eastAsia"/>
                <w:sz w:val="28"/>
                <w:szCs w:val="28"/>
              </w:rPr>
              <w:t>职称</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专业名称</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研究方向</w:t>
            </w:r>
          </w:p>
        </w:tc>
        <w:tc>
          <w:tcPr>
            <w:tcW w:w="284" w:type="dxa"/>
            <w:tcBorders>
              <w:top w:val="nil"/>
              <w:left w:val="nil"/>
              <w:bottom w:val="nil"/>
              <w:right w:val="nil"/>
            </w:tcBorders>
            <w:vAlign w:val="center"/>
          </w:tcPr>
          <w:p>
            <w:pPr>
              <w:ind w:firstLine="0" w:firstLineChars="0"/>
              <w:jc w:val="distribute"/>
              <w:rPr>
                <w:rFonts w:hint="eastAsia"/>
                <w:sz w:val="28"/>
                <w:szCs w:val="28"/>
              </w:rPr>
            </w:pPr>
            <w:r>
              <w:rPr>
                <w:rFonts w:hint="eastAsia"/>
                <w:sz w:val="28"/>
                <w:szCs w:val="28"/>
              </w:rPr>
              <w:t>：</w:t>
            </w:r>
          </w:p>
        </w:tc>
        <w:tc>
          <w:tcPr>
            <w:tcW w:w="3080" w:type="dxa"/>
            <w:gridSpan w:val="2"/>
            <w:tcBorders>
              <w:top w:val="nil"/>
              <w:left w:val="nil"/>
              <w:bottom w:val="nil"/>
              <w:right w:val="nil"/>
            </w:tcBorders>
            <w:vAlign w:val="center"/>
          </w:tcPr>
          <w:p>
            <w:pPr>
              <w:ind w:firstLine="0" w:firstLineChars="0"/>
              <w:jc w:val="distribute"/>
              <w:rPr>
                <w:rFonts w:hint="eastAsia"/>
                <w:sz w:val="28"/>
                <w:szCs w:val="28"/>
              </w:rPr>
            </w:pP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vAlign w:val="bottom"/>
          </w:tcPr>
          <w:p>
            <w:pPr>
              <w:jc w:val="center"/>
            </w:pPr>
            <w:r>
              <w:rPr>
                <w:rFonts w:hint="eastAsia" w:ascii="黑体" w:hAnsi="黑体" w:eastAsia="黑体" w:cs="黑体"/>
                <w:sz w:val="32"/>
                <w:szCs w:val="32"/>
              </w:rPr>
              <w:t>二〇</w:t>
            </w:r>
            <w:r>
              <w:rPr>
                <w:rFonts w:hint="eastAsia" w:ascii="黑体" w:hAnsi="黑体" w:eastAsia="黑体" w:cs="黑体"/>
                <w:sz w:val="32"/>
                <w:szCs w:val="32"/>
                <w:lang w:val="en-US" w:eastAsia="zh-CN"/>
              </w:rPr>
              <w:t>XX</w:t>
            </w:r>
            <w:r>
              <w:rPr>
                <w:rFonts w:hint="eastAsia" w:ascii="黑体" w:hAnsi="黑体" w:eastAsia="黑体" w:cs="黑体"/>
                <w:sz w:val="32"/>
                <w:szCs w:val="32"/>
              </w:rPr>
              <w:t>年</w:t>
            </w:r>
            <w:r>
              <w:rPr>
                <w:rFonts w:hint="eastAsia" w:ascii="黑体" w:hAnsi="黑体" w:eastAsia="黑体" w:cs="黑体"/>
                <w:sz w:val="32"/>
                <w:szCs w:val="32"/>
                <w:lang w:val="en-US" w:eastAsia="zh-CN"/>
              </w:rPr>
              <w:t>XX</w:t>
            </w:r>
            <w:r>
              <w:rPr>
                <w:rFonts w:hint="eastAsia" w:ascii="黑体" w:hAnsi="黑体" w:eastAsia="黑体" w:cs="黑体"/>
                <w:sz w:val="32"/>
                <w:szCs w:val="32"/>
              </w:rPr>
              <w:t>月</w:t>
            </w:r>
          </w:p>
        </w:tc>
      </w:tr>
    </w:tbl>
    <w:p/>
    <w:p/>
    <w:p>
      <w:pPr>
        <w:pStyle w:val="2"/>
        <w:bidi w:val="0"/>
        <w:ind w:left="432" w:leftChars="0" w:hanging="432" w:firstLineChars="0"/>
        <w:rPr>
          <w:rFonts w:hint="eastAsia"/>
        </w:rPr>
      </w:pPr>
      <w:r>
        <w:rPr>
          <w:rFonts w:hint="eastAsia"/>
        </w:rPr>
        <w:t>绪论</w:t>
      </w:r>
    </w:p>
    <w:p>
      <w:pPr>
        <w:pStyle w:val="3"/>
        <w:bidi w:val="0"/>
        <w:ind w:left="575" w:leftChars="0" w:hanging="575" w:firstLineChars="0"/>
        <w:rPr>
          <w:rFonts w:hint="eastAsia"/>
        </w:rPr>
      </w:pPr>
      <w:r>
        <w:rPr>
          <w:rFonts w:hint="eastAsia"/>
        </w:rPr>
        <w:t>课题背景及研究的目的和意义</w:t>
      </w:r>
    </w:p>
    <w:p>
      <w:pPr>
        <w:bidi w:val="0"/>
        <w:ind w:firstLine="480" w:firstLineChars="200"/>
        <w:rPr>
          <w:rFonts w:hint="eastAsia"/>
        </w:rPr>
      </w:pPr>
      <w:r>
        <w:rPr>
          <w:rFonts w:hint="eastAsia"/>
        </w:rPr>
        <w:t>本世纪初，各航天强国相继出台了大规模深空探测战略规划，将探月和远地行星探索作为重点发展航天领域，返回器再入技</w:t>
      </w:r>
      <w:r>
        <w:rPr>
          <w:rFonts w:hint="eastAsia"/>
          <w:vertAlign w:val="baseline"/>
        </w:rPr>
        <w:t>术愈发成为前沿研究热点</w:t>
      </w:r>
      <w:r>
        <w:rPr>
          <w:rFonts w:hint="eastAsia"/>
          <w:vertAlign w:val="baseline"/>
          <w:lang w:val="en-US" w:eastAsia="zh-CN"/>
        </w:rPr>
        <w:t>[1]</w:t>
      </w:r>
      <w:r>
        <w:rPr>
          <w:rFonts w:hint="eastAsia"/>
          <w:vertAlign w:val="baseline"/>
        </w:rPr>
        <w:t>。深空探测航天器以接近甚至超过第二宇宙速度再入地球大气层时，激波压缩和粘性耗散效应导致的动能损失以及高度下降带来的位能损失大部分转化为了激波层气体内能，高温边界层又反过来对航天器进行对流和激波辐射加热使其承受极高热负荷</w:t>
      </w:r>
      <w:r>
        <w:rPr>
          <w:rFonts w:hint="eastAsia"/>
          <w:vertAlign w:val="baseline"/>
          <w:lang w:val="en-US" w:eastAsia="zh-CN"/>
        </w:rPr>
        <w:t>[2]</w:t>
      </w:r>
      <w:r>
        <w:rPr>
          <w:rFonts w:hint="eastAsia"/>
          <w:vertAlign w:val="baseline"/>
        </w:rPr>
        <w:t>。因此，深空探测</w:t>
      </w:r>
      <w:r>
        <w:rPr>
          <w:rFonts w:hint="eastAsia"/>
        </w:rPr>
        <w:t>返回器防热结构设计问题显得尤为突出。</w:t>
      </w:r>
    </w:p>
    <w:p>
      <w:pPr>
        <w:bidi w:val="0"/>
        <w:ind w:firstLine="480" w:firstLineChars="200"/>
        <w:rPr>
          <w:rFonts w:hint="eastAsia"/>
        </w:rPr>
      </w:pPr>
      <w:r>
        <w:rPr>
          <w:rFonts w:hint="eastAsia"/>
        </w:rPr>
        <w:t>热防护系统旨在保障航天器在恶劣环境中正常服役，其选材方案有烧蚀型和非烧蚀型两种类别。鉴于航天</w:t>
      </w:r>
      <w:r>
        <w:rPr>
          <w:rFonts w:hint="eastAsia"/>
          <w:vertAlign w:val="baseline"/>
        </w:rPr>
        <w:t>飞机可重复使用防/隔热瓦在实际应用中事故频发，美俄等国的宇宙飞船纷纷重回更为可靠的烧蚀型防热结构设计，我国“神舟”系列载人飞船亦是采用了全烧蚀材料方案</w:t>
      </w:r>
      <w:r>
        <w:rPr>
          <w:rFonts w:hint="eastAsia"/>
          <w:vertAlign w:val="baseline"/>
          <w:lang w:val="en-US" w:eastAsia="zh-CN"/>
        </w:rPr>
        <w:t>[3]</w:t>
      </w:r>
      <w:r>
        <w:rPr>
          <w:rFonts w:hint="eastAsia"/>
          <w:vertAlign w:val="baseline"/>
        </w:rPr>
        <w:t>。国内外热防护技术的实践经验</w:t>
      </w:r>
      <w:r>
        <w:rPr>
          <w:rFonts w:hint="eastAsia"/>
          <w:vertAlign w:val="baseline"/>
          <w:lang w:val="en-US" w:eastAsia="zh-CN"/>
        </w:rPr>
        <w:t>和发展趋势</w:t>
      </w:r>
      <w:r>
        <w:rPr>
          <w:rFonts w:hint="eastAsia"/>
          <w:vertAlign w:val="baseline"/>
        </w:rPr>
        <w:t>表明，高气流焓值、中高热流密度、低驻点压力和长再入时间的服役条件下，烧蚀防热结构仍将是满足升力再入钝头体返回器热防护系统设计技术要求的首选方案</w:t>
      </w:r>
      <w:r>
        <w:rPr>
          <w:rFonts w:hint="eastAsia"/>
          <w:vertAlign w:val="baseline"/>
          <w:lang w:val="en-US" w:eastAsia="zh-CN"/>
        </w:rPr>
        <w:t>[4]</w:t>
      </w:r>
      <w:r>
        <w:rPr>
          <w:rFonts w:hint="eastAsia"/>
          <w:vertAlign w:val="baseline"/>
        </w:rPr>
        <w:t>。低成本和高比效的轻量化航天器设计已成必然趋势，因此各国都不遗余力地发展新型轻质烧蚀型热防护材料</w:t>
      </w:r>
      <w:r>
        <w:rPr>
          <w:rFonts w:hint="eastAsia"/>
          <w:vertAlign w:val="baseline"/>
          <w:lang w:val="en-US" w:eastAsia="zh-CN"/>
        </w:rPr>
        <w:t>[5]</w:t>
      </w:r>
      <w:r>
        <w:rPr>
          <w:rFonts w:hint="eastAsia"/>
          <w:vertAlign w:val="baseline"/>
        </w:rPr>
        <w:t>。我国的航天器再入技术由神舟飞船和返回式卫星等近地轨道航天器的成功回收基础之上发展而来，已有经验尚不能完全满足深空探测返回器的轻质化防热结构设计要求。</w:t>
      </w:r>
    </w:p>
    <w:p>
      <w:pPr>
        <w:bidi w:val="0"/>
        <w:ind w:firstLine="480" w:firstLineChars="200"/>
        <w:rPr>
          <w:rFonts w:hint="eastAsia"/>
        </w:rPr>
      </w:pPr>
      <w:r>
        <w:rPr>
          <w:rFonts w:hint="eastAsia"/>
        </w:rPr>
        <w:t>为应对未来太空探索任务的挑战，解决热防护设计过度冗余或可靠性不足的问题，本课题将通过热物性表征和烧蚀模拟实验对超轻质碳/酚醛复合材料的防/隔热机理进行深入探究，建立烧蚀分层特性物理模型，以及含能量、质量和动量运输过程的数学方程，准确描述材料在苛刻热环境下的响应规律，并进行高保真度的烧蚀和热响应有限元仿真数值计算，可靠地预报材料的烧蚀行为。</w:t>
      </w:r>
    </w:p>
    <w:p>
      <w:pPr>
        <w:pStyle w:val="2"/>
        <w:bidi w:val="0"/>
        <w:ind w:left="432" w:leftChars="0" w:hanging="432" w:firstLineChars="0"/>
        <w:rPr>
          <w:rFonts w:hint="eastAsia"/>
          <w:lang w:val="en-US" w:eastAsia="zh-CN"/>
        </w:rPr>
      </w:pPr>
      <w:r>
        <w:rPr>
          <w:rFonts w:hint="eastAsia"/>
          <w:lang w:val="en-US" w:eastAsia="zh-CN"/>
        </w:rPr>
        <w:t>材料性能表征</w:t>
      </w:r>
    </w:p>
    <w:p>
      <w:pPr>
        <w:pStyle w:val="3"/>
        <w:bidi w:val="0"/>
        <w:ind w:left="575" w:leftChars="0" w:hanging="575" w:firstLineChars="0"/>
        <w:rPr>
          <w:rFonts w:hint="eastAsia"/>
          <w:lang w:val="en-US" w:eastAsia="zh-CN"/>
        </w:rPr>
      </w:pPr>
      <w:r>
        <w:rPr>
          <w:rFonts w:hint="eastAsia"/>
          <w:lang w:val="en-US" w:eastAsia="zh-CN"/>
        </w:rPr>
        <w:t>CBC-PA复合材料的属性参数</w:t>
      </w:r>
    </w:p>
    <w:p>
      <w:pPr>
        <w:bidi w:val="0"/>
        <w:ind w:firstLine="480" w:firstLineChars="200"/>
        <w:rPr>
          <w:rFonts w:hint="eastAsia"/>
          <w:lang w:val="en-US" w:eastAsia="zh-CN"/>
        </w:rPr>
      </w:pPr>
      <w:r>
        <w:rPr>
          <w:rFonts w:hint="eastAsia"/>
          <w:lang w:val="en-US" w:eastAsia="zh-CN"/>
        </w:rPr>
        <w:t>通过调整酚醛树脂前驱体溶液组分配比可得不同性质的酚醛树脂气凝胶（PA），典型PA均具有极低的体积密度（0.136~0.143g/cm</w:t>
      </w:r>
      <w:r>
        <w:rPr>
          <w:rFonts w:hint="eastAsia"/>
          <w:vertAlign w:val="superscript"/>
          <w:lang w:val="en-US" w:eastAsia="zh-CN"/>
        </w:rPr>
        <w:t>3</w:t>
      </w:r>
      <w:r>
        <w:rPr>
          <w:rFonts w:hint="eastAsia"/>
          <w:lang w:val="en-US" w:eastAsia="zh-CN"/>
        </w:rPr>
        <w:t>）、纳米尺度孔径（4.88~5.85nm）和极高的孔隙度（85.9~86.5%），且导热系数较低（约为0.2W/(m∙K)）。</w:t>
      </w:r>
      <w:r>
        <w:rPr>
          <w:rFonts w:hint="eastAsia"/>
        </w:rPr>
        <w:t>通过调整原料含量配比和改变压滤成型工艺参数</w:t>
      </w:r>
      <w:r>
        <w:rPr>
          <w:rFonts w:hint="eastAsia"/>
          <w:lang w:val="en-US" w:eastAsia="zh-CN"/>
        </w:rPr>
        <w:t>可得不同性质的短切碳纤维碳粘接骨架（CBC），</w:t>
      </w:r>
      <w:r>
        <w:rPr>
          <w:rFonts w:hint="eastAsia"/>
        </w:rPr>
        <w:t>典型CBC具有极低的体积密度（0.118~0.227g/cm</w:t>
      </w:r>
      <w:r>
        <w:rPr>
          <w:rFonts w:hint="eastAsia"/>
          <w:vertAlign w:val="superscript"/>
        </w:rPr>
        <w:t>3</w:t>
      </w:r>
      <w:r>
        <w:rPr>
          <w:rFonts w:hint="eastAsia"/>
        </w:rPr>
        <w:t>）和极高的孔隙度（85.8~92.6%），孔隙度随体积密度提高而降低。</w:t>
      </w:r>
    </w:p>
    <w:p>
      <w:pPr>
        <w:bidi w:val="0"/>
        <w:ind w:firstLine="480" w:firstLineChars="200"/>
        <w:rPr>
          <w:rFonts w:ascii="Arial" w:hAnsi="Arial"/>
        </w:rPr>
      </w:pPr>
      <w:r>
        <w:rPr>
          <w:rFonts w:hint="eastAsia"/>
          <w:lang w:val="en-US" w:eastAsia="zh-CN"/>
        </w:rPr>
        <w:t>PA和CBC的制备工艺上可调性，以及复合工艺参数可变性，使得CBC-PA复合材料性能参数可以根据使用要求而灵活地调整。如表2-1所示，复合材料具有极低的体积密度（0.247~0.346 g/cm</w:t>
      </w:r>
      <w:r>
        <w:rPr>
          <w:rFonts w:hint="eastAsia"/>
          <w:vertAlign w:val="superscript"/>
          <w:lang w:val="en-US" w:eastAsia="zh-CN"/>
        </w:rPr>
        <w:t>3</w:t>
      </w:r>
      <w:r>
        <w:rPr>
          <w:rFonts w:hint="eastAsia"/>
          <w:lang w:val="en-US" w:eastAsia="zh-CN"/>
        </w:rPr>
        <w:t>），极高的孔隙度（75.9~81.9%）。</w:t>
      </w:r>
    </w:p>
    <w:p>
      <w:pPr>
        <w:pStyle w:val="11"/>
        <w:bidi w:val="0"/>
        <w:rPr>
          <w:rFonts w:hint="eastAsia"/>
          <w:lang w:val="en-US" w:eastAsia="zh-CN"/>
        </w:rPr>
      </w:pPr>
      <w:r>
        <w:rPr>
          <w:rFonts w:hint="eastAsia"/>
          <w:lang w:val="en-US" w:eastAsia="zh-CN"/>
        </w:rPr>
        <w:t>表2-1 CBC-PA复合材料的材料参数</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1"/>
        <w:gridCol w:w="1836"/>
        <w:gridCol w:w="1136"/>
        <w:gridCol w:w="1863"/>
        <w:gridCol w:w="16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21"/>
              <w:bidi w:val="0"/>
              <w:rPr>
                <w:rFonts w:hint="eastAsia"/>
                <w:lang w:val="en-US" w:eastAsia="zh-CN"/>
              </w:rPr>
            </w:pPr>
            <w:r>
              <w:rPr>
                <w:rFonts w:hint="eastAsia"/>
                <w:lang w:val="en-US" w:eastAsia="zh-CN"/>
              </w:rPr>
              <w:t>材料CBC-PA</w:t>
            </w:r>
          </w:p>
        </w:tc>
        <w:tc>
          <w:tcPr>
            <w:tcW w:w="0" w:type="auto"/>
            <w:vAlign w:val="center"/>
          </w:tcPr>
          <w:p>
            <w:pPr>
              <w:pStyle w:val="21"/>
              <w:bidi w:val="0"/>
              <w:rPr>
                <w:rFonts w:hint="eastAsia"/>
                <w:lang w:val="en-US" w:eastAsia="zh-CN"/>
              </w:rPr>
            </w:pPr>
            <w:r>
              <w:rPr>
                <w:rFonts w:hint="eastAsia"/>
                <w:lang w:val="en-US" w:eastAsia="zh-CN"/>
              </w:rPr>
              <w:t>体积密度g/cm3</w:t>
            </w:r>
          </w:p>
        </w:tc>
        <w:tc>
          <w:tcPr>
            <w:tcW w:w="0" w:type="auto"/>
            <w:vAlign w:val="center"/>
          </w:tcPr>
          <w:p>
            <w:pPr>
              <w:pStyle w:val="21"/>
              <w:bidi w:val="0"/>
              <w:rPr>
                <w:rFonts w:hint="eastAsia"/>
                <w:lang w:val="en-US" w:eastAsia="zh-CN"/>
              </w:rPr>
            </w:pPr>
            <w:r>
              <w:rPr>
                <w:rFonts w:hint="eastAsia"/>
                <w:lang w:val="en-US" w:eastAsia="zh-CN"/>
              </w:rPr>
              <w:t>孔隙度%</w:t>
            </w:r>
          </w:p>
        </w:tc>
        <w:tc>
          <w:tcPr>
            <w:tcW w:w="0" w:type="auto"/>
            <w:vAlign w:val="center"/>
          </w:tcPr>
          <w:p>
            <w:pPr>
              <w:pStyle w:val="21"/>
              <w:bidi w:val="0"/>
              <w:rPr>
                <w:rFonts w:hint="eastAsia"/>
                <w:lang w:val="en-US" w:eastAsia="zh-CN"/>
              </w:rPr>
            </w:pPr>
            <w:r>
              <w:rPr>
                <w:rFonts w:hint="eastAsia"/>
                <w:lang w:val="en-US" w:eastAsia="zh-CN"/>
              </w:rPr>
              <w:t>CBC含量vol.%</w:t>
            </w:r>
          </w:p>
        </w:tc>
        <w:tc>
          <w:tcPr>
            <w:tcW w:w="0" w:type="auto"/>
            <w:vAlign w:val="center"/>
          </w:tcPr>
          <w:p>
            <w:pPr>
              <w:pStyle w:val="21"/>
              <w:bidi w:val="0"/>
              <w:rPr>
                <w:rFonts w:hint="eastAsia"/>
                <w:lang w:val="en-US" w:eastAsia="zh-CN"/>
              </w:rPr>
            </w:pPr>
            <w:r>
              <w:rPr>
                <w:rFonts w:hint="eastAsia"/>
                <w:lang w:val="en-US" w:eastAsia="zh-CN"/>
              </w:rPr>
              <w:t>PA含量vol.%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21"/>
              <w:bidi w:val="0"/>
              <w:rPr>
                <w:rFonts w:hint="eastAsia"/>
                <w:lang w:val="en-US" w:eastAsia="zh-CN"/>
              </w:rPr>
            </w:pPr>
            <w:r>
              <w:rPr>
                <w:rFonts w:hint="default"/>
                <w:lang w:val="en-US" w:eastAsia="zh-CN"/>
              </w:rPr>
              <w:t>CBC-PA</w:t>
            </w:r>
            <w:r>
              <w:rPr>
                <w:rFonts w:hint="eastAsia"/>
                <w:lang w:val="en-US" w:eastAsia="zh-CN"/>
              </w:rPr>
              <w:t>1</w:t>
            </w:r>
          </w:p>
        </w:tc>
        <w:tc>
          <w:tcPr>
            <w:tcW w:w="0" w:type="auto"/>
            <w:vAlign w:val="center"/>
          </w:tcPr>
          <w:p>
            <w:pPr>
              <w:pStyle w:val="21"/>
              <w:bidi w:val="0"/>
              <w:rPr>
                <w:rFonts w:hint="eastAsia"/>
                <w:lang w:val="en-US" w:eastAsia="zh-CN"/>
              </w:rPr>
            </w:pPr>
            <w:r>
              <w:rPr>
                <w:rFonts w:hint="default"/>
                <w:lang w:val="en-US" w:eastAsia="zh-CN"/>
              </w:rPr>
              <w:t>0.247</w:t>
            </w:r>
          </w:p>
        </w:tc>
        <w:tc>
          <w:tcPr>
            <w:tcW w:w="0" w:type="auto"/>
            <w:vAlign w:val="center"/>
          </w:tcPr>
          <w:p>
            <w:pPr>
              <w:pStyle w:val="21"/>
              <w:bidi w:val="0"/>
              <w:rPr>
                <w:rFonts w:hint="eastAsia"/>
                <w:lang w:val="en-US" w:eastAsia="zh-CN"/>
              </w:rPr>
            </w:pPr>
            <w:r>
              <w:rPr>
                <w:rFonts w:hint="default"/>
                <w:lang w:val="en-US" w:eastAsia="zh-CN"/>
              </w:rPr>
              <w:t>81.9</w:t>
            </w:r>
          </w:p>
        </w:tc>
        <w:tc>
          <w:tcPr>
            <w:tcW w:w="0" w:type="auto"/>
            <w:vAlign w:val="center"/>
          </w:tcPr>
          <w:p>
            <w:pPr>
              <w:pStyle w:val="21"/>
              <w:bidi w:val="0"/>
              <w:rPr>
                <w:rFonts w:hint="eastAsia"/>
                <w:lang w:val="en-US" w:eastAsia="zh-CN"/>
              </w:rPr>
            </w:pPr>
            <w:r>
              <w:rPr>
                <w:rFonts w:hint="default"/>
                <w:lang w:val="en-US" w:eastAsia="zh-CN"/>
              </w:rPr>
              <w:t>7.40</w:t>
            </w:r>
          </w:p>
        </w:tc>
        <w:tc>
          <w:tcPr>
            <w:tcW w:w="0" w:type="auto"/>
            <w:vAlign w:val="center"/>
          </w:tcPr>
          <w:p>
            <w:pPr>
              <w:pStyle w:val="21"/>
              <w:bidi w:val="0"/>
              <w:rPr>
                <w:rFonts w:hint="eastAsia"/>
                <w:lang w:val="en-US" w:eastAsia="zh-CN"/>
              </w:rPr>
            </w:pPr>
            <w:r>
              <w:rPr>
                <w:rFonts w:hint="default"/>
                <w:lang w:val="en-US" w:eastAsia="zh-CN"/>
              </w:rPr>
              <w:t>10.70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21"/>
              <w:bidi w:val="0"/>
              <w:rPr>
                <w:rFonts w:hint="eastAsia"/>
                <w:lang w:val="en-US" w:eastAsia="zh-CN"/>
              </w:rPr>
            </w:pPr>
          </w:p>
        </w:tc>
        <w:tc>
          <w:tcPr>
            <w:tcW w:w="0" w:type="auto"/>
            <w:vAlign w:val="center"/>
          </w:tcPr>
          <w:p>
            <w:pPr>
              <w:pStyle w:val="21"/>
              <w:bidi w:val="0"/>
              <w:rPr>
                <w:rFonts w:hint="eastAsia"/>
                <w:lang w:val="en-US" w:eastAsia="zh-CN"/>
              </w:rPr>
            </w:pPr>
            <w:r>
              <w:rPr>
                <w:rFonts w:hint="default"/>
                <w:lang w:val="en-US" w:eastAsia="zh-CN"/>
              </w:rPr>
              <w:t>0.288</w:t>
            </w:r>
          </w:p>
        </w:tc>
        <w:tc>
          <w:tcPr>
            <w:tcW w:w="0" w:type="auto"/>
            <w:vAlign w:val="center"/>
          </w:tcPr>
          <w:p>
            <w:pPr>
              <w:pStyle w:val="21"/>
              <w:bidi w:val="0"/>
              <w:rPr>
                <w:rFonts w:hint="eastAsia"/>
                <w:lang w:val="en-US" w:eastAsia="zh-CN"/>
              </w:rPr>
            </w:pPr>
            <w:r>
              <w:rPr>
                <w:rFonts w:hint="default"/>
                <w:lang w:val="en-US" w:eastAsia="zh-CN"/>
              </w:rPr>
              <w:t>79.4</w:t>
            </w:r>
          </w:p>
        </w:tc>
        <w:tc>
          <w:tcPr>
            <w:tcW w:w="0" w:type="auto"/>
            <w:vAlign w:val="center"/>
          </w:tcPr>
          <w:p>
            <w:pPr>
              <w:pStyle w:val="21"/>
              <w:bidi w:val="0"/>
              <w:rPr>
                <w:rFonts w:hint="eastAsia"/>
                <w:lang w:val="en-US" w:eastAsia="zh-CN"/>
              </w:rPr>
            </w:pPr>
            <w:r>
              <w:rPr>
                <w:rFonts w:hint="default"/>
                <w:lang w:val="en-US" w:eastAsia="zh-CN"/>
              </w:rPr>
              <w:t>10.20</w:t>
            </w:r>
          </w:p>
        </w:tc>
        <w:tc>
          <w:tcPr>
            <w:tcW w:w="0" w:type="auto"/>
            <w:vAlign w:val="center"/>
          </w:tcPr>
          <w:p>
            <w:pPr>
              <w:pStyle w:val="21"/>
              <w:bidi w:val="0"/>
              <w:rPr>
                <w:rFonts w:hint="eastAsia"/>
                <w:lang w:val="en-US" w:eastAsia="zh-CN"/>
              </w:rPr>
            </w:pPr>
            <w:r>
              <w:rPr>
                <w:rFonts w:hint="default"/>
                <w:lang w:val="en-US" w:eastAsia="zh-CN"/>
              </w:rPr>
              <w:t>10.40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21"/>
              <w:bidi w:val="0"/>
              <w:rPr>
                <w:rFonts w:hint="eastAsia"/>
                <w:lang w:val="en-US" w:eastAsia="zh-CN"/>
              </w:rPr>
            </w:pPr>
            <w:r>
              <w:rPr>
                <w:rFonts w:hint="default"/>
                <w:lang w:val="en-US" w:eastAsia="zh-CN"/>
              </w:rPr>
              <w:t>CBC-PA</w:t>
            </w:r>
            <w:r>
              <w:rPr>
                <w:rFonts w:hint="eastAsia"/>
                <w:lang w:val="en-US" w:eastAsia="zh-CN"/>
              </w:rPr>
              <w:t>2</w:t>
            </w:r>
          </w:p>
        </w:tc>
        <w:tc>
          <w:tcPr>
            <w:tcW w:w="0" w:type="auto"/>
            <w:vAlign w:val="center"/>
          </w:tcPr>
          <w:p>
            <w:pPr>
              <w:pStyle w:val="21"/>
              <w:bidi w:val="0"/>
              <w:rPr>
                <w:rFonts w:hint="eastAsia"/>
                <w:lang w:val="en-US" w:eastAsia="zh-CN"/>
              </w:rPr>
            </w:pPr>
            <w:r>
              <w:rPr>
                <w:rFonts w:hint="default"/>
                <w:lang w:val="en-US" w:eastAsia="zh-CN"/>
              </w:rPr>
              <w:t>0.312</w:t>
            </w:r>
          </w:p>
        </w:tc>
        <w:tc>
          <w:tcPr>
            <w:tcW w:w="0" w:type="auto"/>
            <w:vAlign w:val="center"/>
          </w:tcPr>
          <w:p>
            <w:pPr>
              <w:pStyle w:val="21"/>
              <w:bidi w:val="0"/>
              <w:rPr>
                <w:rFonts w:hint="eastAsia"/>
                <w:lang w:val="en-US" w:eastAsia="zh-CN"/>
              </w:rPr>
            </w:pPr>
            <w:r>
              <w:rPr>
                <w:rFonts w:hint="default"/>
                <w:lang w:val="en-US" w:eastAsia="zh-CN"/>
              </w:rPr>
              <w:t>78.0</w:t>
            </w:r>
          </w:p>
        </w:tc>
        <w:tc>
          <w:tcPr>
            <w:tcW w:w="0" w:type="auto"/>
            <w:vAlign w:val="center"/>
          </w:tcPr>
          <w:p>
            <w:pPr>
              <w:pStyle w:val="21"/>
              <w:bidi w:val="0"/>
              <w:rPr>
                <w:rFonts w:hint="eastAsia"/>
                <w:lang w:val="en-US" w:eastAsia="zh-CN"/>
              </w:rPr>
            </w:pPr>
            <w:r>
              <w:rPr>
                <w:rFonts w:hint="default"/>
                <w:lang w:val="en-US" w:eastAsia="zh-CN"/>
              </w:rPr>
              <w:t>12.00</w:t>
            </w:r>
          </w:p>
        </w:tc>
        <w:tc>
          <w:tcPr>
            <w:tcW w:w="0" w:type="auto"/>
            <w:vAlign w:val="center"/>
          </w:tcPr>
          <w:p>
            <w:pPr>
              <w:pStyle w:val="21"/>
              <w:bidi w:val="0"/>
              <w:rPr>
                <w:rFonts w:hint="eastAsia"/>
                <w:lang w:val="en-US" w:eastAsia="zh-CN"/>
              </w:rPr>
            </w:pPr>
            <w:r>
              <w:rPr>
                <w:rFonts w:hint="default"/>
                <w:lang w:val="en-US" w:eastAsia="zh-CN"/>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21"/>
              <w:bidi w:val="0"/>
              <w:rPr>
                <w:rFonts w:hint="eastAsia"/>
                <w:lang w:val="en-US" w:eastAsia="zh-CN"/>
              </w:rPr>
            </w:pPr>
          </w:p>
        </w:tc>
        <w:tc>
          <w:tcPr>
            <w:tcW w:w="0" w:type="auto"/>
            <w:vAlign w:val="center"/>
          </w:tcPr>
          <w:p>
            <w:pPr>
              <w:pStyle w:val="21"/>
              <w:bidi w:val="0"/>
              <w:rPr>
                <w:rFonts w:hint="eastAsia"/>
                <w:lang w:val="en-US" w:eastAsia="zh-CN"/>
              </w:rPr>
            </w:pPr>
            <w:r>
              <w:rPr>
                <w:rFonts w:hint="default"/>
                <w:lang w:val="en-US" w:eastAsia="zh-CN"/>
              </w:rPr>
              <w:t>0.314</w:t>
            </w:r>
          </w:p>
        </w:tc>
        <w:tc>
          <w:tcPr>
            <w:tcW w:w="0" w:type="auto"/>
            <w:vAlign w:val="center"/>
          </w:tcPr>
          <w:p>
            <w:pPr>
              <w:pStyle w:val="21"/>
              <w:bidi w:val="0"/>
              <w:rPr>
                <w:rFonts w:hint="eastAsia"/>
                <w:lang w:val="en-US" w:eastAsia="zh-CN"/>
              </w:rPr>
            </w:pPr>
            <w:r>
              <w:rPr>
                <w:rFonts w:hint="default"/>
                <w:lang w:val="en-US" w:eastAsia="zh-CN"/>
              </w:rPr>
              <w:t>77.8</w:t>
            </w:r>
          </w:p>
        </w:tc>
        <w:tc>
          <w:tcPr>
            <w:tcW w:w="0" w:type="auto"/>
            <w:vAlign w:val="center"/>
          </w:tcPr>
          <w:p>
            <w:pPr>
              <w:pStyle w:val="21"/>
              <w:bidi w:val="0"/>
              <w:rPr>
                <w:rFonts w:hint="eastAsia"/>
                <w:lang w:val="en-US" w:eastAsia="zh-CN"/>
              </w:rPr>
            </w:pPr>
            <w:r>
              <w:rPr>
                <w:rFonts w:hint="default"/>
                <w:lang w:val="en-US" w:eastAsia="zh-CN"/>
              </w:rPr>
              <w:t>12.00</w:t>
            </w:r>
          </w:p>
        </w:tc>
        <w:tc>
          <w:tcPr>
            <w:tcW w:w="0" w:type="auto"/>
            <w:vAlign w:val="center"/>
          </w:tcPr>
          <w:p>
            <w:pPr>
              <w:pStyle w:val="21"/>
              <w:bidi w:val="0"/>
              <w:rPr>
                <w:rFonts w:hint="eastAsia"/>
                <w:lang w:val="en-US" w:eastAsia="zh-CN"/>
              </w:rPr>
            </w:pPr>
            <w:r>
              <w:rPr>
                <w:rFonts w:hint="default"/>
                <w:lang w:val="en-US" w:eastAsia="zh-CN"/>
              </w:rPr>
              <w:t>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21"/>
              <w:bidi w:val="0"/>
              <w:rPr>
                <w:rFonts w:hint="eastAsia"/>
                <w:lang w:val="en-US" w:eastAsia="zh-CN"/>
              </w:rPr>
            </w:pPr>
            <w:r>
              <w:rPr>
                <w:rFonts w:hint="default"/>
                <w:lang w:val="en-US" w:eastAsia="zh-CN"/>
              </w:rPr>
              <w:t>CBC-PA</w:t>
            </w:r>
            <w:r>
              <w:rPr>
                <w:rFonts w:hint="eastAsia"/>
                <w:lang w:val="en-US" w:eastAsia="zh-CN"/>
              </w:rPr>
              <w:t>3</w:t>
            </w:r>
          </w:p>
        </w:tc>
        <w:tc>
          <w:tcPr>
            <w:tcW w:w="0" w:type="auto"/>
            <w:vAlign w:val="center"/>
          </w:tcPr>
          <w:p>
            <w:pPr>
              <w:pStyle w:val="21"/>
              <w:bidi w:val="0"/>
              <w:rPr>
                <w:rFonts w:hint="eastAsia"/>
                <w:lang w:val="en-US" w:eastAsia="zh-CN"/>
              </w:rPr>
            </w:pPr>
            <w:r>
              <w:rPr>
                <w:rFonts w:hint="default"/>
                <w:lang w:val="en-US" w:eastAsia="zh-CN"/>
              </w:rPr>
              <w:t>0.319</w:t>
            </w:r>
          </w:p>
        </w:tc>
        <w:tc>
          <w:tcPr>
            <w:tcW w:w="0" w:type="auto"/>
            <w:vAlign w:val="center"/>
          </w:tcPr>
          <w:p>
            <w:pPr>
              <w:pStyle w:val="21"/>
              <w:bidi w:val="0"/>
              <w:rPr>
                <w:rFonts w:hint="eastAsia"/>
                <w:lang w:val="en-US" w:eastAsia="zh-CN"/>
              </w:rPr>
            </w:pPr>
            <w:r>
              <w:rPr>
                <w:rFonts w:hint="default"/>
                <w:lang w:val="en-US" w:eastAsia="zh-CN"/>
              </w:rPr>
              <w:t>77.4</w:t>
            </w:r>
          </w:p>
        </w:tc>
        <w:tc>
          <w:tcPr>
            <w:tcW w:w="0" w:type="auto"/>
            <w:vAlign w:val="center"/>
          </w:tcPr>
          <w:p>
            <w:pPr>
              <w:pStyle w:val="21"/>
              <w:bidi w:val="0"/>
              <w:rPr>
                <w:rFonts w:hint="eastAsia"/>
                <w:lang w:val="en-US" w:eastAsia="zh-CN"/>
              </w:rPr>
            </w:pPr>
            <w:r>
              <w:rPr>
                <w:rFonts w:hint="default"/>
                <w:lang w:val="en-US" w:eastAsia="zh-CN"/>
              </w:rPr>
              <w:t>12.00</w:t>
            </w:r>
          </w:p>
        </w:tc>
        <w:tc>
          <w:tcPr>
            <w:tcW w:w="0" w:type="auto"/>
            <w:vAlign w:val="center"/>
          </w:tcPr>
          <w:p>
            <w:pPr>
              <w:pStyle w:val="21"/>
              <w:bidi w:val="0"/>
              <w:rPr>
                <w:rFonts w:hint="eastAsia"/>
                <w:lang w:val="en-US" w:eastAsia="zh-CN"/>
              </w:rPr>
            </w:pPr>
            <w:r>
              <w:rPr>
                <w:rFonts w:hint="default"/>
                <w:lang w:val="en-US" w:eastAsia="zh-CN"/>
              </w:rPr>
              <w:t>10.60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21"/>
              <w:bidi w:val="0"/>
              <w:rPr>
                <w:rFonts w:hint="eastAsia"/>
                <w:lang w:val="en-US" w:eastAsia="zh-CN"/>
              </w:rPr>
            </w:pPr>
          </w:p>
        </w:tc>
        <w:tc>
          <w:tcPr>
            <w:tcW w:w="0" w:type="auto"/>
            <w:vAlign w:val="center"/>
          </w:tcPr>
          <w:p>
            <w:pPr>
              <w:pStyle w:val="21"/>
              <w:bidi w:val="0"/>
              <w:rPr>
                <w:rFonts w:hint="eastAsia"/>
                <w:lang w:val="en-US" w:eastAsia="zh-CN"/>
              </w:rPr>
            </w:pPr>
            <w:r>
              <w:rPr>
                <w:rFonts w:hint="default"/>
                <w:lang w:val="en-US" w:eastAsia="zh-CN"/>
              </w:rPr>
              <w:t>0.346</w:t>
            </w:r>
          </w:p>
        </w:tc>
        <w:tc>
          <w:tcPr>
            <w:tcW w:w="0" w:type="auto"/>
            <w:vAlign w:val="center"/>
          </w:tcPr>
          <w:p>
            <w:pPr>
              <w:pStyle w:val="21"/>
              <w:bidi w:val="0"/>
              <w:rPr>
                <w:rFonts w:hint="eastAsia"/>
                <w:lang w:val="en-US" w:eastAsia="zh-CN"/>
              </w:rPr>
            </w:pPr>
            <w:r>
              <w:rPr>
                <w:rFonts w:hint="default"/>
                <w:lang w:val="en-US" w:eastAsia="zh-CN"/>
              </w:rPr>
              <w:t>75.9</w:t>
            </w:r>
          </w:p>
        </w:tc>
        <w:tc>
          <w:tcPr>
            <w:tcW w:w="0" w:type="auto"/>
            <w:vAlign w:val="center"/>
          </w:tcPr>
          <w:p>
            <w:pPr>
              <w:pStyle w:val="21"/>
              <w:bidi w:val="0"/>
              <w:rPr>
                <w:rFonts w:hint="eastAsia"/>
                <w:lang w:val="en-US" w:eastAsia="zh-CN"/>
              </w:rPr>
            </w:pPr>
            <w:r>
              <w:rPr>
                <w:rFonts w:hint="default"/>
                <w:lang w:val="en-US" w:eastAsia="zh-CN"/>
              </w:rPr>
              <w:t>14.20</w:t>
            </w:r>
          </w:p>
        </w:tc>
        <w:tc>
          <w:tcPr>
            <w:tcW w:w="0" w:type="auto"/>
            <w:vAlign w:val="center"/>
          </w:tcPr>
          <w:p>
            <w:pPr>
              <w:pStyle w:val="21"/>
              <w:bidi w:val="0"/>
              <w:rPr>
                <w:rFonts w:hint="eastAsia"/>
                <w:lang w:val="en-US" w:eastAsia="zh-CN"/>
              </w:rPr>
            </w:pPr>
            <w:r>
              <w:rPr>
                <w:rFonts w:hint="default"/>
                <w:lang w:val="en-US" w:eastAsia="zh-CN"/>
              </w:rPr>
              <w:t>9.90</w:t>
            </w:r>
          </w:p>
        </w:tc>
      </w:tr>
    </w:tbl>
    <w:p>
      <w:pPr>
        <w:rPr>
          <w:rFonts w:hint="eastAsia"/>
          <w:lang w:val="en-US" w:eastAsia="zh-CN"/>
        </w:rPr>
      </w:pPr>
    </w:p>
    <w:p>
      <w:pPr>
        <w:pStyle w:val="2"/>
        <w:bidi w:val="0"/>
        <w:ind w:left="432" w:leftChars="0" w:hanging="432" w:firstLineChars="0"/>
        <w:rPr>
          <w:rFonts w:hint="eastAsia"/>
          <w:lang w:val="en-US" w:eastAsia="zh-CN"/>
        </w:rPr>
      </w:pPr>
      <w:r>
        <w:rPr>
          <w:rFonts w:hint="eastAsia"/>
          <w:lang w:val="en-US" w:eastAsia="zh-CN"/>
        </w:rPr>
        <w:t>烧蚀行为的数学模型</w:t>
      </w:r>
    </w:p>
    <w:p>
      <w:pPr>
        <w:pStyle w:val="3"/>
        <w:bidi w:val="0"/>
        <w:ind w:left="575" w:leftChars="0" w:hanging="575" w:firstLineChars="0"/>
        <w:rPr>
          <w:rFonts w:hint="eastAsia"/>
          <w:lang w:val="en-US" w:eastAsia="zh-CN"/>
        </w:rPr>
      </w:pPr>
      <w:r>
        <w:rPr>
          <w:rFonts w:hint="eastAsia"/>
          <w:lang w:val="en-US" w:eastAsia="zh-CN"/>
        </w:rPr>
        <w:t>体积烧蚀的控制方程</w:t>
      </w:r>
    </w:p>
    <w:p>
      <w:pPr>
        <w:pStyle w:val="4"/>
        <w:bidi w:val="0"/>
        <w:ind w:left="720" w:leftChars="0" w:hanging="720" w:firstLineChars="0"/>
        <w:rPr>
          <w:rFonts w:hint="eastAsia"/>
          <w:lang w:val="en-US" w:eastAsia="zh-CN"/>
        </w:rPr>
      </w:pPr>
      <w:bookmarkStart w:id="0" w:name="_GoBack"/>
      <w:bookmarkEnd w:id="0"/>
      <w:r>
        <w:rPr>
          <w:rFonts w:hint="eastAsia"/>
          <w:lang w:val="en-US" w:eastAsia="zh-CN"/>
        </w:rPr>
        <w:t>材料参数插值模型</w:t>
      </w:r>
    </w:p>
    <w:p>
      <w:pPr>
        <w:bidi w:val="0"/>
        <w:ind w:firstLine="480" w:firstLineChars="200"/>
        <w:rPr>
          <w:rFonts w:hint="eastAsia"/>
          <w:lang w:val="en-US" w:eastAsia="zh-CN"/>
        </w:rPr>
      </w:pPr>
      <w:r>
        <w:rPr>
          <w:rFonts w:hint="eastAsia"/>
          <w:lang w:val="en-US" w:eastAsia="zh-CN"/>
        </w:rPr>
        <w:t>实验室测试碳化型烧蚀材料的热物性参数一般只能得到原始或完全碳化材料，不完全热解状态下的材料热物性很难由实验获取。高精度烧蚀和热响应数值仿真必须建立在准确描述材料热物性基础之上，传统热解面/区模型都是在分层常物性前提下分别求解各层能量方程，其他模型大多建立在热物性随温度变化的基础之上，这些假设均存在一定局限性。事实上，树脂基材料的热物性变化同时与温度和时间有关，而在酚醛树脂热解动力学模型中引入的热解度正是这样一种基于时间和温度的函数。因此，本课题以热解度（或称碳化度）为插值函数建立单位控制体内体积平均化的材料实时参数计算模型，这将简化数学建模工作，不再处理复杂的热解层或热解面分层求解模型，只需对材料烧蚀行为进行连续化数学建模。</w:t>
      </w:r>
    </w:p>
    <w:p>
      <w:pPr>
        <w:ind w:firstLine="480" w:firstLineChars="200"/>
        <w:rPr>
          <w:rFonts w:hint="eastAsia"/>
          <w:lang w:val="en-US" w:eastAsia="zh-CN"/>
        </w:rPr>
      </w:pPr>
      <w:r>
        <w:rPr>
          <w:rFonts w:hint="eastAsia"/>
          <w:lang w:val="en-US" w:eastAsia="zh-CN"/>
        </w:rPr>
        <w:t>完全碳化材料的密度取决于材料初始状态的组分配比和酚醛树脂的残碳率：</w:t>
      </w:r>
    </w:p>
    <w:p>
      <w:pPr>
        <w:pStyle w:val="23"/>
        <w:bidi w:val="0"/>
        <w:rPr>
          <w:rFonts w:hint="eastAsia"/>
          <w:lang w:val="en-US" w:eastAsia="zh-CN"/>
        </w:rPr>
      </w:pPr>
      <w:r>
        <w:rPr>
          <w:rFonts w:hint="eastAsia"/>
          <w:lang w:val="en-US" w:eastAsia="zh-CN"/>
        </w:rPr>
        <w:object>
          <v:shape id="_x0000_i1025" o:spt="75" type="#_x0000_t75" style="height:18pt;width:95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lang w:val="en-US" w:eastAsia="zh-CN"/>
        </w:rPr>
        <w:t>（3-1）</w:t>
      </w:r>
    </w:p>
    <w:p>
      <w:pPr>
        <w:ind w:firstLine="480" w:firstLineChars="200"/>
        <w:rPr>
          <w:rFonts w:hint="default"/>
          <w:lang w:val="en-US" w:eastAsia="zh-CN"/>
        </w:rPr>
      </w:pPr>
      <w:r>
        <w:rPr>
          <w:rFonts w:hint="default"/>
          <w:lang w:val="en-US" w:eastAsia="zh-CN"/>
        </w:rPr>
        <w:t>其他材料参数的插值计算表达式如下：</w:t>
      </w:r>
    </w:p>
    <w:p>
      <w:pPr>
        <w:pStyle w:val="23"/>
        <w:bidi w:val="0"/>
        <w:rPr>
          <w:rFonts w:hint="eastAsia"/>
          <w:lang w:val="en-US" w:eastAsia="zh-CN"/>
        </w:rPr>
      </w:pPr>
      <w:r>
        <w:rPr>
          <w:rFonts w:hint="eastAsia"/>
          <w:position w:val="-12"/>
          <w:lang w:val="en-US" w:eastAsia="zh-CN"/>
        </w:rPr>
        <w:object>
          <v:shape id="_x0000_i1026" o:spt="75" type="#_x0000_t75" style="height:18pt;width:173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lang w:val="en-US" w:eastAsia="zh-CN"/>
        </w:rPr>
        <w:t>（3-2）</w:t>
      </w:r>
    </w:p>
    <w:p>
      <w:pPr>
        <w:pStyle w:val="4"/>
        <w:bidi w:val="0"/>
        <w:ind w:left="720" w:leftChars="0" w:hanging="720" w:firstLineChars="0"/>
        <w:rPr>
          <w:rFonts w:hint="default"/>
          <w:lang w:val="en-US" w:eastAsia="zh-CN"/>
        </w:rPr>
      </w:pPr>
      <w:r>
        <w:rPr>
          <w:rFonts w:hint="default"/>
          <w:lang w:val="en-US" w:eastAsia="zh-CN"/>
        </w:rPr>
        <w:t>热分解动力学模型</w:t>
      </w:r>
    </w:p>
    <w:p>
      <w:pPr>
        <w:ind w:firstLine="480" w:firstLineChars="200"/>
        <w:rPr>
          <w:rFonts w:hint="eastAsia"/>
          <w:lang w:val="en-US" w:eastAsia="zh-CN"/>
        </w:rPr>
      </w:pPr>
      <w:r>
        <w:rPr>
          <w:rFonts w:hint="default"/>
          <w:lang w:val="en-US" w:eastAsia="zh-CN"/>
        </w:rPr>
        <w:t>描述酚醛树脂气凝胶热分解过程的多孔介质模型是基于非平衡态的化学反应和Arrhenius方程。在体积平均化的假设下，热解度实际上是一个密度系数</w:t>
      </w:r>
      <w:r>
        <w:rPr>
          <w:rFonts w:hint="eastAsia"/>
          <w:lang w:val="en-US" w:eastAsia="zh-CN"/>
        </w:rPr>
        <w:t>，将其作为广义密度代入经典阿伦尼乌斯方程，得到广义阿伦尼乌斯方程：</w:t>
      </w:r>
    </w:p>
    <w:p>
      <w:pPr>
        <w:pStyle w:val="23"/>
        <w:bidi w:val="0"/>
        <w:rPr>
          <w:rFonts w:hint="default"/>
          <w:lang w:val="en-US" w:eastAsia="zh-CN"/>
        </w:rPr>
      </w:pPr>
      <w:r>
        <w:rPr>
          <w:rFonts w:hint="eastAsia"/>
          <w:position w:val="-12"/>
          <w:lang w:val="en-US" w:eastAsia="zh-CN"/>
        </w:rPr>
        <w:object>
          <v:shape id="_x0000_i1027" o:spt="75" type="#_x0000_t75" style="height:20pt;width:247.95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eastAsia"/>
          <w:lang w:val="en-US" w:eastAsia="zh-CN"/>
        </w:rPr>
        <w:t>（3-3）</w:t>
      </w:r>
    </w:p>
    <w:p>
      <w:pPr>
        <w:ind w:firstLine="480" w:firstLineChars="200"/>
        <w:rPr>
          <w:rFonts w:hint="eastAsia"/>
          <w:lang w:val="en-US" w:eastAsia="zh-CN"/>
        </w:rPr>
      </w:pPr>
      <w:r>
        <w:rPr>
          <w:rFonts w:hint="eastAsia"/>
          <w:lang w:val="en-US" w:eastAsia="zh-CN"/>
        </w:rPr>
        <w:t>基于互相重叠的三阶段热解反应理论，得到多重广义阿伦尼乌斯方程：</w:t>
      </w:r>
    </w:p>
    <w:p>
      <w:pPr>
        <w:pStyle w:val="23"/>
        <w:bidi w:val="0"/>
        <w:rPr>
          <w:rFonts w:hint="eastAsia"/>
          <w:lang w:val="en-US" w:eastAsia="zh-CN"/>
        </w:rPr>
      </w:pPr>
      <w:r>
        <w:rPr>
          <w:rFonts w:hint="eastAsia"/>
          <w:position w:val="-28"/>
          <w:lang w:val="en-US" w:eastAsia="zh-CN"/>
        </w:rPr>
        <w:object>
          <v:shape id="_x0000_i1028" o:spt="75" type="#_x0000_t75" style="height:34pt;width:324pt;" o:ole="t" filled="f" o:preferrelative="t" stroked="f" coordsize="21600,21600">
            <v:path/>
            <v:fill on="f" focussize="0,0"/>
            <v:stroke on="f"/>
            <v:imagedata r:id="rId13" o:title=""/>
            <o:lock v:ext="edit" aspectratio="t"/>
            <w10:wrap type="none"/>
            <w10:anchorlock/>
          </v:shape>
          <o:OLEObject Type="Embed" ProgID="Equation.KSEE3" ShapeID="_x0000_i1028" DrawAspect="Content" ObjectID="_1468075728" r:id="rId12">
            <o:LockedField>false</o:LockedField>
          </o:OLEObject>
        </w:object>
      </w:r>
      <w:r>
        <w:rPr>
          <w:rFonts w:hint="eastAsia"/>
          <w:lang w:val="en-US" w:eastAsia="zh-CN"/>
        </w:rPr>
        <w:t>（3-4）</w:t>
      </w:r>
    </w:p>
    <w:p>
      <w:pPr>
        <w:pStyle w:val="2"/>
        <w:bidi w:val="0"/>
        <w:ind w:left="432" w:leftChars="0" w:hanging="432" w:firstLineChars="0"/>
        <w:rPr>
          <w:rFonts w:hint="eastAsia"/>
          <w:lang w:val="en-US" w:eastAsia="zh-CN"/>
        </w:rPr>
      </w:pPr>
      <w:r>
        <w:rPr>
          <w:rFonts w:hint="eastAsia"/>
          <w:lang w:val="en-US" w:eastAsia="zh-CN"/>
        </w:rPr>
        <w:t>烧蚀和热响应的数值仿真</w:t>
      </w:r>
    </w:p>
    <w:p>
      <w:pPr>
        <w:pStyle w:val="3"/>
        <w:bidi w:val="0"/>
        <w:ind w:left="575" w:leftChars="0" w:hanging="575" w:firstLineChars="0"/>
        <w:rPr>
          <w:rFonts w:hint="eastAsia"/>
          <w:lang w:val="en-US" w:eastAsia="zh-CN"/>
        </w:rPr>
      </w:pPr>
      <w:r>
        <w:rPr>
          <w:rFonts w:hint="eastAsia"/>
          <w:lang w:val="en-US" w:eastAsia="zh-CN"/>
        </w:rPr>
        <w:t>CBC-PA复合材料的算例分析</w:t>
      </w:r>
    </w:p>
    <w:p>
      <w:pPr>
        <w:bidi w:val="0"/>
        <w:ind w:firstLine="480" w:firstLineChars="200"/>
        <w:rPr>
          <w:rFonts w:hint="eastAsia"/>
          <w:lang w:val="en-US" w:eastAsia="zh-CN"/>
        </w:rPr>
      </w:pPr>
      <w:r>
        <w:rPr>
          <w:rFonts w:hint="eastAsia"/>
          <w:lang w:val="en-US" w:eastAsia="zh-CN"/>
        </w:rPr>
        <w:t>数值仿真的模型尺寸和输入条件与电弧风洞驻点烧蚀实验的试样尺寸和工况条件完全一致。研究对象为CBC0.192-PAx（x=0.5、1.0、2.0），试样球头半径和圆柱直径均为40.00mm，长度为50.00mm。冷壁热流为3.7MW/m</w:t>
      </w:r>
      <w:r>
        <w:rPr>
          <w:rFonts w:hint="eastAsia"/>
          <w:vertAlign w:val="superscript"/>
          <w:lang w:val="en-US" w:eastAsia="zh-CN"/>
        </w:rPr>
        <w:t>2</w:t>
      </w:r>
      <w:r>
        <w:rPr>
          <w:rFonts w:hint="eastAsia"/>
          <w:lang w:val="en-US" w:eastAsia="zh-CN"/>
        </w:rPr>
        <w:t>，气流焓值为35MJ/kg，驻点压力为2.5kPa，烧蚀时间为60s，冷却至600s。</w:t>
      </w:r>
    </w:p>
    <w:p>
      <w:pPr>
        <w:bidi w:val="0"/>
        <w:ind w:firstLine="480" w:firstLineChars="200"/>
        <w:rPr>
          <w:rFonts w:hint="eastAsia"/>
          <w:lang w:val="en-US" w:eastAsia="zh-CN"/>
        </w:rPr>
      </w:pPr>
      <w:r>
        <w:rPr>
          <w:rFonts w:hint="eastAsia"/>
          <w:lang w:val="en-US" w:eastAsia="zh-CN"/>
        </w:rPr>
        <w:t>如图4-1和图4-2所示，分别为中轴线上的温度随时间的演化和沿轴向坐标的分布。原始壁面在大热流作用下迅速升温到2400</w:t>
      </w:r>
      <w:r>
        <w:rPr>
          <w:rFonts w:hint="default"/>
          <w:lang w:val="en-US" w:eastAsia="zh-CN"/>
        </w:rPr>
        <w:t>℃</w:t>
      </w:r>
      <w:r>
        <w:rPr>
          <w:rFonts w:hint="eastAsia"/>
          <w:lang w:val="en-US" w:eastAsia="zh-CN"/>
        </w:rPr>
        <w:t>，且几乎是立刻就被物质消耗掉了。中轴线上距离原始表面5mm深处在加热阶段结束时刻达到温度峰值约1800</w:t>
      </w:r>
      <w:r>
        <w:rPr>
          <w:rFonts w:hint="default"/>
          <w:lang w:val="en-US" w:eastAsia="zh-CN"/>
        </w:rPr>
        <w:t>℃</w:t>
      </w:r>
      <w:r>
        <w:rPr>
          <w:rFonts w:hint="eastAsia"/>
          <w:lang w:val="en-US" w:eastAsia="zh-CN"/>
        </w:rPr>
        <w:t>。距离原始表面10mm深处在加热阶段结束后约10s时达到温度峰值约700</w:t>
      </w:r>
      <w:r>
        <w:rPr>
          <w:rFonts w:hint="default"/>
          <w:lang w:val="en-US" w:eastAsia="zh-CN"/>
        </w:rPr>
        <w:t>℃</w:t>
      </w:r>
      <w:r>
        <w:rPr>
          <w:rFonts w:hint="eastAsia"/>
          <w:lang w:val="en-US" w:eastAsia="zh-CN"/>
        </w:rPr>
        <w:t>，这已经小于酚醛气凝胶热解终点温度（1000</w:t>
      </w:r>
      <w:r>
        <w:rPr>
          <w:rFonts w:hint="default"/>
          <w:lang w:val="en-US" w:eastAsia="zh-CN"/>
        </w:rPr>
        <w:t>℃</w:t>
      </w:r>
      <w:r>
        <w:rPr>
          <w:rFonts w:hint="eastAsia"/>
          <w:lang w:val="en-US" w:eastAsia="zh-CN"/>
        </w:rPr>
        <w:t>），可见材料在3.7 MW/m</w:t>
      </w:r>
      <w:r>
        <w:rPr>
          <w:rFonts w:hint="eastAsia"/>
          <w:vertAlign w:val="superscript"/>
          <w:lang w:val="en-US" w:eastAsia="zh-CN"/>
        </w:rPr>
        <w:t>2</w:t>
      </w:r>
      <w:r>
        <w:rPr>
          <w:rFonts w:hint="eastAsia"/>
          <w:lang w:val="en-US" w:eastAsia="zh-CN"/>
        </w:rPr>
        <w:t>的60s烧蚀条件下表现出了良好的热屏蔽性能。深度（与原始表面距离）越大处的温度响应延迟性越大，距原始表面20mm处的最高温度已控制在200</w:t>
      </w:r>
      <w:r>
        <w:rPr>
          <w:rFonts w:hint="default"/>
          <w:lang w:val="en-US" w:eastAsia="zh-CN"/>
        </w:rPr>
        <w:t>℃</w:t>
      </w:r>
      <w:r>
        <w:rPr>
          <w:rFonts w:hint="eastAsia"/>
          <w:lang w:val="en-US" w:eastAsia="zh-CN"/>
        </w:rPr>
        <w:t>以下，且出现在150s（冷却90s）之后，可见材料又表现出了极佳的热绝缘性能。数值仿真中材料所体现出的优异防/隔热性能与烧蚀实验所得结论是相一致的。</w:t>
      </w:r>
    </w:p>
    <w:p>
      <w:pPr>
        <w:bidi w:val="0"/>
        <w:ind w:firstLine="480" w:firstLineChars="200"/>
        <w:rPr>
          <w:rFonts w:hint="eastAsia"/>
          <w:lang w:val="en-US" w:eastAsia="zh-CN"/>
        </w:rPr>
      </w:pPr>
      <w:r>
        <w:rPr>
          <w:rFonts w:hint="eastAsia"/>
          <w:lang w:val="en-US" w:eastAsia="zh-CN"/>
        </w:rPr>
        <w:t>如图4-3所示，温度场云图形象化地演示了热能量传递过程，直观体现了烧蚀和热响应规律。虽然加热条件极为苛刻，但热能始终集中在加热壁面及其邻近极薄区域，温度梯度很大，因为低导热系数阻隔了能量向内部的传递。</w:t>
      </w:r>
    </w:p>
    <w:p>
      <w:pPr>
        <w:pStyle w:val="20"/>
        <w:bidi w:val="0"/>
        <w:rPr>
          <w:rFonts w:hint="eastAsia"/>
          <w:lang w:val="en-US" w:eastAsia="zh-CN"/>
        </w:rPr>
      </w:pPr>
      <w:r>
        <w:rPr>
          <w:rFonts w:hint="eastAsia"/>
          <w:lang w:val="en-US" w:eastAsia="zh-CN"/>
        </w:rPr>
        <w:drawing>
          <wp:inline distT="0" distB="0" distL="114300" distR="114300">
            <wp:extent cx="3481705" cy="2392045"/>
            <wp:effectExtent l="0" t="0" r="8255" b="635"/>
            <wp:docPr id="3" name="图片 3" descr="中轴线上的温度随时间的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轴线上的温度随时间的演化"/>
                    <pic:cNvPicPr>
                      <a:picLocks noChangeAspect="1"/>
                    </pic:cNvPicPr>
                  </pic:nvPicPr>
                  <pic:blipFill>
                    <a:blip r:embed="rId14"/>
                    <a:srcRect/>
                    <a:stretch>
                      <a:fillRect/>
                    </a:stretch>
                  </pic:blipFill>
                  <pic:spPr>
                    <a:xfrm>
                      <a:off x="0" y="0"/>
                      <a:ext cx="3481705" cy="2392045"/>
                    </a:xfrm>
                    <a:prstGeom prst="rect">
                      <a:avLst/>
                    </a:prstGeom>
                  </pic:spPr>
                </pic:pic>
              </a:graphicData>
            </a:graphic>
          </wp:inline>
        </w:drawing>
      </w:r>
    </w:p>
    <w:p>
      <w:pPr>
        <w:pStyle w:val="11"/>
        <w:bidi w:val="0"/>
        <w:rPr>
          <w:rFonts w:hint="eastAsia"/>
          <w:lang w:val="en-US" w:eastAsia="zh-CN"/>
        </w:rPr>
      </w:pPr>
      <w:r>
        <w:rPr>
          <w:rFonts w:hint="eastAsia"/>
          <w:lang w:val="en-US" w:eastAsia="zh-CN"/>
        </w:rPr>
        <w:t xml:space="preserve">图4-1 </w:t>
      </w:r>
      <w:r>
        <w:rPr>
          <w:rFonts w:hint="eastAsia"/>
          <w:lang w:eastAsia="zh-CN"/>
        </w:rPr>
        <w:t>中轴线上的温度随时间的演化</w:t>
      </w:r>
    </w:p>
    <w:p>
      <w:pPr>
        <w:pStyle w:val="20"/>
        <w:bidi w:val="0"/>
        <w:rPr>
          <w:rFonts w:hint="eastAsia"/>
          <w:lang w:val="en-US" w:eastAsia="zh-CN"/>
        </w:rPr>
      </w:pPr>
      <w:r>
        <w:rPr>
          <w:rFonts w:hint="eastAsia"/>
          <w:lang w:val="en-US" w:eastAsia="zh-CN"/>
        </w:rPr>
        <w:drawing>
          <wp:inline distT="0" distB="0" distL="114300" distR="114300">
            <wp:extent cx="3399790" cy="2279015"/>
            <wp:effectExtent l="0" t="0" r="13970" b="6985"/>
            <wp:docPr id="5" name="图片 5" descr="中轴线上的温度沿深度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中轴线上的温度沿深度的分布"/>
                    <pic:cNvPicPr>
                      <a:picLocks noChangeAspect="1"/>
                    </pic:cNvPicPr>
                  </pic:nvPicPr>
                  <pic:blipFill>
                    <a:blip r:embed="rId15"/>
                    <a:srcRect/>
                    <a:stretch>
                      <a:fillRect/>
                    </a:stretch>
                  </pic:blipFill>
                  <pic:spPr>
                    <a:xfrm>
                      <a:off x="0" y="0"/>
                      <a:ext cx="3399790" cy="2279015"/>
                    </a:xfrm>
                    <a:prstGeom prst="rect">
                      <a:avLst/>
                    </a:prstGeom>
                  </pic:spPr>
                </pic:pic>
              </a:graphicData>
            </a:graphic>
          </wp:inline>
        </w:drawing>
      </w:r>
    </w:p>
    <w:p>
      <w:pPr>
        <w:pStyle w:val="11"/>
        <w:bidi w:val="0"/>
        <w:rPr>
          <w:rFonts w:hint="eastAsia"/>
          <w:lang w:val="en-US" w:eastAsia="zh-CN"/>
        </w:rPr>
      </w:pPr>
      <w:r>
        <w:rPr>
          <w:rFonts w:hint="eastAsia"/>
          <w:lang w:val="en-US" w:eastAsia="zh-CN"/>
        </w:rPr>
        <w:t xml:space="preserve">图4-2 </w:t>
      </w:r>
      <w:r>
        <w:rPr>
          <w:rFonts w:hint="eastAsia"/>
          <w:lang w:eastAsia="zh-CN"/>
        </w:rPr>
        <w:t>中轴线上的温度沿深度的分布</w:t>
      </w:r>
    </w:p>
    <w:p>
      <w:pPr>
        <w:pStyle w:val="20"/>
        <w:bidi w:val="0"/>
        <w:rPr>
          <w:rFonts w:hint="eastAsia"/>
          <w:lang w:val="en-US" w:eastAsia="zh-CN"/>
        </w:rPr>
      </w:pPr>
      <w:r>
        <w:rPr>
          <w:rFonts w:hint="eastAsia"/>
          <w:lang w:val="en-US" w:eastAsia="zh-CN"/>
        </w:rPr>
        <w:drawing>
          <wp:inline distT="0" distB="0" distL="114300" distR="114300">
            <wp:extent cx="4319905" cy="2406015"/>
            <wp:effectExtent l="0" t="0" r="8255" b="1905"/>
            <wp:docPr id="6" name="图片 6" descr="温度场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温度场云图"/>
                    <pic:cNvPicPr>
                      <a:picLocks noChangeAspect="1"/>
                    </pic:cNvPicPr>
                  </pic:nvPicPr>
                  <pic:blipFill>
                    <a:blip r:embed="rId16"/>
                    <a:stretch>
                      <a:fillRect/>
                    </a:stretch>
                  </pic:blipFill>
                  <pic:spPr>
                    <a:xfrm>
                      <a:off x="0" y="0"/>
                      <a:ext cx="4319905" cy="2406015"/>
                    </a:xfrm>
                    <a:prstGeom prst="rect">
                      <a:avLst/>
                    </a:prstGeom>
                  </pic:spPr>
                </pic:pic>
              </a:graphicData>
            </a:graphic>
          </wp:inline>
        </w:drawing>
      </w:r>
    </w:p>
    <w:p>
      <w:pPr>
        <w:pStyle w:val="11"/>
        <w:bidi w:val="0"/>
        <w:rPr>
          <w:rFonts w:hint="eastAsia"/>
          <w:lang w:val="en-US" w:eastAsia="zh-CN"/>
        </w:rPr>
      </w:pPr>
      <w:r>
        <w:rPr>
          <w:rFonts w:hint="eastAsia"/>
          <w:lang w:val="en-US" w:eastAsia="zh-CN"/>
        </w:rPr>
        <w:t>图4-3 温度场云图</w:t>
      </w:r>
    </w:p>
    <w:p>
      <w:pPr>
        <w:bidi w:val="0"/>
        <w:ind w:firstLine="480" w:firstLineChars="200"/>
        <w:rPr>
          <w:rFonts w:hint="eastAsia"/>
          <w:lang w:val="en-US" w:eastAsia="zh-CN"/>
        </w:rPr>
      </w:pPr>
      <w:r>
        <w:rPr>
          <w:rFonts w:hint="eastAsia"/>
          <w:lang w:val="en-US" w:eastAsia="zh-CN"/>
        </w:rPr>
        <w:t>侧壁热流虽然仅为驻点处的20%以下，但其影响范围较大。由于材料在垂直驻点来流的面内方向的能量传递和物质渗透能力都显著高于厚度方向，因此多维度计算对于碳化型烧蚀材料而言尤为重要。撤去热流后，完全碳化材料的发射系数很高，热辐射迅速耗散大量热量，材料外壁面迅速降温。存储在高温碳化层的热能量继续向内部深处传递，但高孔隙率材料的热传导能力十分有限，因此材料内部出现了图示的“热核”。热能量核心区域逐渐向背壁移动且影响范围缓慢扩大，但高能区域逐步收窄且能量水平迅速降低，热影响区域到达背壁之前其中心点温度已低于100°C。材料内部能量的快速耗散，除热容吸热和向边界热传导外，主要归功于树脂高分子热分解反应和高焓热解气体逸出。</w:t>
      </w:r>
    </w:p>
    <w:p>
      <w:pPr>
        <w:keepNext/>
        <w:keepLines/>
        <w:pageBreakBefore/>
        <w:widowControl w:val="0"/>
        <w:kinsoku/>
        <w:wordWrap/>
        <w:overflowPunct/>
        <w:topLinePunct w:val="0"/>
        <w:autoSpaceDE/>
        <w:autoSpaceDN/>
        <w:bidi w:val="0"/>
        <w:adjustRightInd/>
        <w:snapToGrid/>
        <w:spacing w:before="426" w:beforeLines="100" w:after="426" w:afterLines="100"/>
        <w:jc w:val="center"/>
        <w:textAlignment w:val="auto"/>
        <w:outlineLvl w:val="0"/>
        <w:rPr>
          <w:rFonts w:hint="eastAsia" w:eastAsia="黑体"/>
          <w:sz w:val="36"/>
          <w:szCs w:val="36"/>
          <w:lang w:val="en-US" w:eastAsia="zh-CN"/>
        </w:rPr>
      </w:pPr>
      <w:r>
        <w:rPr>
          <w:rFonts w:hint="eastAsia" w:eastAsia="黑体"/>
          <w:sz w:val="36"/>
          <w:szCs w:val="36"/>
          <w:lang w:val="en-US" w:eastAsia="zh-CN"/>
        </w:rPr>
        <w:t>参考文献</w:t>
      </w:r>
    </w:p>
    <w:p>
      <w:pPr>
        <w:bidi w:val="0"/>
        <w:rPr>
          <w:rFonts w:hint="eastAsia"/>
          <w:lang w:val="en-US" w:eastAsia="zh-CN"/>
        </w:rPr>
      </w:pPr>
      <w:r>
        <w:rPr>
          <w:rFonts w:hint="eastAsia"/>
          <w:lang w:val="en-US" w:eastAsia="zh-CN"/>
        </w:rPr>
        <w:t>[1]陆亚东，赵会光，李传江，等. 深空探测返回器再入技术初步研究[C]//中国宇航学会深空探测技术专业委员会学术年会. 2008：26-30.</w:t>
      </w:r>
    </w:p>
    <w:p>
      <w:pPr>
        <w:bidi w:val="0"/>
        <w:rPr>
          <w:rFonts w:hint="eastAsia"/>
          <w:lang w:val="en-US" w:eastAsia="zh-CN"/>
        </w:rPr>
      </w:pPr>
      <w:r>
        <w:rPr>
          <w:rFonts w:hint="eastAsia"/>
          <w:lang w:val="en-US" w:eastAsia="zh-CN"/>
        </w:rPr>
        <w:t>[2]王臣，梁军，吴世平，等. 高温烧蚀条件下C/C材料热力耦合场模拟[J]. 复合材料学报，2006，23(5)：143-148.</w:t>
      </w:r>
    </w:p>
    <w:p>
      <w:pPr>
        <w:bidi w:val="0"/>
        <w:rPr>
          <w:rFonts w:hint="eastAsia"/>
          <w:lang w:val="en-US" w:eastAsia="zh-CN"/>
        </w:rPr>
      </w:pPr>
      <w:r>
        <w:rPr>
          <w:rFonts w:hint="eastAsia"/>
          <w:lang w:val="en-US" w:eastAsia="zh-CN"/>
        </w:rPr>
        <w:t>[3]王春明，梁馨，孙宝岗，等. 低密度烧蚀材料在神舟飞船上的应用[J]. 宇航材料工艺，2011，41(2)：5-8.</w:t>
      </w:r>
    </w:p>
    <w:p>
      <w:pPr>
        <w:bidi w:val="0"/>
      </w:pPr>
      <w:r>
        <w:rPr>
          <w:rFonts w:hint="eastAsia"/>
          <w:lang w:val="en-US" w:eastAsia="zh-CN"/>
        </w:rPr>
        <w:t>[4]叶培建，杨孟飞，彭兢，等. 中国深空探测进入/再入返回技术的发展现状和展望[J]. 中国科学:技术科学，2015(3)：229-238.</w:t>
      </w:r>
    </w:p>
    <w:p>
      <w:pPr>
        <w:bidi w:val="0"/>
      </w:pPr>
      <w:r>
        <w:rPr>
          <w:rFonts w:hint="eastAsia"/>
          <w:lang w:val="en-US" w:eastAsia="zh-CN"/>
        </w:rPr>
        <w:t>[5]吴晓宏，陆小龙，李涛，等. 轻质烧蚀材料研究综述[J]. 航天器环境工程，2011，28(4)：313-317.</w:t>
      </w:r>
    </w:p>
    <w:sectPr>
      <w:headerReference r:id="rId3" w:type="default"/>
      <w:pgSz w:w="11906" w:h="16838"/>
      <w:pgMar w:top="1440" w:right="1803" w:bottom="1440" w:left="1803" w:header="850" w:footer="992" w:gutter="0"/>
      <w:pgNumType w:fmt="decimal"/>
      <w:cols w:space="0" w:num="1"/>
      <w:rtlGutter w:val="0"/>
      <w:docGrid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auto" w:sz="4" w:space="1"/>
      </w:pBd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58C1B5"/>
    <w:multiLevelType w:val="multilevel"/>
    <w:tmpl w:val="5A58C1B5"/>
    <w:lvl w:ilvl="0" w:tentative="0">
      <w:start w:val="1"/>
      <w:numFmt w:val="chineseCounting"/>
      <w:pStyle w:val="2"/>
      <w:lvlText w:val="第%1章"/>
      <w:lvlJc w:val="left"/>
      <w:pPr>
        <w:tabs>
          <w:tab w:val="left" w:pos="420"/>
        </w:tabs>
        <w:ind w:left="432" w:hanging="432"/>
      </w:pPr>
      <w:rPr>
        <w:rFonts w:hint="eastAsia" w:ascii="宋体" w:hAnsi="宋体" w:eastAsia="宋体" w:cs="宋体"/>
        <w:sz w:val="36"/>
        <w:szCs w:val="36"/>
      </w:rPr>
    </w:lvl>
    <w:lvl w:ilvl="1" w:tentative="0">
      <w:start w:val="1"/>
      <w:numFmt w:val="decimal"/>
      <w:lvlRestart w:val="0"/>
      <w:pStyle w:val="3"/>
      <w:isLgl/>
      <w:lvlText w:val="%1.%2."/>
      <w:lvlJc w:val="left"/>
      <w:pPr>
        <w:tabs>
          <w:tab w:val="left" w:pos="420"/>
        </w:tabs>
        <w:ind w:left="575" w:hanging="575"/>
      </w:pPr>
      <w:rPr>
        <w:rFonts w:hint="eastAsia" w:ascii="宋体" w:hAnsi="宋体" w:eastAsia="宋体" w:cs="宋体"/>
        <w:sz w:val="30"/>
        <w:szCs w:val="30"/>
      </w:rPr>
    </w:lvl>
    <w:lvl w:ilvl="2" w:tentative="0">
      <w:start w:val="1"/>
      <w:numFmt w:val="decimal"/>
      <w:lvlRestart w:val="0"/>
      <w:pStyle w:val="4"/>
      <w:isLgl/>
      <w:lvlText w:val="%1.%2.%3."/>
      <w:lvlJc w:val="left"/>
      <w:pPr>
        <w:ind w:left="720" w:hanging="720"/>
      </w:pPr>
      <w:rPr>
        <w:rFonts w:hint="eastAsia" w:ascii="宋体" w:hAnsi="宋体" w:eastAsia="宋体" w:cs="宋体"/>
        <w:sz w:val="28"/>
        <w:szCs w:val="28"/>
      </w:rPr>
    </w:lvl>
    <w:lvl w:ilvl="3" w:tentative="0">
      <w:start w:val="1"/>
      <w:numFmt w:val="decimal"/>
      <w:pStyle w:val="5"/>
      <w:isLgl/>
      <w:lvlText w:val="%1.%2.%3.%4."/>
      <w:lvlJc w:val="left"/>
      <w:pPr>
        <w:tabs>
          <w:tab w:val="left" w:pos="420"/>
        </w:tabs>
        <w:ind w:left="864" w:hanging="864"/>
      </w:pPr>
      <w:rPr>
        <w:rFonts w:hint="eastAsia" w:ascii="宋体" w:hAnsi="宋体" w:eastAsia="宋体" w:cs="宋体"/>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1"/>
  <w:bordersDoNotSurroundFooter w:val="1"/>
  <w:documentProtection w:enforcement="0"/>
  <w:defaultTabStop w:val="420"/>
  <w:drawingGridHorizontalSpacing w:val="210"/>
  <w:drawingGridVerticalSpacing w:val="159"/>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2834EA"/>
    <w:rsid w:val="005E22DA"/>
    <w:rsid w:val="007C4250"/>
    <w:rsid w:val="00BC78AE"/>
    <w:rsid w:val="010A3B78"/>
    <w:rsid w:val="01204E0F"/>
    <w:rsid w:val="01381ABD"/>
    <w:rsid w:val="02426304"/>
    <w:rsid w:val="024D2EDF"/>
    <w:rsid w:val="029F6BE1"/>
    <w:rsid w:val="02A15D7C"/>
    <w:rsid w:val="02FD62F1"/>
    <w:rsid w:val="0472524E"/>
    <w:rsid w:val="04807524"/>
    <w:rsid w:val="04F5008C"/>
    <w:rsid w:val="05447026"/>
    <w:rsid w:val="05E05BDC"/>
    <w:rsid w:val="05E87FE6"/>
    <w:rsid w:val="06227668"/>
    <w:rsid w:val="06816F94"/>
    <w:rsid w:val="06AB34CA"/>
    <w:rsid w:val="06D35574"/>
    <w:rsid w:val="070528FE"/>
    <w:rsid w:val="072D6764"/>
    <w:rsid w:val="07DF27DF"/>
    <w:rsid w:val="08C53016"/>
    <w:rsid w:val="097F7022"/>
    <w:rsid w:val="0A0E570D"/>
    <w:rsid w:val="0AFD5CE5"/>
    <w:rsid w:val="0BA54912"/>
    <w:rsid w:val="0BB45945"/>
    <w:rsid w:val="0C1F1255"/>
    <w:rsid w:val="0CB979C6"/>
    <w:rsid w:val="0CD97069"/>
    <w:rsid w:val="0CDF17D7"/>
    <w:rsid w:val="0D110342"/>
    <w:rsid w:val="0D1B576B"/>
    <w:rsid w:val="0D327202"/>
    <w:rsid w:val="0D541A25"/>
    <w:rsid w:val="0D5C2348"/>
    <w:rsid w:val="0DAC6EF0"/>
    <w:rsid w:val="0DF648C3"/>
    <w:rsid w:val="0E745B22"/>
    <w:rsid w:val="0EC6029A"/>
    <w:rsid w:val="0EDE7190"/>
    <w:rsid w:val="0EE60BCE"/>
    <w:rsid w:val="0F5A67BA"/>
    <w:rsid w:val="106F3F3C"/>
    <w:rsid w:val="10894D57"/>
    <w:rsid w:val="11641D32"/>
    <w:rsid w:val="116824E2"/>
    <w:rsid w:val="11C92F2E"/>
    <w:rsid w:val="11CE3638"/>
    <w:rsid w:val="126B0DD2"/>
    <w:rsid w:val="12E517C1"/>
    <w:rsid w:val="13016FCA"/>
    <w:rsid w:val="13655781"/>
    <w:rsid w:val="13881BD6"/>
    <w:rsid w:val="13BC3357"/>
    <w:rsid w:val="13DD5447"/>
    <w:rsid w:val="13F936CE"/>
    <w:rsid w:val="141F12F5"/>
    <w:rsid w:val="14F5024F"/>
    <w:rsid w:val="150231FB"/>
    <w:rsid w:val="15473936"/>
    <w:rsid w:val="15561847"/>
    <w:rsid w:val="156A5110"/>
    <w:rsid w:val="156E2D01"/>
    <w:rsid w:val="15832C13"/>
    <w:rsid w:val="1594221D"/>
    <w:rsid w:val="15A34CE1"/>
    <w:rsid w:val="15A91B5C"/>
    <w:rsid w:val="15BC5B64"/>
    <w:rsid w:val="15DD4A2C"/>
    <w:rsid w:val="162F742A"/>
    <w:rsid w:val="16420C35"/>
    <w:rsid w:val="1691716A"/>
    <w:rsid w:val="16BD0C8D"/>
    <w:rsid w:val="174D4C3D"/>
    <w:rsid w:val="18A83425"/>
    <w:rsid w:val="18AE3182"/>
    <w:rsid w:val="193D7E12"/>
    <w:rsid w:val="19A4602B"/>
    <w:rsid w:val="19B26FC1"/>
    <w:rsid w:val="1A5A05FF"/>
    <w:rsid w:val="1A747569"/>
    <w:rsid w:val="1B073A89"/>
    <w:rsid w:val="1B2F5C9E"/>
    <w:rsid w:val="1B40146A"/>
    <w:rsid w:val="1B720BBA"/>
    <w:rsid w:val="1B9F0D37"/>
    <w:rsid w:val="1BFD2084"/>
    <w:rsid w:val="1C246D4E"/>
    <w:rsid w:val="1C3663E9"/>
    <w:rsid w:val="1C465225"/>
    <w:rsid w:val="1C701E18"/>
    <w:rsid w:val="1D1618DC"/>
    <w:rsid w:val="1D341FC4"/>
    <w:rsid w:val="1D6D47A0"/>
    <w:rsid w:val="1D8B0FA6"/>
    <w:rsid w:val="1DA51949"/>
    <w:rsid w:val="1DD00344"/>
    <w:rsid w:val="1DEC4A75"/>
    <w:rsid w:val="1E127EF5"/>
    <w:rsid w:val="1EC9329D"/>
    <w:rsid w:val="1FD3793B"/>
    <w:rsid w:val="201B7DC8"/>
    <w:rsid w:val="2029195D"/>
    <w:rsid w:val="203433FF"/>
    <w:rsid w:val="20574648"/>
    <w:rsid w:val="207A04E7"/>
    <w:rsid w:val="20812625"/>
    <w:rsid w:val="21B66618"/>
    <w:rsid w:val="21E773F6"/>
    <w:rsid w:val="21F30C0C"/>
    <w:rsid w:val="220A2CE4"/>
    <w:rsid w:val="2397339B"/>
    <w:rsid w:val="23C4124A"/>
    <w:rsid w:val="248200A7"/>
    <w:rsid w:val="24BE14B6"/>
    <w:rsid w:val="24F72180"/>
    <w:rsid w:val="258D783C"/>
    <w:rsid w:val="26045CAF"/>
    <w:rsid w:val="2618364F"/>
    <w:rsid w:val="2622253C"/>
    <w:rsid w:val="26494E5F"/>
    <w:rsid w:val="26546481"/>
    <w:rsid w:val="26772257"/>
    <w:rsid w:val="26BA17C5"/>
    <w:rsid w:val="26FC524F"/>
    <w:rsid w:val="287A3FA5"/>
    <w:rsid w:val="28B50CA1"/>
    <w:rsid w:val="28DB05BE"/>
    <w:rsid w:val="29627523"/>
    <w:rsid w:val="29683EF9"/>
    <w:rsid w:val="29B86A20"/>
    <w:rsid w:val="29D676C3"/>
    <w:rsid w:val="2A541C19"/>
    <w:rsid w:val="2AAA645F"/>
    <w:rsid w:val="2B1C4AD2"/>
    <w:rsid w:val="2BB529A1"/>
    <w:rsid w:val="2BD851E2"/>
    <w:rsid w:val="2CA44FDE"/>
    <w:rsid w:val="2D6C4FDF"/>
    <w:rsid w:val="2E260562"/>
    <w:rsid w:val="2E410492"/>
    <w:rsid w:val="2E713371"/>
    <w:rsid w:val="2EAE02D7"/>
    <w:rsid w:val="2ED071FE"/>
    <w:rsid w:val="2ED845E6"/>
    <w:rsid w:val="2F0A5E95"/>
    <w:rsid w:val="2F450F41"/>
    <w:rsid w:val="2F7F534A"/>
    <w:rsid w:val="2FAE0E6E"/>
    <w:rsid w:val="2FE50FDD"/>
    <w:rsid w:val="300D630F"/>
    <w:rsid w:val="30500FD9"/>
    <w:rsid w:val="30AF2D5B"/>
    <w:rsid w:val="31155C71"/>
    <w:rsid w:val="315124DE"/>
    <w:rsid w:val="31986347"/>
    <w:rsid w:val="319C51CB"/>
    <w:rsid w:val="322E34E0"/>
    <w:rsid w:val="323B7CFD"/>
    <w:rsid w:val="32961CEF"/>
    <w:rsid w:val="32E127CA"/>
    <w:rsid w:val="32F03C7F"/>
    <w:rsid w:val="32F668FC"/>
    <w:rsid w:val="33404160"/>
    <w:rsid w:val="334D34A5"/>
    <w:rsid w:val="33791520"/>
    <w:rsid w:val="34DC3848"/>
    <w:rsid w:val="352915DD"/>
    <w:rsid w:val="356C5D72"/>
    <w:rsid w:val="35837A8E"/>
    <w:rsid w:val="36745BCC"/>
    <w:rsid w:val="36802575"/>
    <w:rsid w:val="36D435A1"/>
    <w:rsid w:val="36ED32A6"/>
    <w:rsid w:val="370E1B78"/>
    <w:rsid w:val="37525CAC"/>
    <w:rsid w:val="378C4734"/>
    <w:rsid w:val="37B44901"/>
    <w:rsid w:val="37C31305"/>
    <w:rsid w:val="37FB4FA3"/>
    <w:rsid w:val="383A2307"/>
    <w:rsid w:val="38651796"/>
    <w:rsid w:val="38AB4F1A"/>
    <w:rsid w:val="3902661C"/>
    <w:rsid w:val="391C5077"/>
    <w:rsid w:val="3961048C"/>
    <w:rsid w:val="398936C5"/>
    <w:rsid w:val="39EF126D"/>
    <w:rsid w:val="3A1A36D7"/>
    <w:rsid w:val="3A2834EA"/>
    <w:rsid w:val="3A8F2D7D"/>
    <w:rsid w:val="3AA412BD"/>
    <w:rsid w:val="3AE652B4"/>
    <w:rsid w:val="3B160B97"/>
    <w:rsid w:val="3B507798"/>
    <w:rsid w:val="3B9769ED"/>
    <w:rsid w:val="3BB25263"/>
    <w:rsid w:val="3C066D5D"/>
    <w:rsid w:val="3C0F543D"/>
    <w:rsid w:val="3C157303"/>
    <w:rsid w:val="3CB70BA2"/>
    <w:rsid w:val="3D5E4F8F"/>
    <w:rsid w:val="3D680FED"/>
    <w:rsid w:val="3E214235"/>
    <w:rsid w:val="3FCD468D"/>
    <w:rsid w:val="3FF112F6"/>
    <w:rsid w:val="4008190C"/>
    <w:rsid w:val="4039233F"/>
    <w:rsid w:val="41095032"/>
    <w:rsid w:val="41343F77"/>
    <w:rsid w:val="41585275"/>
    <w:rsid w:val="415F2402"/>
    <w:rsid w:val="41A7066A"/>
    <w:rsid w:val="41A76910"/>
    <w:rsid w:val="41E176FD"/>
    <w:rsid w:val="42370DD0"/>
    <w:rsid w:val="423F0DB2"/>
    <w:rsid w:val="434C381A"/>
    <w:rsid w:val="43534549"/>
    <w:rsid w:val="435E72B2"/>
    <w:rsid w:val="43907CEA"/>
    <w:rsid w:val="43925590"/>
    <w:rsid w:val="45046F5A"/>
    <w:rsid w:val="45576442"/>
    <w:rsid w:val="45EE5624"/>
    <w:rsid w:val="462C5861"/>
    <w:rsid w:val="466C436C"/>
    <w:rsid w:val="476A4237"/>
    <w:rsid w:val="477907C8"/>
    <w:rsid w:val="47C962A8"/>
    <w:rsid w:val="47CB19CF"/>
    <w:rsid w:val="48B40999"/>
    <w:rsid w:val="48EF2C08"/>
    <w:rsid w:val="49200DBC"/>
    <w:rsid w:val="49B65ACB"/>
    <w:rsid w:val="4A7E6D12"/>
    <w:rsid w:val="4AF37F26"/>
    <w:rsid w:val="4BC0323B"/>
    <w:rsid w:val="4C512AED"/>
    <w:rsid w:val="4C6955DB"/>
    <w:rsid w:val="4D0B12BF"/>
    <w:rsid w:val="4D3C706A"/>
    <w:rsid w:val="4D7B3857"/>
    <w:rsid w:val="4DB862C8"/>
    <w:rsid w:val="4E201CBD"/>
    <w:rsid w:val="4E3B70BE"/>
    <w:rsid w:val="4EC45D2A"/>
    <w:rsid w:val="4FBB0B00"/>
    <w:rsid w:val="5053709E"/>
    <w:rsid w:val="50A96F5C"/>
    <w:rsid w:val="5102207E"/>
    <w:rsid w:val="51975073"/>
    <w:rsid w:val="51D02103"/>
    <w:rsid w:val="527B412A"/>
    <w:rsid w:val="53401007"/>
    <w:rsid w:val="53C90710"/>
    <w:rsid w:val="540A652D"/>
    <w:rsid w:val="548E3992"/>
    <w:rsid w:val="54925EEC"/>
    <w:rsid w:val="55037FE5"/>
    <w:rsid w:val="552B4A74"/>
    <w:rsid w:val="55F721D3"/>
    <w:rsid w:val="56EC0D26"/>
    <w:rsid w:val="577F5B6F"/>
    <w:rsid w:val="57B746DA"/>
    <w:rsid w:val="57DD4D7A"/>
    <w:rsid w:val="588A42C8"/>
    <w:rsid w:val="588B2906"/>
    <w:rsid w:val="58DC498F"/>
    <w:rsid w:val="58EF1E7A"/>
    <w:rsid w:val="58FA70B4"/>
    <w:rsid w:val="59010BB6"/>
    <w:rsid w:val="595C087C"/>
    <w:rsid w:val="59795A6C"/>
    <w:rsid w:val="599D3643"/>
    <w:rsid w:val="59F0551E"/>
    <w:rsid w:val="5A863170"/>
    <w:rsid w:val="5A955F20"/>
    <w:rsid w:val="5B7C7BEA"/>
    <w:rsid w:val="5C02033C"/>
    <w:rsid w:val="5C580DBB"/>
    <w:rsid w:val="5CEC7088"/>
    <w:rsid w:val="5D1B5F50"/>
    <w:rsid w:val="5D415857"/>
    <w:rsid w:val="5D893EEE"/>
    <w:rsid w:val="5DCE0233"/>
    <w:rsid w:val="5E276B40"/>
    <w:rsid w:val="5ED42D16"/>
    <w:rsid w:val="5F753CBE"/>
    <w:rsid w:val="5F83138A"/>
    <w:rsid w:val="5FBF5588"/>
    <w:rsid w:val="602A6511"/>
    <w:rsid w:val="60393E69"/>
    <w:rsid w:val="60595541"/>
    <w:rsid w:val="60765A2B"/>
    <w:rsid w:val="60C85B90"/>
    <w:rsid w:val="610601AD"/>
    <w:rsid w:val="610D45C8"/>
    <w:rsid w:val="61634764"/>
    <w:rsid w:val="61A874B5"/>
    <w:rsid w:val="61D61A54"/>
    <w:rsid w:val="61F84A49"/>
    <w:rsid w:val="623768CF"/>
    <w:rsid w:val="62881844"/>
    <w:rsid w:val="630D61BF"/>
    <w:rsid w:val="633A1F9A"/>
    <w:rsid w:val="63C071A3"/>
    <w:rsid w:val="63C217D9"/>
    <w:rsid w:val="63CA62C5"/>
    <w:rsid w:val="63CC05B4"/>
    <w:rsid w:val="63DD07DD"/>
    <w:rsid w:val="63DE4546"/>
    <w:rsid w:val="640C3358"/>
    <w:rsid w:val="641046F5"/>
    <w:rsid w:val="64171BC4"/>
    <w:rsid w:val="645326B3"/>
    <w:rsid w:val="649B067F"/>
    <w:rsid w:val="64AE6254"/>
    <w:rsid w:val="64F70D74"/>
    <w:rsid w:val="65022C59"/>
    <w:rsid w:val="650F12F0"/>
    <w:rsid w:val="65335FBC"/>
    <w:rsid w:val="6541141D"/>
    <w:rsid w:val="657C2654"/>
    <w:rsid w:val="65910CC8"/>
    <w:rsid w:val="6597794A"/>
    <w:rsid w:val="663539DB"/>
    <w:rsid w:val="668100E4"/>
    <w:rsid w:val="66B5792D"/>
    <w:rsid w:val="67196898"/>
    <w:rsid w:val="672E51EB"/>
    <w:rsid w:val="67A21203"/>
    <w:rsid w:val="683B72AC"/>
    <w:rsid w:val="687159D0"/>
    <w:rsid w:val="68EA6B54"/>
    <w:rsid w:val="690F1211"/>
    <w:rsid w:val="6927028A"/>
    <w:rsid w:val="693D35CB"/>
    <w:rsid w:val="69CD0BDE"/>
    <w:rsid w:val="69EB3678"/>
    <w:rsid w:val="69F06F85"/>
    <w:rsid w:val="6A2A0B3C"/>
    <w:rsid w:val="6A66576F"/>
    <w:rsid w:val="6A6744F1"/>
    <w:rsid w:val="6A686B3A"/>
    <w:rsid w:val="6B282605"/>
    <w:rsid w:val="6B2A778D"/>
    <w:rsid w:val="6B696F9B"/>
    <w:rsid w:val="6B8B61EC"/>
    <w:rsid w:val="6B93564C"/>
    <w:rsid w:val="6D0473C7"/>
    <w:rsid w:val="6D7018CC"/>
    <w:rsid w:val="6E426325"/>
    <w:rsid w:val="6E814C72"/>
    <w:rsid w:val="6F093DFF"/>
    <w:rsid w:val="6F1A5E4F"/>
    <w:rsid w:val="6F4E7916"/>
    <w:rsid w:val="6F781C36"/>
    <w:rsid w:val="6FE05D3C"/>
    <w:rsid w:val="708F68A0"/>
    <w:rsid w:val="70B65BE5"/>
    <w:rsid w:val="71C366F9"/>
    <w:rsid w:val="71C8644D"/>
    <w:rsid w:val="72B36B89"/>
    <w:rsid w:val="73203081"/>
    <w:rsid w:val="7346163C"/>
    <w:rsid w:val="74934B5D"/>
    <w:rsid w:val="74A91504"/>
    <w:rsid w:val="75246F70"/>
    <w:rsid w:val="754E7311"/>
    <w:rsid w:val="75C20018"/>
    <w:rsid w:val="75E506A8"/>
    <w:rsid w:val="762501FB"/>
    <w:rsid w:val="765E6DBA"/>
    <w:rsid w:val="7707159A"/>
    <w:rsid w:val="771724D4"/>
    <w:rsid w:val="77476912"/>
    <w:rsid w:val="776F116D"/>
    <w:rsid w:val="788F7E27"/>
    <w:rsid w:val="792A2F92"/>
    <w:rsid w:val="798E0AEC"/>
    <w:rsid w:val="7A3D7C25"/>
    <w:rsid w:val="7A4F6580"/>
    <w:rsid w:val="7A9031DD"/>
    <w:rsid w:val="7ADB62D4"/>
    <w:rsid w:val="7B405674"/>
    <w:rsid w:val="7BD01271"/>
    <w:rsid w:val="7C6D4D0D"/>
    <w:rsid w:val="7D590BBE"/>
    <w:rsid w:val="7D5C4048"/>
    <w:rsid w:val="7E48694E"/>
    <w:rsid w:val="7E604B25"/>
    <w:rsid w:val="7EBD7793"/>
    <w:rsid w:val="7F9204F5"/>
    <w:rsid w:val="7FA46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0" w:firstLineChars="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link w:val="22"/>
    <w:qFormat/>
    <w:uiPriority w:val="9"/>
    <w:pPr>
      <w:keepNext/>
      <w:keepLines/>
      <w:pageBreakBefore w:val="0"/>
      <w:numPr>
        <w:ilvl w:val="0"/>
        <w:numId w:val="1"/>
      </w:numPr>
      <w:tabs>
        <w:tab w:val="left" w:pos="0"/>
      </w:tabs>
      <w:spacing w:before="100" w:beforeLines="100" w:beforeAutospacing="0" w:after="100" w:afterLines="100" w:afterAutospacing="0" w:line="240" w:lineRule="auto"/>
      <w:ind w:left="432" w:hanging="432" w:firstLineChars="0"/>
      <w:jc w:val="center"/>
      <w:outlineLvl w:val="0"/>
    </w:pPr>
    <w:rPr>
      <w:kern w:val="44"/>
      <w:sz w:val="36"/>
      <w:szCs w:val="36"/>
    </w:rPr>
  </w:style>
  <w:style w:type="paragraph" w:styleId="3">
    <w:name w:val="heading 2"/>
    <w:basedOn w:val="1"/>
    <w:next w:val="1"/>
    <w:unhideWhenUsed/>
    <w:qFormat/>
    <w:uiPriority w:val="9"/>
    <w:pPr>
      <w:keepNext/>
      <w:keepLines/>
      <w:numPr>
        <w:ilvl w:val="1"/>
        <w:numId w:val="1"/>
      </w:numPr>
      <w:tabs>
        <w:tab w:val="left" w:pos="0"/>
      </w:tabs>
      <w:spacing w:before="50" w:beforeLines="50" w:beforeAutospacing="0" w:after="50" w:afterLines="50" w:afterAutospacing="0" w:line="240" w:lineRule="auto"/>
      <w:ind w:left="575" w:hanging="575" w:firstLineChars="0"/>
      <w:outlineLvl w:val="1"/>
    </w:pPr>
    <w:rPr>
      <w:rFonts w:asciiTheme="minorAscii" w:hAnsiTheme="minorAscii" w:eastAsiaTheme="minorEastAsia"/>
      <w:sz w:val="30"/>
    </w:rPr>
  </w:style>
  <w:style w:type="paragraph" w:styleId="4">
    <w:name w:val="heading 3"/>
    <w:basedOn w:val="1"/>
    <w:next w:val="1"/>
    <w:unhideWhenUsed/>
    <w:qFormat/>
    <w:uiPriority w:val="9"/>
    <w:pPr>
      <w:keepNext/>
      <w:keepLines/>
      <w:numPr>
        <w:ilvl w:val="2"/>
        <w:numId w:val="1"/>
      </w:numPr>
      <w:tabs>
        <w:tab w:val="left" w:pos="420"/>
      </w:tabs>
      <w:spacing w:before="50" w:beforeLines="50" w:beforeAutospacing="0" w:after="50" w:afterLines="50" w:afterAutospacing="0" w:line="240" w:lineRule="auto"/>
      <w:ind w:left="720" w:hanging="720" w:firstLineChars="0"/>
      <w:outlineLvl w:val="2"/>
    </w:pPr>
    <w:rPr>
      <w:rFonts w:asciiTheme="minorAscii" w:hAnsiTheme="minorAscii" w:eastAsiaTheme="minorEastAsia"/>
      <w:sz w:val="28"/>
      <w:szCs w:val="28"/>
    </w:rPr>
  </w:style>
  <w:style w:type="paragraph" w:styleId="5">
    <w:name w:val="heading 4"/>
    <w:basedOn w:val="1"/>
    <w:next w:val="1"/>
    <w:semiHidden/>
    <w:unhideWhenUsed/>
    <w:qFormat/>
    <w:uiPriority w:val="9"/>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line="360" w:lineRule="auto"/>
      <w:ind w:firstLine="0" w:firstLineChars="0"/>
      <w:jc w:val="center"/>
    </w:pPr>
    <w:rPr>
      <w:sz w:val="21"/>
      <w:szCs w:val="21"/>
    </w:rPr>
  </w:style>
  <w:style w:type="paragraph" w:styleId="12">
    <w:name w:val="toc 3"/>
    <w:basedOn w:val="1"/>
    <w:next w:val="1"/>
    <w:unhideWhenUsed/>
    <w:qFormat/>
    <w:uiPriority w:val="39"/>
    <w:pPr>
      <w:tabs>
        <w:tab w:val="right" w:leader="dot" w:pos="8505"/>
      </w:tabs>
      <w:ind w:left="840" w:leftChars="400"/>
    </w:pPr>
    <w:rPr>
      <w:rFonts w:asciiTheme="minorAscii" w:hAnsiTheme="minorAscii" w:eastAsiaTheme="minorEastAsia"/>
      <w:sz w:val="21"/>
    </w:rPr>
  </w:style>
  <w:style w:type="paragraph" w:styleId="13">
    <w:name w:val="footer"/>
    <w:basedOn w:val="1"/>
    <w:semiHidden/>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rFonts w:eastAsia="宋体"/>
      <w:sz w:val="18"/>
      <w:szCs w:val="18"/>
    </w:rPr>
  </w:style>
  <w:style w:type="paragraph" w:styleId="15">
    <w:name w:val="toc 1"/>
    <w:basedOn w:val="1"/>
    <w:next w:val="1"/>
    <w:unhideWhenUsed/>
    <w:qFormat/>
    <w:uiPriority w:val="39"/>
    <w:pPr>
      <w:tabs>
        <w:tab w:val="right" w:leader="dot" w:pos="8505"/>
      </w:tabs>
    </w:pPr>
    <w:rPr>
      <w:rFonts w:asciiTheme="minorAscii" w:hAnsiTheme="minorAscii" w:eastAsiaTheme="minorEastAsia"/>
      <w:sz w:val="21"/>
    </w:rPr>
  </w:style>
  <w:style w:type="paragraph" w:styleId="16">
    <w:name w:val="toc 2"/>
    <w:basedOn w:val="1"/>
    <w:next w:val="1"/>
    <w:semiHidden/>
    <w:unhideWhenUsed/>
    <w:qFormat/>
    <w:uiPriority w:val="39"/>
    <w:pPr>
      <w:tabs>
        <w:tab w:val="right" w:leader="dot" w:pos="8505"/>
      </w:tabs>
      <w:ind w:left="420" w:leftChars="200"/>
    </w:pPr>
    <w:rPr>
      <w:rFonts w:asciiTheme="minorAscii" w:hAnsiTheme="minorAscii" w:eastAsiaTheme="minorEastAsia"/>
      <w:sz w:val="21"/>
    </w:rPr>
  </w:style>
  <w:style w:type="table" w:styleId="18">
    <w:name w:val="Table Grid"/>
    <w:basedOn w:val="1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图片"/>
    <w:basedOn w:val="1"/>
    <w:qFormat/>
    <w:uiPriority w:val="0"/>
    <w:pPr>
      <w:spacing w:before="50" w:beforeLines="50"/>
      <w:jc w:val="center"/>
    </w:pPr>
  </w:style>
  <w:style w:type="paragraph" w:customStyle="1" w:styleId="21">
    <w:name w:val="表格"/>
    <w:basedOn w:val="1"/>
    <w:qFormat/>
    <w:uiPriority w:val="0"/>
    <w:pPr>
      <w:jc w:val="center"/>
    </w:pPr>
    <w:rPr>
      <w:rFonts w:ascii="Times New Roman" w:hAnsi="Times New Roman" w:eastAsia="宋体"/>
      <w:sz w:val="21"/>
      <w:szCs w:val="21"/>
    </w:rPr>
  </w:style>
  <w:style w:type="character" w:customStyle="1" w:styleId="22">
    <w:name w:val="标题 1 Char"/>
    <w:link w:val="2"/>
    <w:qFormat/>
    <w:uiPriority w:val="0"/>
    <w:rPr>
      <w:rFonts w:asciiTheme="minorAscii" w:hAnsiTheme="minorAscii" w:eastAsiaTheme="minorEastAsia"/>
      <w:kern w:val="44"/>
      <w:sz w:val="36"/>
      <w:szCs w:val="36"/>
    </w:rPr>
  </w:style>
  <w:style w:type="paragraph" w:customStyle="1" w:styleId="23">
    <w:name w:val="公式"/>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2.bin"/><Relationship Id="rId7" Type="http://schemas.openxmlformats.org/officeDocument/2006/relationships/image" Target="media/image2.wmf"/><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4.bin"/><Relationship Id="rId11" Type="http://schemas.openxmlformats.org/officeDocument/2006/relationships/image" Target="media/image4.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正文"/>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2862</Words>
  <Characters>3345</Characters>
  <Lines>1</Lines>
  <Paragraphs>1</Paragraphs>
  <TotalTime>8</TotalTime>
  <ScaleCrop>false</ScaleCrop>
  <LinksUpToDate>false</LinksUpToDate>
  <CharactersWithSpaces>4035</CharactersWithSpaces>
  <Application>WPS Office_11.1.0.10004_F1E327BC-269C-435d-A152-05C5408002CA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User</dc:creator>
  <cp:lastModifiedBy>NEEA</cp:lastModifiedBy>
  <dcterms:modified xsi:type="dcterms:W3CDTF">2021-01-06T06:15:26Z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2052-11.1.0.10004</vt:lpwstr>
  </property>
</Properties>
</file>