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eastAsia="zh-CN"/>
        </w:rPr>
        <w:t>一张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中国电子商务行业发展现状及趋势分析</w:t>
      </w:r>
    </w:p>
    <w:p>
      <w:pPr>
        <w:rPr>
          <w:rFonts w:hint="eastAsia" w:asciiTheme="minorEastAsia" w:hAnsiTheme="minorEastAsia"/>
          <w:b/>
          <w:bCs/>
          <w:color w:val="auto"/>
          <w:sz w:val="24"/>
          <w:szCs w:val="24"/>
        </w:rPr>
      </w:pPr>
      <w:r>
        <w:rPr>
          <w:rFonts w:hint="eastAsia" w:asciiTheme="minorEastAsia" w:hAnsiTheme="minorEastAsia"/>
          <w:b/>
          <w:bCs/>
          <w:color w:val="auto"/>
          <w:sz w:val="24"/>
          <w:szCs w:val="24"/>
        </w:rPr>
        <w:t>前瞻产业研究院</w:t>
      </w:r>
    </w:p>
    <w:p>
      <w:pPr>
        <w:rPr>
          <w:rFonts w:hint="eastAsia" w:ascii="微软雅黑" w:hAnsi="微软雅黑" w:eastAsia="微软雅黑" w:cs="微软雅黑"/>
          <w:b w:val="0"/>
          <w:i w:val="0"/>
          <w:caps w:val="0"/>
          <w:color w:val="333333"/>
          <w:spacing w:val="0"/>
          <w:sz w:val="27"/>
          <w:szCs w:val="27"/>
          <w:shd w:val="clear" w:fill="FFFFFF"/>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第三</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电子商务概述</w:t>
      </w:r>
    </w:p>
    <w:p>
      <w:pPr>
        <w:pStyle w:val="3"/>
        <w:rPr>
          <w:rFonts w:hint="eastAsia"/>
          <w:sz w:val="21"/>
          <w:szCs w:val="21"/>
        </w:rPr>
      </w:pPr>
      <w:r>
        <w:rPr>
          <w:rFonts w:hint="eastAsia"/>
          <w:sz w:val="21"/>
          <w:szCs w:val="21"/>
        </w:rPr>
        <w:t>电子商务是指以信息网络技术为手段，以商品交换为中心的商务活动；也可理解为在互联网、企业内部网和增值网上以电子交易方式进行交易活动和相关服务的活动，是传统商业活动各环节的电子化、网络化、信息化；以互联网为媒介的商业行为均属于电子商务的范畴。</w:t>
      </w:r>
    </w:p>
    <w:p>
      <w:pPr>
        <w:pStyle w:val="3"/>
        <w:rPr>
          <w:rFonts w:hint="eastAsia"/>
          <w:sz w:val="21"/>
          <w:szCs w:val="21"/>
        </w:rPr>
      </w:pPr>
      <w:r>
        <w:rPr>
          <w:rFonts w:hint="eastAsia"/>
          <w:sz w:val="21"/>
          <w:szCs w:val="21"/>
        </w:rPr>
        <w:t>近年来，随着我国电子商务行业的蓬勃发展，电子商务交易规模持续扩大，人们的消费方式也发生了一定变化，据商务部统计数据显示，2019年，我国电子商务交易额达34.81万亿元。</w:t>
      </w:r>
    </w:p>
    <w:p>
      <w:pPr>
        <w:pStyle w:val="3"/>
        <w:rPr>
          <w:rFonts w:hint="eastAsia"/>
          <w:sz w:val="21"/>
          <w:szCs w:val="21"/>
        </w:rPr>
      </w:pPr>
      <w:r>
        <w:rPr>
          <w:rFonts w:hint="eastAsia"/>
          <w:sz w:val="21"/>
          <w:szCs w:val="21"/>
        </w:rPr>
        <w:t>下面将带你了解我国电子商务的发展现状及未来发展趋势。</w:t>
      </w:r>
    </w:p>
    <w:p>
      <w:pPr>
        <w:rPr>
          <w:rFonts w:hint="eastAsia" w:asciiTheme="minorEastAsia" w:hAnsiTheme="minorEastAsia"/>
          <w:b/>
          <w:bCs/>
          <w:color w:val="000000"/>
          <w:sz w:val="24"/>
          <w:szCs w:val="24"/>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eastAsia="zh-CN"/>
        </w:rPr>
        <w:t>四张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我国电子商务行业发展历程</w:t>
      </w:r>
    </w:p>
    <w:tbl>
      <w:tblPr>
        <w:tblStyle w:val="14"/>
        <w:tblW w:w="4998" w:type="pct"/>
        <w:tblInd w:w="0" w:type="dxa"/>
        <w:shd w:val="clear" w:color="auto" w:fill="auto"/>
        <w:tblLayout w:type="autofit"/>
        <w:tblCellMar>
          <w:top w:w="0" w:type="dxa"/>
          <w:left w:w="0" w:type="dxa"/>
          <w:bottom w:w="0" w:type="dxa"/>
          <w:right w:w="0" w:type="dxa"/>
        </w:tblCellMar>
      </w:tblPr>
      <w:tblGrid>
        <w:gridCol w:w="1122"/>
        <w:gridCol w:w="7545"/>
      </w:tblGrid>
      <w:tr>
        <w:tblPrEx>
          <w:shd w:val="clear" w:color="auto" w:fill="auto"/>
          <w:tblCellMar>
            <w:top w:w="0" w:type="dxa"/>
            <w:left w:w="0" w:type="dxa"/>
            <w:bottom w:w="0" w:type="dxa"/>
            <w:right w:w="0" w:type="dxa"/>
          </w:tblCellMar>
        </w:tblPrEx>
        <w:trPr>
          <w:trHeight w:val="270" w:hRule="atLeast"/>
        </w:trPr>
        <w:tc>
          <w:tcPr>
            <w:tcW w:w="647"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kern w:val="0"/>
                <w:sz w:val="21"/>
                <w:szCs w:val="21"/>
                <w:u w:val="none"/>
                <w:lang w:val="en-US" w:eastAsia="zh-CN" w:bidi="ar"/>
              </w:rPr>
              <w:t>2003-2008</w:t>
            </w:r>
          </w:p>
        </w:tc>
        <w:tc>
          <w:tcPr>
            <w:tcW w:w="4352"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价格阶段</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特点：价格成为行业发展的最大驱动力，价格优先、质量其次</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平台：以淘宝为代表的C2C平台</w:t>
            </w:r>
          </w:p>
        </w:tc>
      </w:tr>
      <w:tr>
        <w:tblPrEx>
          <w:tblCellMar>
            <w:top w:w="0" w:type="dxa"/>
            <w:left w:w="0" w:type="dxa"/>
            <w:bottom w:w="0" w:type="dxa"/>
            <w:right w:w="0" w:type="dxa"/>
          </w:tblCellMar>
        </w:tblPrEx>
        <w:trPr>
          <w:trHeight w:val="270" w:hRule="atLeast"/>
        </w:trPr>
        <w:tc>
          <w:tcPr>
            <w:tcW w:w="647"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sz w:val="21"/>
                <w:szCs w:val="21"/>
              </w:rPr>
              <w:t>2008-2015</w:t>
            </w:r>
          </w:p>
        </w:tc>
        <w:tc>
          <w:tcPr>
            <w:tcW w:w="4352"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品牌阶段</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特点：品牌高于一切，大品牌成为行业发展的主要驱动力，开始注重品牌效应</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平台：以天猫为代表的B2C平台</w:t>
            </w:r>
          </w:p>
        </w:tc>
      </w:tr>
      <w:tr>
        <w:tblPrEx>
          <w:tblCellMar>
            <w:top w:w="0" w:type="dxa"/>
            <w:left w:w="0" w:type="dxa"/>
            <w:bottom w:w="0" w:type="dxa"/>
            <w:right w:w="0" w:type="dxa"/>
          </w:tblCellMar>
        </w:tblPrEx>
        <w:trPr>
          <w:trHeight w:val="270" w:hRule="atLeast"/>
        </w:trPr>
        <w:tc>
          <w:tcPr>
            <w:tcW w:w="647"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sz w:val="21"/>
                <w:szCs w:val="21"/>
              </w:rPr>
              <w:t>2015至今</w:t>
            </w:r>
          </w:p>
        </w:tc>
        <w:tc>
          <w:tcPr>
            <w:tcW w:w="4352" w:type="pct"/>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品质阶段</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特点：开始重视性价比和用户体验</w:t>
            </w:r>
          </w:p>
          <w:p>
            <w:pPr>
              <w:keepNext w:val="0"/>
              <w:keepLines w:val="0"/>
              <w:widowControl/>
              <w:suppressLineNumbers w:val="0"/>
              <w:jc w:val="both"/>
              <w:textAlignment w:val="center"/>
              <w:rPr>
                <w:rFonts w:hint="eastAsia" w:asciiTheme="minorEastAsia" w:hAnsiTheme="minorEastAsia" w:eastAsiaTheme="minorEastAsia" w:cstheme="minorEastAsia"/>
                <w:i w:val="0"/>
                <w:color w:val="000000"/>
                <w:sz w:val="21"/>
                <w:szCs w:val="21"/>
                <w:u w:val="none"/>
              </w:rPr>
            </w:pPr>
            <w:r>
              <w:rPr>
                <w:rFonts w:hint="eastAsia" w:asciiTheme="minorEastAsia" w:hAnsiTheme="minorEastAsia" w:eastAsiaTheme="minorEastAsia" w:cstheme="minorEastAsia"/>
                <w:i w:val="0"/>
                <w:color w:val="000000"/>
                <w:sz w:val="21"/>
                <w:szCs w:val="21"/>
                <w:u w:val="none"/>
              </w:rPr>
              <w:t>平台：以天猫为主，其他电商平台纷纷入局</w:t>
            </w:r>
          </w:p>
        </w:tc>
      </w:tr>
    </w:tbl>
    <w:p>
      <w:pPr>
        <w:pStyle w:val="2"/>
        <w:rPr>
          <w:rFonts w:hint="eastAsia" w:asciiTheme="minorEastAsia" w:hAnsiTheme="minorEastAsia" w:eastAsiaTheme="minorEastAsia"/>
          <w:b/>
          <w:bCs/>
          <w:color w:val="000000"/>
          <w:sz w:val="24"/>
          <w:szCs w:val="24"/>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val="en-US" w:eastAsia="zh-CN"/>
        </w:rPr>
        <w:t>五</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2013-2019年中国电子商务交易规模</w:t>
      </w:r>
    </w:p>
    <w:tbl>
      <w:tblPr>
        <w:tblStyle w:val="14"/>
        <w:tblW w:w="4380" w:type="dxa"/>
        <w:tblInd w:w="0" w:type="dxa"/>
        <w:shd w:val="clear" w:color="auto" w:fill="auto"/>
        <w:tblLayout w:type="fixed"/>
        <w:tblCellMar>
          <w:top w:w="0" w:type="dxa"/>
          <w:left w:w="0" w:type="dxa"/>
          <w:bottom w:w="0" w:type="dxa"/>
          <w:right w:w="0" w:type="dxa"/>
        </w:tblCellMar>
      </w:tblPr>
      <w:tblGrid>
        <w:gridCol w:w="1230"/>
        <w:gridCol w:w="1815"/>
        <w:gridCol w:w="1335"/>
      </w:tblGrid>
      <w:tr>
        <w:tblPrEx>
          <w:shd w:val="clear" w:color="auto" w:fill="auto"/>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年份</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交易规模（万亿元）</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i w:val="0"/>
                <w:color w:val="000000"/>
                <w:kern w:val="0"/>
                <w:sz w:val="21"/>
                <w:szCs w:val="21"/>
                <w:u w:val="none"/>
                <w:lang w:val="en-US" w:eastAsia="zh-CN" w:bidi="ar"/>
              </w:rPr>
              <w:t>增长率（%）</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2013年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10.2</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jc w:val="center"/>
              <w:rPr>
                <w:rFonts w:hint="eastAsia" w:ascii="宋体" w:hAnsi="宋体" w:eastAsia="宋体" w:cs="宋体"/>
                <w:i w:val="0"/>
                <w:color w:val="000000"/>
                <w:sz w:val="21"/>
                <w:szCs w:val="21"/>
                <w:u w:val="none"/>
              </w:rPr>
            </w:pP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2014年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13.4</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31.4%</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2015年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18.3</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36.6%</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2016年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22.97</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25.5%</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2017年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29.16</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26.9%</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2018年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31.63</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8.5%</w:t>
            </w:r>
          </w:p>
        </w:tc>
      </w:tr>
      <w:tr>
        <w:tblPrEx>
          <w:tblCellMar>
            <w:top w:w="0" w:type="dxa"/>
            <w:left w:w="0" w:type="dxa"/>
            <w:bottom w:w="0" w:type="dxa"/>
            <w:right w:w="0" w:type="dxa"/>
          </w:tblCellMar>
        </w:tblPrEx>
        <w:trPr>
          <w:trHeight w:val="270" w:hRule="atLeast"/>
        </w:trPr>
        <w:tc>
          <w:tcPr>
            <w:tcW w:w="1230"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2019年</w:t>
            </w:r>
          </w:p>
        </w:tc>
        <w:tc>
          <w:tcPr>
            <w:tcW w:w="181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34.81</w:t>
            </w:r>
          </w:p>
        </w:tc>
        <w:tc>
          <w:tcPr>
            <w:tcW w:w="1335" w:type="dxa"/>
            <w:tcBorders>
              <w:top w:val="single" w:color="000000" w:sz="8" w:space="0"/>
              <w:left w:val="single" w:color="000000" w:sz="8" w:space="0"/>
              <w:bottom w:val="single" w:color="000000" w:sz="8" w:space="0"/>
              <w:right w:val="single" w:color="000000" w:sz="8" w:space="0"/>
            </w:tcBorders>
            <w:shd w:val="clear" w:color="auto" w:fill="FFFFFF"/>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10.1%</w:t>
            </w:r>
          </w:p>
        </w:tc>
      </w:tr>
    </w:tbl>
    <w:p>
      <w:pPr>
        <w:pStyle w:val="3"/>
        <w:rPr>
          <w:rFonts w:hint="eastAsia"/>
        </w:rPr>
      </w:pPr>
    </w:p>
    <w:p>
      <w:pPr>
        <w:rPr>
          <w:rFonts w:hint="eastAsia" w:asciiTheme="minorEastAsia" w:hAnsiTheme="minorEastAsia"/>
          <w:b w:val="0"/>
          <w:bCs w:val="0"/>
          <w:color w:val="000000"/>
          <w:sz w:val="24"/>
          <w:szCs w:val="24"/>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第六</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我国电商的主要销售地区为东部地区</w:t>
      </w:r>
    </w:p>
    <w:p>
      <w:pPr>
        <w:rPr>
          <w:rFonts w:hint="eastAsia"/>
          <w:b/>
          <w:bCs/>
        </w:rPr>
      </w:pPr>
      <w:r>
        <w:rPr>
          <w:rFonts w:hint="eastAsia"/>
          <w:b w:val="0"/>
          <w:bCs w:val="0"/>
        </w:rPr>
        <w:t>2019年全国电子商务交易额为34.81万亿元，比上年增长6.7%。从交易额看，东部地区交易额22.44万亿元，占66.4%，比上年增长8.4%；中部地区5.25万亿元，占15.6%，下降4.8%；西部地区4.93万亿元，占14.6%，增长13.6%；东北地区1.14万亿元，占3.4%，增长2.9%</w:t>
      </w:r>
      <w:r>
        <w:rPr>
          <w:rFonts w:hint="eastAsia"/>
          <w:b/>
          <w:bCs/>
        </w:rPr>
        <w:t>。</w:t>
      </w:r>
    </w:p>
    <w:p>
      <w:pPr>
        <w:rPr>
          <w:rFonts w:hint="eastAsia" w:eastAsiaTheme="minorEastAsia"/>
          <w:b/>
          <w:bCs/>
          <w:lang w:eastAsia="zh-CN"/>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第七</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lang w:val="zh-CN"/>
        </w:rPr>
      </w:pPr>
      <w:r>
        <w:rPr>
          <w:rFonts w:hint="eastAsia" w:ascii="微软雅黑" w:hAnsi="微软雅黑" w:eastAsia="微软雅黑" w:cs="微软雅黑"/>
          <w:b/>
          <w:bCs/>
          <w:color w:val="auto"/>
          <w:sz w:val="24"/>
          <w:szCs w:val="24"/>
        </w:rPr>
        <w:t>我国商品类电商交易占比超7成</w:t>
      </w:r>
    </w:p>
    <w:p>
      <w:pPr>
        <w:rPr>
          <w:rFonts w:hint="eastAsia"/>
          <w:lang w:val="zh-CN"/>
        </w:rPr>
      </w:pPr>
      <w:r>
        <w:rPr>
          <w:rFonts w:hint="eastAsia"/>
          <w:lang w:val="zh-CN"/>
        </w:rPr>
        <w:t>据商务部统计数据显示，2019年电子商务市场细分行业结构中，商品类电商交易额25.5万亿元，占比73%;服务类电商交易额8.28万亿元，占比24%，合约类电商交易额1.03万亿元，占比3%。</w:t>
      </w:r>
    </w:p>
    <w:p>
      <w:pPr>
        <w:rPr>
          <w:lang w:val="zh-CN"/>
        </w:rPr>
      </w:pPr>
    </w:p>
    <w:p>
      <w:pPr>
        <w:rPr>
          <w:lang w:val="zh-CN"/>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val="en-US" w:eastAsia="zh-CN"/>
        </w:rPr>
        <w:t>八</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lang w:val="zh-CN"/>
        </w:rPr>
      </w:pPr>
      <w:r>
        <w:rPr>
          <w:rFonts w:hint="eastAsia" w:ascii="微软雅黑" w:hAnsi="微软雅黑" w:eastAsia="微软雅黑" w:cs="微软雅黑"/>
          <w:b/>
          <w:bCs/>
          <w:color w:val="auto"/>
          <w:sz w:val="24"/>
          <w:szCs w:val="24"/>
        </w:rPr>
        <w:t>预计2024年我国电商市场规模超55万亿元</w:t>
      </w:r>
    </w:p>
    <w:p>
      <w:pPr>
        <w:rPr>
          <w:rFonts w:hint="eastAsia"/>
          <w:lang w:val="zh-CN"/>
        </w:rPr>
      </w:pPr>
      <w:r>
        <w:rPr>
          <w:rFonts w:hint="eastAsia"/>
          <w:lang w:val="zh-CN"/>
        </w:rPr>
        <w:t>近年来，我国出台多部政策鼓励电子商务的发展，《电子商务“十三五”发展规划》中提出，到2020年，中国电子商务交易额超过40万亿元、网络零售总额达到10万亿元左右、相关从业者超过5000万人。</w:t>
      </w:r>
    </w:p>
    <w:p>
      <w:pPr>
        <w:rPr>
          <w:rFonts w:hint="eastAsia"/>
          <w:lang w:val="zh-CN"/>
        </w:rPr>
      </w:pPr>
      <w:r>
        <w:rPr>
          <w:rFonts w:hint="eastAsia"/>
          <w:lang w:val="zh-CN"/>
        </w:rPr>
        <w:t>前瞻预计，2019年我国电子商务的交易规模超35万亿元;未来电子商务行业成交规模的增速将有所放缓，到2024年，我国电子商务的成交规模将超过55万亿元。</w:t>
      </w:r>
    </w:p>
    <w:p>
      <w:pPr>
        <w:rPr>
          <w:lang w:val="zh-CN"/>
        </w:rPr>
      </w:pPr>
    </w:p>
    <w:p>
      <w:pPr>
        <w:rPr>
          <w:rFonts w:hint="eastAsia" w:asciiTheme="minorEastAsia" w:hAnsiTheme="minorEastAsia"/>
          <w:b/>
          <w:bCs/>
          <w:color w:val="31859C" w:themeColor="accent5" w:themeShade="BF"/>
          <w:sz w:val="24"/>
          <w:szCs w:val="24"/>
        </w:rPr>
      </w:pPr>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val="en-US" w:eastAsia="zh-CN"/>
        </w:rPr>
        <w:t>九</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p>
      <w:pP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中国电子商务行业市场规模预测</w:t>
      </w:r>
    </w:p>
    <w:p>
      <w:pPr>
        <w:rPr>
          <w:rFonts w:hint="eastAsia" w:ascii="微软雅黑" w:hAnsi="微软雅黑" w:eastAsia="微软雅黑" w:cs="微软雅黑"/>
          <w:b/>
          <w:bCs/>
          <w:color w:val="FF0000"/>
          <w:sz w:val="24"/>
          <w:szCs w:val="24"/>
        </w:rPr>
      </w:pPr>
    </w:p>
    <w:p>
      <w:pPr>
        <w:rPr>
          <w:rFonts w:hint="eastAsia" w:asciiTheme="minorEastAsia" w:hAnsiTheme="minorEastAsia"/>
          <w:b/>
          <w:bCs/>
          <w:color w:val="31859C" w:themeColor="accent5" w:themeShade="BF"/>
          <w:sz w:val="24"/>
          <w:szCs w:val="24"/>
        </w:rPr>
      </w:pPr>
      <w:bookmarkStart w:id="0" w:name="_GoBack"/>
      <w:r>
        <w:rPr>
          <w:rFonts w:hint="eastAsia" w:asciiTheme="minorEastAsia" w:hAnsiTheme="minorEastAsia"/>
          <w:b/>
          <w:bCs/>
          <w:color w:val="31859C" w:themeColor="accent5" w:themeShade="BF"/>
          <w:sz w:val="24"/>
          <w:szCs w:val="24"/>
        </w:rPr>
        <w:t>第</w:t>
      </w:r>
      <w:r>
        <w:rPr>
          <w:rFonts w:hint="eastAsia" w:asciiTheme="minorEastAsia" w:hAnsiTheme="minorEastAsia"/>
          <w:b/>
          <w:bCs/>
          <w:color w:val="31859C" w:themeColor="accent5" w:themeShade="BF"/>
          <w:sz w:val="24"/>
          <w:szCs w:val="24"/>
          <w:lang w:val="en-US" w:eastAsia="zh-CN"/>
        </w:rPr>
        <w:t>十</w:t>
      </w:r>
      <w:r>
        <w:rPr>
          <w:rFonts w:hint="eastAsia" w:asciiTheme="minorEastAsia" w:hAnsiTheme="minorEastAsia"/>
          <w:b/>
          <w:bCs/>
          <w:color w:val="31859C" w:themeColor="accent5" w:themeShade="BF"/>
          <w:sz w:val="24"/>
          <w:szCs w:val="24"/>
          <w:lang w:eastAsia="zh-CN"/>
        </w:rPr>
        <w:t>张</w:t>
      </w:r>
      <w:r>
        <w:rPr>
          <w:rFonts w:hint="eastAsia" w:asciiTheme="minorEastAsia" w:hAnsiTheme="minorEastAsia"/>
          <w:b/>
          <w:bCs/>
          <w:color w:val="31859C" w:themeColor="accent5" w:themeShade="BF"/>
          <w:sz w:val="24"/>
          <w:szCs w:val="24"/>
        </w:rPr>
        <w:t>幻灯片</w:t>
      </w:r>
    </w:p>
    <w:bookmarkEnd w:id="0"/>
    <w:p>
      <w:pPr>
        <w:rPr>
          <w:rFonts w:hint="eastAsia" w:ascii="微软雅黑" w:hAnsi="微软雅黑" w:eastAsia="微软雅黑" w:cs="微软雅黑"/>
          <w:b/>
          <w:bCs/>
          <w:color w:val="auto"/>
          <w:sz w:val="24"/>
          <w:szCs w:val="24"/>
          <w:lang w:eastAsia="zh-CN"/>
        </w:rPr>
      </w:pPr>
      <w:r>
        <w:rPr>
          <w:rFonts w:hint="eastAsia" w:ascii="微软雅黑" w:hAnsi="微软雅黑" w:eastAsia="微软雅黑" w:cs="微软雅黑"/>
          <w:b/>
          <w:bCs/>
          <w:color w:val="auto"/>
          <w:sz w:val="24"/>
          <w:szCs w:val="24"/>
          <w:lang w:eastAsia="zh-CN"/>
        </w:rPr>
        <w:t>谢谢观看</w:t>
      </w:r>
    </w:p>
    <w:p>
      <w:pPr>
        <w:rPr>
          <w:rFonts w:hint="eastAsia" w:ascii="微软雅黑" w:hAnsi="微软雅黑" w:eastAsia="微软雅黑" w:cs="微软雅黑"/>
          <w:b/>
          <w:bCs/>
          <w:color w:val="FF0000"/>
          <w:sz w:val="24"/>
          <w:szCs w:val="24"/>
          <w:lang w:val="zh-CN"/>
        </w:rPr>
      </w:pPr>
    </w:p>
    <w:p>
      <w:pPr>
        <w:rPr>
          <w:lang w:val="zh-CN"/>
        </w:rPr>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720"/>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5ED"/>
    <w:rsid w:val="00085BC5"/>
    <w:rsid w:val="001229ED"/>
    <w:rsid w:val="00141FAB"/>
    <w:rsid w:val="00143E7C"/>
    <w:rsid w:val="001B36B0"/>
    <w:rsid w:val="0023528C"/>
    <w:rsid w:val="00293C3E"/>
    <w:rsid w:val="00354372"/>
    <w:rsid w:val="004943E4"/>
    <w:rsid w:val="004F0C15"/>
    <w:rsid w:val="0051336E"/>
    <w:rsid w:val="00516211"/>
    <w:rsid w:val="005201C2"/>
    <w:rsid w:val="005900AE"/>
    <w:rsid w:val="005F1FFC"/>
    <w:rsid w:val="006435ED"/>
    <w:rsid w:val="00675343"/>
    <w:rsid w:val="007A73D4"/>
    <w:rsid w:val="007E60E3"/>
    <w:rsid w:val="00812D7A"/>
    <w:rsid w:val="00827367"/>
    <w:rsid w:val="008C4B14"/>
    <w:rsid w:val="009530BF"/>
    <w:rsid w:val="0098645A"/>
    <w:rsid w:val="00991706"/>
    <w:rsid w:val="00997A94"/>
    <w:rsid w:val="009F29B6"/>
    <w:rsid w:val="00A3435E"/>
    <w:rsid w:val="00A6031B"/>
    <w:rsid w:val="00B73DF9"/>
    <w:rsid w:val="00CC26E3"/>
    <w:rsid w:val="00E47F64"/>
    <w:rsid w:val="00F2606C"/>
    <w:rsid w:val="00F6533F"/>
    <w:rsid w:val="00FA56A7"/>
    <w:rsid w:val="00FC0C52"/>
    <w:rsid w:val="04222DAE"/>
    <w:rsid w:val="0ED80234"/>
    <w:rsid w:val="27C754C6"/>
    <w:rsid w:val="324D2262"/>
    <w:rsid w:val="46EB064B"/>
    <w:rsid w:val="4BC230A5"/>
    <w:rsid w:val="63EE48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autoSpaceDE w:val="0"/>
      <w:autoSpaceDN w:val="0"/>
      <w:adjustRightInd w:val="0"/>
      <w:spacing w:before="120" w:beforeLines="50" w:after="120" w:afterLines="50"/>
      <w:jc w:val="left"/>
      <w:outlineLvl w:val="0"/>
    </w:pPr>
    <w:rPr>
      <w:rFonts w:ascii="Calibri" w:hAnsi="Times New Roman" w:eastAsia="宋体" w:cs="宋体"/>
      <w:b/>
      <w:bCs/>
      <w:color w:val="00B050"/>
      <w:kern w:val="24"/>
      <w:sz w:val="30"/>
      <w:szCs w:val="30"/>
      <w:lang w:val="zh-CN"/>
    </w:rPr>
  </w:style>
  <w:style w:type="paragraph" w:styleId="3">
    <w:name w:val="heading 2"/>
    <w:basedOn w:val="1"/>
    <w:next w:val="1"/>
    <w:link w:val="18"/>
    <w:qFormat/>
    <w:uiPriority w:val="99"/>
    <w:pPr>
      <w:autoSpaceDE w:val="0"/>
      <w:autoSpaceDN w:val="0"/>
      <w:adjustRightInd w:val="0"/>
      <w:jc w:val="left"/>
      <w:outlineLvl w:val="1"/>
    </w:pPr>
    <w:rPr>
      <w:rFonts w:cs="宋体" w:asciiTheme="minorEastAsia" w:hAnsiTheme="minorEastAsia"/>
      <w:color w:val="000000"/>
      <w:kern w:val="24"/>
      <w:sz w:val="24"/>
      <w:szCs w:val="24"/>
      <w:lang w:val="zh-CN"/>
    </w:rPr>
  </w:style>
  <w:style w:type="paragraph" w:styleId="4">
    <w:name w:val="heading 3"/>
    <w:basedOn w:val="1"/>
    <w:next w:val="1"/>
    <w:link w:val="19"/>
    <w:qFormat/>
    <w:uiPriority w:val="99"/>
    <w:pPr>
      <w:autoSpaceDE w:val="0"/>
      <w:autoSpaceDN w:val="0"/>
      <w:adjustRightInd w:val="0"/>
      <w:ind w:left="1800" w:hanging="360"/>
      <w:jc w:val="left"/>
      <w:outlineLvl w:val="2"/>
    </w:pPr>
    <w:rPr>
      <w:rFonts w:ascii="Times New Roman" w:hAnsi="Times New Roman" w:cs="Times New Roman"/>
      <w:kern w:val="24"/>
      <w:sz w:val="48"/>
      <w:szCs w:val="48"/>
      <w:lang w:val="zh-CN"/>
    </w:rPr>
  </w:style>
  <w:style w:type="paragraph" w:styleId="5">
    <w:name w:val="heading 4"/>
    <w:basedOn w:val="1"/>
    <w:next w:val="1"/>
    <w:link w:val="20"/>
    <w:qFormat/>
    <w:uiPriority w:val="99"/>
    <w:pPr>
      <w:autoSpaceDE w:val="0"/>
      <w:autoSpaceDN w:val="0"/>
      <w:adjustRightInd w:val="0"/>
      <w:ind w:left="2520" w:hanging="360"/>
      <w:jc w:val="left"/>
      <w:outlineLvl w:val="3"/>
    </w:pPr>
    <w:rPr>
      <w:rFonts w:ascii="Times New Roman" w:hAnsi="Times New Roman" w:cs="Times New Roman"/>
      <w:kern w:val="24"/>
      <w:sz w:val="40"/>
      <w:szCs w:val="40"/>
      <w:lang w:val="zh-CN"/>
    </w:rPr>
  </w:style>
  <w:style w:type="paragraph" w:styleId="6">
    <w:name w:val="heading 5"/>
    <w:basedOn w:val="1"/>
    <w:next w:val="1"/>
    <w:link w:val="21"/>
    <w:qFormat/>
    <w:uiPriority w:val="99"/>
    <w:pPr>
      <w:autoSpaceDE w:val="0"/>
      <w:autoSpaceDN w:val="0"/>
      <w:adjustRightInd w:val="0"/>
      <w:ind w:left="3240" w:hanging="360"/>
      <w:jc w:val="left"/>
      <w:outlineLvl w:val="4"/>
    </w:pPr>
    <w:rPr>
      <w:rFonts w:ascii="Times New Roman" w:hAnsi="Times New Roman" w:cs="Times New Roman"/>
      <w:kern w:val="24"/>
      <w:sz w:val="40"/>
      <w:szCs w:val="40"/>
      <w:lang w:val="zh-CN"/>
    </w:rPr>
  </w:style>
  <w:style w:type="paragraph" w:styleId="7">
    <w:name w:val="heading 6"/>
    <w:basedOn w:val="1"/>
    <w:next w:val="1"/>
    <w:link w:val="22"/>
    <w:qFormat/>
    <w:uiPriority w:val="99"/>
    <w:pPr>
      <w:autoSpaceDE w:val="0"/>
      <w:autoSpaceDN w:val="0"/>
      <w:adjustRightInd w:val="0"/>
      <w:ind w:left="3960" w:hanging="360"/>
      <w:jc w:val="left"/>
      <w:outlineLvl w:val="5"/>
    </w:pPr>
    <w:rPr>
      <w:rFonts w:ascii="Times New Roman" w:hAnsi="Times New Roman" w:cs="Times New Roman"/>
      <w:kern w:val="24"/>
      <w:sz w:val="40"/>
      <w:szCs w:val="40"/>
      <w:lang w:val="zh-CN"/>
    </w:rPr>
  </w:style>
  <w:style w:type="paragraph" w:styleId="8">
    <w:name w:val="heading 7"/>
    <w:basedOn w:val="1"/>
    <w:next w:val="1"/>
    <w:link w:val="23"/>
    <w:qFormat/>
    <w:uiPriority w:val="99"/>
    <w:pPr>
      <w:autoSpaceDE w:val="0"/>
      <w:autoSpaceDN w:val="0"/>
      <w:adjustRightInd w:val="0"/>
      <w:ind w:left="4680" w:hanging="360"/>
      <w:jc w:val="left"/>
      <w:outlineLvl w:val="6"/>
    </w:pPr>
    <w:rPr>
      <w:rFonts w:ascii="Times New Roman" w:hAnsi="Times New Roman" w:cs="Times New Roman"/>
      <w:kern w:val="24"/>
      <w:sz w:val="40"/>
      <w:szCs w:val="40"/>
      <w:lang w:val="zh-CN"/>
    </w:rPr>
  </w:style>
  <w:style w:type="paragraph" w:styleId="9">
    <w:name w:val="heading 8"/>
    <w:basedOn w:val="1"/>
    <w:next w:val="1"/>
    <w:link w:val="24"/>
    <w:qFormat/>
    <w:uiPriority w:val="99"/>
    <w:pPr>
      <w:autoSpaceDE w:val="0"/>
      <w:autoSpaceDN w:val="0"/>
      <w:adjustRightInd w:val="0"/>
      <w:ind w:left="5400" w:hanging="360"/>
      <w:jc w:val="left"/>
      <w:outlineLvl w:val="7"/>
    </w:pPr>
    <w:rPr>
      <w:rFonts w:ascii="Times New Roman" w:hAnsi="Times New Roman" w:cs="Times New Roman"/>
      <w:kern w:val="24"/>
      <w:sz w:val="40"/>
      <w:szCs w:val="40"/>
      <w:lang w:val="zh-CN"/>
    </w:rPr>
  </w:style>
  <w:style w:type="paragraph" w:styleId="10">
    <w:name w:val="heading 9"/>
    <w:basedOn w:val="1"/>
    <w:next w:val="1"/>
    <w:link w:val="25"/>
    <w:qFormat/>
    <w:uiPriority w:val="99"/>
    <w:pPr>
      <w:autoSpaceDE w:val="0"/>
      <w:autoSpaceDN w:val="0"/>
      <w:adjustRightInd w:val="0"/>
      <w:ind w:left="6120" w:hanging="360"/>
      <w:jc w:val="left"/>
      <w:outlineLvl w:val="8"/>
    </w:pPr>
    <w:rPr>
      <w:rFonts w:ascii="Times New Roman" w:hAnsi="Times New Roman" w:cs="Times New Roman"/>
      <w:kern w:val="24"/>
      <w:sz w:val="40"/>
      <w:szCs w:val="40"/>
      <w:lang w:val="zh-CN"/>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27"/>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1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7">
    <w:name w:val="标题 1 Char"/>
    <w:basedOn w:val="16"/>
    <w:link w:val="2"/>
    <w:qFormat/>
    <w:uiPriority w:val="9"/>
    <w:rPr>
      <w:rFonts w:ascii="Calibri" w:hAnsi="Times New Roman" w:eastAsia="宋体" w:cs="宋体"/>
      <w:b/>
      <w:bCs/>
      <w:color w:val="00B050"/>
      <w:kern w:val="24"/>
      <w:sz w:val="30"/>
      <w:szCs w:val="30"/>
      <w:lang w:val="zh-CN"/>
    </w:rPr>
  </w:style>
  <w:style w:type="character" w:customStyle="1" w:styleId="18">
    <w:name w:val="标题 2 Char"/>
    <w:basedOn w:val="16"/>
    <w:link w:val="3"/>
    <w:qFormat/>
    <w:uiPriority w:val="99"/>
    <w:rPr>
      <w:rFonts w:cs="宋体" w:asciiTheme="minorEastAsia" w:hAnsiTheme="minorEastAsia"/>
      <w:color w:val="000000"/>
      <w:kern w:val="24"/>
      <w:sz w:val="24"/>
      <w:szCs w:val="24"/>
      <w:lang w:val="zh-CN"/>
    </w:rPr>
  </w:style>
  <w:style w:type="character" w:customStyle="1" w:styleId="19">
    <w:name w:val="标题 3 Char"/>
    <w:basedOn w:val="16"/>
    <w:link w:val="4"/>
    <w:semiHidden/>
    <w:uiPriority w:val="9"/>
    <w:rPr>
      <w:b/>
      <w:bCs/>
      <w:sz w:val="32"/>
      <w:szCs w:val="32"/>
    </w:rPr>
  </w:style>
  <w:style w:type="character" w:customStyle="1" w:styleId="20">
    <w:name w:val="标题 4 Char"/>
    <w:basedOn w:val="16"/>
    <w:link w:val="5"/>
    <w:semiHidden/>
    <w:qFormat/>
    <w:uiPriority w:val="9"/>
    <w:rPr>
      <w:rFonts w:asciiTheme="majorHAnsi" w:hAnsiTheme="majorHAnsi" w:eastAsiaTheme="majorEastAsia" w:cstheme="majorBidi"/>
      <w:b/>
      <w:bCs/>
      <w:sz w:val="28"/>
      <w:szCs w:val="28"/>
    </w:rPr>
  </w:style>
  <w:style w:type="character" w:customStyle="1" w:styleId="21">
    <w:name w:val="标题 5 Char"/>
    <w:basedOn w:val="16"/>
    <w:link w:val="6"/>
    <w:semiHidden/>
    <w:uiPriority w:val="9"/>
    <w:rPr>
      <w:b/>
      <w:bCs/>
      <w:sz w:val="28"/>
      <w:szCs w:val="28"/>
    </w:rPr>
  </w:style>
  <w:style w:type="character" w:customStyle="1" w:styleId="22">
    <w:name w:val="标题 6 Char"/>
    <w:basedOn w:val="16"/>
    <w:link w:val="7"/>
    <w:semiHidden/>
    <w:uiPriority w:val="9"/>
    <w:rPr>
      <w:rFonts w:asciiTheme="majorHAnsi" w:hAnsiTheme="majorHAnsi" w:eastAsiaTheme="majorEastAsia" w:cstheme="majorBidi"/>
      <w:b/>
      <w:bCs/>
      <w:sz w:val="24"/>
      <w:szCs w:val="24"/>
    </w:rPr>
  </w:style>
  <w:style w:type="character" w:customStyle="1" w:styleId="23">
    <w:name w:val="标题 7 Char"/>
    <w:basedOn w:val="16"/>
    <w:link w:val="8"/>
    <w:semiHidden/>
    <w:qFormat/>
    <w:uiPriority w:val="9"/>
    <w:rPr>
      <w:b/>
      <w:bCs/>
      <w:sz w:val="24"/>
      <w:szCs w:val="24"/>
    </w:rPr>
  </w:style>
  <w:style w:type="character" w:customStyle="1" w:styleId="24">
    <w:name w:val="标题 8 Char"/>
    <w:basedOn w:val="16"/>
    <w:link w:val="9"/>
    <w:semiHidden/>
    <w:qFormat/>
    <w:uiPriority w:val="9"/>
    <w:rPr>
      <w:rFonts w:asciiTheme="majorHAnsi" w:hAnsiTheme="majorHAnsi" w:eastAsiaTheme="majorEastAsia" w:cstheme="majorBidi"/>
      <w:sz w:val="24"/>
      <w:szCs w:val="24"/>
    </w:rPr>
  </w:style>
  <w:style w:type="character" w:customStyle="1" w:styleId="25">
    <w:name w:val="标题 9 Char"/>
    <w:basedOn w:val="16"/>
    <w:link w:val="10"/>
    <w:semiHidden/>
    <w:qFormat/>
    <w:uiPriority w:val="9"/>
    <w:rPr>
      <w:rFonts w:asciiTheme="majorHAnsi" w:hAnsiTheme="majorHAnsi" w:eastAsiaTheme="majorEastAsia" w:cstheme="majorBidi"/>
      <w:szCs w:val="21"/>
    </w:rPr>
  </w:style>
  <w:style w:type="character" w:customStyle="1" w:styleId="26">
    <w:name w:val="页眉 Char"/>
    <w:basedOn w:val="16"/>
    <w:link w:val="12"/>
    <w:uiPriority w:val="99"/>
    <w:rPr>
      <w:sz w:val="18"/>
      <w:szCs w:val="18"/>
    </w:rPr>
  </w:style>
  <w:style w:type="character" w:customStyle="1" w:styleId="27">
    <w:name w:val="页脚 Char"/>
    <w:basedOn w:val="16"/>
    <w:link w:val="11"/>
    <w:qFormat/>
    <w:uiPriority w:val="99"/>
    <w:rPr>
      <w:sz w:val="18"/>
      <w:szCs w:val="18"/>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129</Words>
  <Characters>738</Characters>
  <Lines>6</Lines>
  <Paragraphs>1</Paragraphs>
  <TotalTime>94</TotalTime>
  <ScaleCrop>false</ScaleCrop>
  <LinksUpToDate>false</LinksUpToDate>
  <CharactersWithSpaces>866</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2019-10-22T13:14:00Z</dcterms:created>
  <dc:creator>NTKO</dc:creator>
  <cp:lastModifiedBy>NEEA</cp:lastModifiedBy>
  <dcterms:modified xsi:type="dcterms:W3CDTF">2021-01-15T05:14:29Z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