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440" w:lineRule="exact"/>
        <w:ind w:firstLine="422"/>
        <w:outlineLvl w:val="0"/>
        <w:rPr>
          <w:rFonts w:ascii="Arial Narrow" w:hAnsi="宋体" w:eastAsia="宋体"/>
          <w:b/>
          <w:szCs w:val="21"/>
        </w:rPr>
      </w:pPr>
      <w:r>
        <w:rPr>
          <w:rFonts w:ascii="Arial Narrow" w:hAnsi="宋体" w:eastAsia="宋体"/>
          <w:b/>
          <w:szCs w:val="21"/>
        </w:rPr>
        <w:t>关联方关系及其交易</w:t>
      </w:r>
    </w:p>
    <w:p>
      <w:pPr>
        <w:snapToGrid w:val="0"/>
        <w:spacing w:line="440" w:lineRule="exact"/>
        <w:ind w:firstLine="420" w:firstLineChars="200"/>
        <w:outlineLvl w:val="1"/>
        <w:rPr>
          <w:rFonts w:hint="eastAsia" w:eastAsia="宋体"/>
          <w:bCs/>
          <w:szCs w:val="21"/>
        </w:rPr>
      </w:pPr>
      <w:r>
        <w:rPr>
          <w:rFonts w:hint="eastAsia" w:eastAsia="宋体"/>
          <w:bCs/>
          <w:szCs w:val="21"/>
        </w:rPr>
        <w:t>1、</w:t>
      </w:r>
      <w:bookmarkStart w:id="0" w:name="OLE_LINK1"/>
      <w:r>
        <w:rPr>
          <w:rFonts w:hint="eastAsia" w:eastAsia="宋体"/>
          <w:bCs/>
          <w:szCs w:val="21"/>
        </w:rPr>
        <w:t>本</w:t>
      </w:r>
      <w:r>
        <w:rPr>
          <w:rFonts w:hint="eastAsia" w:eastAsia="宋体"/>
          <w:bCs/>
          <w:szCs w:val="21"/>
          <w:lang w:val="en-US" w:eastAsia="zh-CN"/>
        </w:rPr>
        <w:t>公司</w:t>
      </w:r>
      <w:r>
        <w:rPr>
          <w:rFonts w:hint="eastAsia" w:eastAsia="宋体"/>
          <w:bCs/>
          <w:szCs w:val="21"/>
        </w:rPr>
        <w:t>的母公司情况</w:t>
      </w:r>
      <w:bookmarkEnd w:id="0"/>
    </w:p>
    <w:tbl>
      <w:tblPr>
        <w:tblStyle w:val="3"/>
        <w:tblpPr w:leftFromText="180" w:rightFromText="180" w:vertAnchor="text" w:horzAnchor="page" w:tblpX="2051" w:tblpY="204"/>
        <w:tblOverlap w:val="never"/>
        <w:tblW w:w="4997" w:type="pct"/>
        <w:tblInd w:w="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818"/>
        <w:gridCol w:w="1364"/>
        <w:gridCol w:w="1289"/>
        <w:gridCol w:w="1101"/>
        <w:gridCol w:w="1110"/>
      </w:tblGrid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  <w:tblHeader/>
        </w:trPr>
        <w:tc>
          <w:tcPr>
            <w:tcW w:w="1664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母公司名称</w:t>
            </w:r>
          </w:p>
        </w:tc>
        <w:tc>
          <w:tcPr>
            <w:tcW w:w="480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注册地</w:t>
            </w:r>
          </w:p>
        </w:tc>
        <w:tc>
          <w:tcPr>
            <w:tcW w:w="800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业务性质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注册资本</w:t>
            </w:r>
          </w:p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(万元)</w:t>
            </w:r>
          </w:p>
        </w:tc>
        <w:tc>
          <w:tcPr>
            <w:tcW w:w="646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eastAsia="宋体"/>
                <w:kern w:val="0"/>
                <w:szCs w:val="21"/>
              </w:rPr>
            </w:pPr>
            <w:r>
              <w:rPr>
                <w:rFonts w:eastAsia="宋体"/>
                <w:kern w:val="0"/>
                <w:szCs w:val="21"/>
              </w:rPr>
              <w:t>对本公司的持股比例(%)</w:t>
            </w:r>
          </w:p>
        </w:tc>
        <w:tc>
          <w:tcPr>
            <w:tcW w:w="651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line="240" w:lineRule="atLeast"/>
              <w:jc w:val="center"/>
              <w:rPr>
                <w:rFonts w:eastAsia="宋体"/>
                <w:kern w:val="0"/>
                <w:szCs w:val="21"/>
              </w:rPr>
            </w:pPr>
            <w:r>
              <w:rPr>
                <w:rFonts w:eastAsia="宋体"/>
                <w:kern w:val="0"/>
                <w:szCs w:val="21"/>
              </w:rPr>
              <w:t>对本公司的表决权比例(%)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6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bookmarkStart w:id="1" w:name="OLE_LINK6" w:colFirst="0" w:colLast="5"/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深圳市景尚总部企业管理有限公司</w:t>
            </w:r>
          </w:p>
        </w:tc>
        <w:tc>
          <w:tcPr>
            <w:tcW w:w="48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</w:t>
            </w:r>
          </w:p>
        </w:tc>
        <w:tc>
          <w:tcPr>
            <w:tcW w:w="80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商务服务业</w:t>
            </w:r>
          </w:p>
        </w:tc>
        <w:tc>
          <w:tcPr>
            <w:tcW w:w="7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1,000.00</w:t>
            </w:r>
          </w:p>
        </w:tc>
        <w:tc>
          <w:tcPr>
            <w:tcW w:w="64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96.667</w:t>
            </w:r>
          </w:p>
        </w:tc>
        <w:tc>
          <w:tcPr>
            <w:tcW w:w="65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96.667</w:t>
            </w:r>
          </w:p>
        </w:tc>
      </w:tr>
      <w:bookmarkEnd w:id="1"/>
    </w:tbl>
    <w:p/>
    <w:p>
      <w:pPr>
        <w:snapToGrid w:val="0"/>
        <w:spacing w:line="440" w:lineRule="exact"/>
        <w:ind w:left="420"/>
        <w:rPr>
          <w:rFonts w:eastAsia="宋体"/>
          <w:bCs/>
          <w:szCs w:val="21"/>
        </w:rPr>
      </w:pPr>
      <w:r>
        <w:rPr>
          <w:rFonts w:hint="eastAsia" w:eastAsia="宋体"/>
          <w:bCs/>
          <w:szCs w:val="21"/>
        </w:rPr>
        <w:t>公司实际控制人为</w:t>
      </w:r>
      <w:r>
        <w:rPr>
          <w:rFonts w:hint="eastAsia" w:eastAsia="宋体"/>
          <w:bCs/>
          <w:szCs w:val="21"/>
          <w:lang w:val="en-US" w:eastAsia="zh-CN"/>
        </w:rPr>
        <w:t>刘莲娇</w:t>
      </w:r>
      <w:r>
        <w:rPr>
          <w:rFonts w:hint="eastAsia" w:eastAsia="宋体"/>
          <w:bCs/>
          <w:szCs w:val="21"/>
        </w:rPr>
        <w:t>。</w:t>
      </w:r>
    </w:p>
    <w:p>
      <w:pPr>
        <w:snapToGrid w:val="0"/>
        <w:spacing w:line="440" w:lineRule="exact"/>
        <w:ind w:firstLine="420" w:firstLineChars="200"/>
        <w:outlineLvl w:val="1"/>
        <w:rPr>
          <w:rFonts w:eastAsia="宋体"/>
          <w:bCs/>
          <w:szCs w:val="21"/>
        </w:rPr>
      </w:pPr>
      <w:r>
        <w:rPr>
          <w:rFonts w:hint="eastAsia" w:eastAsia="宋体"/>
          <w:bCs/>
          <w:szCs w:val="21"/>
        </w:rPr>
        <w:t>2、本公司的子公司情况</w:t>
      </w:r>
    </w:p>
    <w:tbl>
      <w:tblPr>
        <w:tblStyle w:val="3"/>
        <w:tblW w:w="4997" w:type="pct"/>
        <w:tblInd w:w="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1459"/>
        <w:gridCol w:w="932"/>
        <w:gridCol w:w="1616"/>
        <w:gridCol w:w="1638"/>
      </w:tblGrid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</w:trPr>
        <w:tc>
          <w:tcPr>
            <w:tcW w:w="1685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子公司名称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子公司类型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级次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持股比例（</w:t>
            </w:r>
            <w:r>
              <w:rPr>
                <w:rFonts w:hint="eastAsia" w:ascii="Times New Roman" w:eastAsia="宋体"/>
                <w:kern w:val="0"/>
                <w:sz w:val="21"/>
              </w:rPr>
              <w:t>%</w:t>
            </w:r>
            <w:r>
              <w:rPr>
                <w:rFonts w:hint="eastAsia" w:ascii="宋体" w:hAnsi="宋体" w:eastAsia="宋体" w:cs="宋体"/>
                <w:bCs/>
                <w:sz w:val="21"/>
              </w:rPr>
              <w:t>）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pStyle w:val="6"/>
              <w:tabs>
                <w:tab w:val="left" w:pos="196"/>
                <w:tab w:val="left" w:pos="426"/>
              </w:tabs>
              <w:spacing w:afterLines="0"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</w:rPr>
              <w:t>表决权比例（</w:t>
            </w:r>
            <w:r>
              <w:rPr>
                <w:rFonts w:hint="eastAsia" w:ascii="Times New Roman" w:eastAsia="宋体"/>
                <w:kern w:val="0"/>
                <w:sz w:val="21"/>
              </w:rPr>
              <w:t>%</w:t>
            </w:r>
            <w:r>
              <w:rPr>
                <w:rFonts w:hint="eastAsia" w:ascii="宋体" w:hAnsi="宋体" w:eastAsia="宋体" w:cs="宋体"/>
                <w:bCs/>
                <w:sz w:val="21"/>
              </w:rPr>
              <w:t>）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bookmarkStart w:id="2" w:name="OLE_LINK7" w:colFirst="0" w:colLast="2"/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深圳市前海一方恒融商业保理有限公司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控股子公司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一级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深圳市一方融合咨询管理有限公司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控股子公司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一级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深圳市前海一方实业咨询有限公司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控股子公司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一级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深圳市方荣企业管理有限公司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控股子公司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一级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等线"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等线"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深圳市元旸科技有限公司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控股子公司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一级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深圳市一方保成科技有限公司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二级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泉州市元旸科技有限公司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控股公司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sz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二级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等线"/>
                <w:color w:val="0000FF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 xml:space="preserve"> 72.70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等线"/>
                <w:color w:val="0000FF"/>
                <w:kern w:val="0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 xml:space="preserve"> 72.70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深圳市佑荣信息科技有限公司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三级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成都思致科技有限公司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四级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100.00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685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江苏华美一方供应链数字科技有限公司</w:t>
            </w:r>
          </w:p>
        </w:tc>
        <w:tc>
          <w:tcPr>
            <w:tcW w:w="85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控股公司</w:t>
            </w:r>
          </w:p>
        </w:tc>
        <w:tc>
          <w:tcPr>
            <w:tcW w:w="5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二级</w:t>
            </w:r>
          </w:p>
        </w:tc>
        <w:tc>
          <w:tcPr>
            <w:tcW w:w="94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等线"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49.00 </w:t>
            </w:r>
          </w:p>
        </w:tc>
        <w:tc>
          <w:tcPr>
            <w:tcW w:w="961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eastAsia="等线"/>
                <w:color w:val="0000F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49.00 </w:t>
            </w:r>
          </w:p>
        </w:tc>
      </w:tr>
      <w:bookmarkEnd w:id="2"/>
    </w:tbl>
    <w:p/>
    <w:p>
      <w:pPr>
        <w:snapToGrid w:val="0"/>
        <w:spacing w:line="440" w:lineRule="exact"/>
        <w:ind w:firstLine="420" w:firstLineChars="200"/>
        <w:outlineLvl w:val="1"/>
        <w:rPr>
          <w:rFonts w:hint="default" w:eastAsia="宋体"/>
          <w:bCs/>
          <w:color w:val="0000FF"/>
          <w:szCs w:val="21"/>
          <w:lang w:val="en-US" w:eastAsia="zh-CN"/>
        </w:rPr>
      </w:pPr>
      <w:r>
        <w:rPr>
          <w:rFonts w:hint="eastAsia" w:eastAsia="宋体"/>
          <w:bCs/>
          <w:szCs w:val="21"/>
        </w:rPr>
        <w:t>3、</w:t>
      </w:r>
      <w:bookmarkStart w:id="3" w:name="OLE_LINK8"/>
      <w:r>
        <w:rPr>
          <w:rFonts w:eastAsia="宋体"/>
          <w:bCs/>
          <w:szCs w:val="21"/>
        </w:rPr>
        <w:t>本公司的合营、联营公司情况</w:t>
      </w:r>
      <w:bookmarkEnd w:id="3"/>
      <w:r>
        <w:rPr>
          <w:rFonts w:hint="eastAsia" w:eastAsia="宋体"/>
          <w:bCs/>
          <w:szCs w:val="21"/>
          <w:lang w:eastAsia="zh-CN"/>
        </w:rPr>
        <w:t>（</w:t>
      </w:r>
      <w:r>
        <w:rPr>
          <w:rFonts w:ascii="微软雅黑" w:hAnsi="微软雅黑" w:eastAsia="微软雅黑" w:cs="微软雅黑"/>
          <w:b/>
          <w:i w:val="0"/>
          <w:caps w:val="0"/>
          <w:color w:val="0000FF"/>
          <w:spacing w:val="0"/>
          <w:sz w:val="20"/>
          <w:szCs w:val="20"/>
          <w:shd w:val="clear" w:fill="FFFFFF"/>
        </w:rPr>
        <w:t>企业基本信息（含主要人员）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FF"/>
          <w:spacing w:val="0"/>
          <w:sz w:val="20"/>
          <w:szCs w:val="20"/>
          <w:shd w:val="clear" w:fill="FFFFFF"/>
          <w:lang w:val="en-US" w:eastAsia="zh-CN"/>
        </w:rPr>
        <w:t>819</w:t>
      </w:r>
      <w:r>
        <w:rPr>
          <w:rFonts w:hint="eastAsia" w:eastAsia="宋体"/>
          <w:bCs/>
          <w:szCs w:val="21"/>
          <w:lang w:eastAsia="zh-CN"/>
        </w:rPr>
        <w:t>）</w:t>
      </w:r>
      <w:r>
        <w:rPr>
          <w:rFonts w:hint="eastAsia" w:eastAsia="宋体"/>
          <w:bCs/>
          <w:color w:val="0000FF"/>
          <w:szCs w:val="21"/>
          <w:lang w:val="en-US" w:eastAsia="zh-CN"/>
        </w:rPr>
        <w:t>小于40%</w:t>
      </w:r>
    </w:p>
    <w:tbl>
      <w:tblPr>
        <w:tblStyle w:val="3"/>
        <w:tblW w:w="4997" w:type="pct"/>
        <w:tblInd w:w="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711"/>
        <w:gridCol w:w="1169"/>
        <w:gridCol w:w="876"/>
        <w:gridCol w:w="946"/>
        <w:gridCol w:w="1087"/>
        <w:gridCol w:w="1120"/>
        <w:gridCol w:w="1103"/>
      </w:tblGrid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Header/>
        </w:trPr>
        <w:tc>
          <w:tcPr>
            <w:tcW w:w="883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合营企业或联营企业名称</w:t>
            </w:r>
          </w:p>
        </w:tc>
        <w:tc>
          <w:tcPr>
            <w:tcW w:w="417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注册地</w:t>
            </w:r>
          </w:p>
        </w:tc>
        <w:tc>
          <w:tcPr>
            <w:tcW w:w="686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业务性质</w:t>
            </w:r>
          </w:p>
        </w:tc>
        <w:tc>
          <w:tcPr>
            <w:tcW w:w="1069" w:type="pct"/>
            <w:gridSpan w:val="2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本企业持股比例(%)</w:t>
            </w:r>
          </w:p>
        </w:tc>
        <w:tc>
          <w:tcPr>
            <w:tcW w:w="638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本企业在被投资单位表决权比例(%)</w:t>
            </w:r>
          </w:p>
        </w:tc>
        <w:tc>
          <w:tcPr>
            <w:tcW w:w="657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对合营企业或联营企业投资的会计处理方法</w:t>
            </w:r>
          </w:p>
        </w:tc>
        <w:tc>
          <w:tcPr>
            <w:tcW w:w="647" w:type="pct"/>
            <w:vMerge w:val="restart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Cs w:val="21"/>
              </w:rPr>
              <w:t>注册资本</w:t>
            </w: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  <w:t>万元）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883" w:type="pct"/>
            <w:vMerge w:val="continue"/>
            <w:noWrap w:val="0"/>
            <w:vAlign w:val="center"/>
          </w:tcPr>
          <w:p>
            <w:pPr>
              <w:keepNext/>
              <w:snapToGrid w:val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417" w:type="pct"/>
            <w:vMerge w:val="continue"/>
            <w:noWrap w:val="0"/>
            <w:vAlign w:val="top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686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514" w:type="pct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直接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间接</w:t>
            </w:r>
          </w:p>
        </w:tc>
        <w:tc>
          <w:tcPr>
            <w:tcW w:w="638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657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647" w:type="pct"/>
            <w:vMerge w:val="continue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83" w:type="pct"/>
            <w:noWrap w:val="0"/>
            <w:vAlign w:val="top"/>
          </w:tcPr>
          <w:p>
            <w:pPr>
              <w:tabs>
                <w:tab w:val="left" w:pos="196"/>
                <w:tab w:val="left" w:pos="426"/>
              </w:tabs>
              <w:snapToGrid w:val="0"/>
              <w:spacing w:before="120" w:beforeLines="50"/>
              <w:rPr>
                <w:rFonts w:hint="default" w:ascii="Times New Roman" w:hAnsi="Times New Roman" w:eastAsia="宋体" w:cs="Times New Roman"/>
                <w:szCs w:val="21"/>
              </w:rPr>
            </w:pPr>
            <w:bookmarkStart w:id="4" w:name="OLE_LINK9" w:colFirst="0" w:colLast="7"/>
            <w:r>
              <w:rPr>
                <w:rFonts w:hint="default" w:ascii="Times New Roman" w:hAnsi="Times New Roman" w:eastAsia="宋体" w:cs="Times New Roman"/>
                <w:szCs w:val="21"/>
              </w:rPr>
              <w:t>成都天投恒融商业保理有限公司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FF"/>
                <w:kern w:val="0"/>
                <w:szCs w:val="21"/>
                <w:highlight w:val="none"/>
                <w:lang w:val="en-US" w:eastAsia="zh-CN" w:bidi="ar"/>
              </w:rPr>
              <w:t>成都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其他金融业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keepNext/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keepNext/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keepNext/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keepNext/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keepNext/>
              <w:widowControl/>
              <w:snapToGrid w:val="0"/>
              <w:jc w:val="right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FF"/>
              </w:rPr>
              <w:t>10,000.00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883" w:type="pct"/>
            <w:noWrap w:val="0"/>
            <w:vAlign w:val="top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before="120" w:beforeLines="50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成都天投恒融供应链服务有限公司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highlight w:val="none"/>
                <w:lang w:val="en-US" w:eastAsia="zh-CN" w:bidi="ar"/>
              </w:rPr>
              <w:t>成都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租赁和商务服务业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4,000.00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3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before="120" w:beforeLines="5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浙江承信数字科技有限公司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杭州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信息传输、软件和信息技术服务业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30.00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30.00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1,000.00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883" w:type="pct"/>
            <w:noWrap w:val="0"/>
            <w:vAlign w:val="center"/>
          </w:tcPr>
          <w:p>
            <w:pPr>
              <w:tabs>
                <w:tab w:val="left" w:pos="196"/>
                <w:tab w:val="left" w:pos="426"/>
              </w:tabs>
              <w:adjustRightInd w:val="0"/>
              <w:snapToGrid w:val="0"/>
              <w:spacing w:before="120" w:beforeLines="50"/>
              <w:jc w:val="left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深圳市稳诚一方数字科技服务有限公司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深圳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租赁和商务服务业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1,000.00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883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浙江华域天成科技服务有限公司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杭州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信息传输、软件和信息技术服务业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35.00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1,000.00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" w:hRule="atLeast"/>
        </w:trPr>
        <w:tc>
          <w:tcPr>
            <w:tcW w:w="883" w:type="pct"/>
            <w:noWrap w:val="0"/>
            <w:vAlign w:val="center"/>
          </w:tcPr>
          <w:p>
            <w:pPr>
              <w:widowControl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豆方数科（深圳）有限责任公司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val="en-US" w:eastAsia="zh-CN" w:bidi="ar"/>
              </w:rPr>
              <w:t>深圳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信息传输、软件和信息技术服务业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eastAsia="仿宋_GB2312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49.00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eastAsia="仿宋_GB2312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49.00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widowControl/>
              <w:snapToGrid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  <w:r>
              <w:rPr>
                <w:rFonts w:hint="default" w:ascii="Times New Roman" w:hAnsi="Times New Roman" w:cs="Times New Roman"/>
              </w:rPr>
              <w:t>00.00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" w:hRule="atLeast"/>
        </w:trPr>
        <w:tc>
          <w:tcPr>
            <w:tcW w:w="88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深圳市海河智融科技有限责任公司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信息传输、软件和信息技术服务业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40.00 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40.00 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300.00 </w:t>
            </w:r>
          </w:p>
        </w:tc>
      </w:tr>
      <w:tr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" w:hRule="atLeast"/>
        </w:trPr>
        <w:tc>
          <w:tcPr>
            <w:tcW w:w="88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北京一方商业保理有限公司</w:t>
            </w:r>
          </w:p>
        </w:tc>
        <w:tc>
          <w:tcPr>
            <w:tcW w:w="41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北京</w:t>
            </w:r>
          </w:p>
        </w:tc>
        <w:tc>
          <w:tcPr>
            <w:tcW w:w="686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金融业</w:t>
            </w:r>
          </w:p>
        </w:tc>
        <w:tc>
          <w:tcPr>
            <w:tcW w:w="514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51.00</w:t>
            </w:r>
          </w:p>
        </w:tc>
        <w:tc>
          <w:tcPr>
            <w:tcW w:w="555" w:type="pct"/>
            <w:noWrap w:val="0"/>
            <w:vAlign w:val="center"/>
          </w:tcPr>
          <w:p>
            <w:pPr>
              <w:jc w:val="righ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63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51.00</w:t>
            </w:r>
          </w:p>
        </w:tc>
        <w:tc>
          <w:tcPr>
            <w:tcW w:w="65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权益法</w:t>
            </w:r>
          </w:p>
        </w:tc>
        <w:tc>
          <w:tcPr>
            <w:tcW w:w="647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</w:rPr>
              <w:t>10,000.00</w:t>
            </w:r>
          </w:p>
        </w:tc>
      </w:tr>
      <w:bookmarkEnd w:id="4"/>
    </w:tbl>
    <w:p/>
    <w:p>
      <w:pPr>
        <w:snapToGrid w:val="0"/>
        <w:spacing w:line="440" w:lineRule="exact"/>
        <w:ind w:firstLine="420" w:firstLineChars="200"/>
        <w:outlineLvl w:val="1"/>
        <w:rPr>
          <w:rFonts w:hint="eastAsia" w:ascii="Times New Roman" w:hAnsi="Times New Roman" w:eastAsia="宋体" w:cs="Times New Roman"/>
          <w:bCs/>
          <w:color w:val="0000FF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4、其他关联方情况</w:t>
      </w:r>
      <w:r>
        <w:rPr>
          <w:rFonts w:hint="eastAsia" w:ascii="Times New Roman" w:hAnsi="Times New Roman" w:eastAsia="宋体" w:cs="Times New Roman"/>
          <w:bCs/>
          <w:color w:val="0000FF"/>
          <w:szCs w:val="21"/>
          <w:lang w:val="en-US" w:eastAsia="zh-CN"/>
        </w:rPr>
        <w:t>（列一个亲密人的名单，老师用接口找）</w:t>
      </w:r>
    </w:p>
    <w:tbl>
      <w:tblPr>
        <w:tblStyle w:val="3"/>
        <w:tblW w:w="4997" w:type="pct"/>
        <w:tblInd w:w="0" w:type="dxa"/>
        <w:tblBorders>
          <w:top w:val="double" w:color="auto" w:sz="6" w:space="0"/>
          <w:left w:val="none" w:color="auto" w:sz="0" w:space="0"/>
          <w:bottom w:val="double" w:color="auto" w:sz="6" w:space="0"/>
          <w:right w:val="none" w:color="auto" w:sz="0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5"/>
        <w:gridCol w:w="4242"/>
      </w:tblGrid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tblHeader/>
        </w:trPr>
        <w:tc>
          <w:tcPr>
            <w:tcW w:w="2509" w:type="pct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  <w:t>关联方名称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</w:rPr>
              <w:t>与本公司关系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深圳市翰宸控股有限公司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实际控制人控制的公司（景尚总部企业管理的母公司）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深圳市淏信投资有限公司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实际控制人控制的公司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深圳市前海一方供应链管理有限公司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深圳市隆富投资发展有限公司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恒荣投资（新丰）有限公司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深圳市华丽商贸物流有限公司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深圳市恒荣财务信息咨询有限公司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深圳市恒荣科技信息咨询服务有限公司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深圳市恒荣电子咨询服务有限公司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深圳市荣业矿业有限公司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始兴恒荣森林旅游开发有限公司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深圳市融恒新材料有限公司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深圳市融富实业有限公司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前海一方（大连）石油化工有限公司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深圳市彩虹电子有限公司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深圳市恒荣置业有限公司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恒荣矿业（新丰）有限公司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深圳晸信投资管理有限公司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唐山市天恒建材有限公司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深圳市霖梓投资发展有限公司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深圳市恒荣置地有限公司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珠海市恒荣物业服务有限公司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深圳市恒荣物业服务有限公司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唐山市唐城物业服务有限公司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深圳中兴实业股份有限公司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东莞市恒荣置地有限公司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广东华汇矿业有限公司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深圳市合恒实业有限公司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珠海市中广房产开发有限公司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深圳市弘一建材贸易有限公司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唐山市恒荣房地产开发有限公司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深圳市荣鹏实业有限公司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珠海市恒荣实业有限责任公司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成都市一方明茂供应链管理有限公司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深圳市丽扬咨询合伙企业（有限合伙）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深圳市同生咨询合伙企业（有限合伙）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深圳市元泉一方咨询合伙企业（有限合伙）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深圳市前海小东投资有限公司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佛山市友阳供应链管理有限公司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深圳市方扬咨询合伙企业（有限合伙）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深圳市恒荣实业投资控股有限责任公司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深圳市恒荣投资发展有限公司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烨疆置地（深圳）有限公司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  <w:tr>
        <w:tblPrEx>
          <w:tblBorders>
            <w:top w:val="double" w:color="auto" w:sz="6" w:space="0"/>
            <w:left w:val="none" w:color="auto" w:sz="0" w:space="0"/>
            <w:bottom w:val="double" w:color="auto" w:sz="6" w:space="0"/>
            <w:right w:val="none" w:color="auto" w:sz="0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2509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color w:val="0000FF"/>
                <w:szCs w:val="21"/>
                <w:highlight w:val="none"/>
              </w:rPr>
              <w:t>深圳市煌壹商业管理有限公司</w:t>
            </w:r>
          </w:p>
        </w:tc>
        <w:tc>
          <w:tcPr>
            <w:tcW w:w="2490" w:type="pct"/>
            <w:noWrap w:val="0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FF"/>
                <w:sz w:val="21"/>
                <w:szCs w:val="21"/>
                <w:highlight w:val="none"/>
                <w:lang w:val="en-US" w:eastAsia="zh-CN"/>
              </w:rPr>
              <w:t>实际控制人关系亲密的家庭成员控制的公司</w:t>
            </w:r>
          </w:p>
        </w:tc>
      </w:tr>
    </w:tbl>
    <w:p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102A9"/>
    <w:multiLevelType w:val="singleLevel"/>
    <w:tmpl w:val="30C102A9"/>
    <w:lvl w:ilvl="0" w:tentative="0">
      <w:start w:val="2"/>
      <w:numFmt w:val="chineseCounting"/>
      <w:suff w:val="nothing"/>
      <w:lvlText w:val="%1、"/>
      <w:lvlJc w:val="left"/>
      <w:pPr>
        <w:ind w:left="-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792408"/>
    <w:rsid w:val="2CD25058"/>
    <w:rsid w:val="3A385AAB"/>
    <w:rsid w:val="42BE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ind w:left="480"/>
    </w:pPr>
    <w:rPr>
      <w:rFonts w:ascii="仿宋_GB2312"/>
      <w:sz w:val="24"/>
    </w:rPr>
  </w:style>
  <w:style w:type="paragraph" w:customStyle="1" w:styleId="5">
    <w:name w:val="样式1"/>
    <w:basedOn w:val="1"/>
    <w:qFormat/>
    <w:uiPriority w:val="0"/>
    <w:pPr>
      <w:widowControl/>
      <w:spacing w:line="440" w:lineRule="exact"/>
      <w:ind w:left="420" w:leftChars="200"/>
      <w:jc w:val="left"/>
    </w:pPr>
    <w:rPr>
      <w:rFonts w:ascii="Times New Roman" w:hAnsi="Times New Roman" w:eastAsia="宋体" w:cs="Times New Roman"/>
      <w:b/>
      <w:snapToGrid w:val="0"/>
      <w:kern w:val="0"/>
      <w:lang w:val="en-GB" w:eastAsia="en-US"/>
    </w:rPr>
  </w:style>
  <w:style w:type="paragraph" w:customStyle="1" w:styleId="6">
    <w:name w:val="附注－正文"/>
    <w:basedOn w:val="2"/>
    <w:qFormat/>
    <w:uiPriority w:val="99"/>
    <w:pPr>
      <w:adjustRightInd w:val="0"/>
      <w:snapToGrid w:val="0"/>
      <w:spacing w:after="50" w:afterLines="50" w:line="360" w:lineRule="auto"/>
      <w:ind w:left="0" w:leftChars="0" w:firstLine="200" w:firstLineChars="200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2024-03-26T01:31:00Z</dcterms:created>
  <dc:creator>THINK</dc:creator>
  <cp:lastModifiedBy>子全</cp:lastModifiedBy>
  <dcterms:modified xsi:type="dcterms:W3CDTF">2026-03-14T14:21:05Z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2052-11.8.2.8808</vt:lpwstr>
  </property>
</Properties>
</file>