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 secondary range 10.5.0.0/24 to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sn2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range.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range.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heon.corp.google.com/networking/networks/details/n2?project=test-project-sq2&amp;cloudshell=false&amp;organizationId=433637338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