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LiDAR Point-Cloud Segmentation and Completion</w:t>
      </w:r>
    </w:p>
    <w:p>
      <w:pPr>
        <w:jc w:val="center"/>
      </w:pPr>
      <w:r>
        <w:rPr>
          <w:b w:val="0"/>
          <w:i w:val="0"/>
          <w:sz w:val="28"/>
        </w:rPr>
        <w:t>Results Overview</w:t>
      </w:r>
    </w:p>
    <w:p>
      <w:pPr>
        <w:jc w:val="center"/>
      </w:pPr>
      <w:r>
        <w:rPr>
          <w:b w:val="0"/>
          <w:i/>
          <w:sz w:val="20"/>
        </w:rPr>
        <w:t>Ngo Vi Viet Anh — Master's Thesis · Results through July 17, 2026</w:t>
      </w:r>
    </w:p>
    <w:p/>
    <w:p>
      <w:pPr>
        <w:pStyle w:val="Heading1"/>
      </w:pPr>
      <w:r>
        <w:t>Summary</w:t>
      </w:r>
    </w:p>
    <w:p>
      <w:r>
        <w:rPr>
          <w:b w:val="0"/>
          <w:i w:val="0"/>
        </w:rPr>
        <w:t>The project has a complete car-detection pipeline on SemanticKITTI (held-out full-sequence F1 0.79, precision 0.90) and, on top of it, a point-cloud completion system with the first quantitative real-data evidence that completion adds value. Three questions were carried to a definitive answer: (1) the ~0.74 recall limit is a hard ceiling of density-based clustering — root-caused to HDBSCAN splitting, confirmed by five negative mitigation studies; (2) the sim-to-real gap for the classifier is total and symmetric, so synthetic pretraining was dropped from production (kept as an ablation); (3) the long-standing “PCN produces blobs on real data” failure was an inference-normalization bug, not a domain-gap dead end — after the fix, completion measurably improves bounding-box estimates (BEV IoU 0.707 → 0.747) and reconstructs 30% of never-observed car surface within 10 cm, 7× a symmetry-mirror baseline, under a newly designed and validated metric.</w:t>
      </w:r>
    </w:p>
    <w:p>
      <w:pPr>
        <w:pStyle w:val="Heading1"/>
      </w:pPr>
      <w:r>
        <w:t>1. The Pipeline</w:t>
      </w:r>
    </w:p>
    <w:p>
      <w:r>
        <w:rPr>
          <w:b w:val="0"/>
          <w:i w:val="0"/>
        </w:rPr>
        <w:t>Per frame: preprocessing (z-filter, denoise, 0.05 m voxel downsample) → RANSAC ground removal → HDBSCAN clustering → geometric filtering → binary car/not-car classifier (dual-branch PointNet) → centroid tracking with track-level filtering → PCN completion of accepted car tracks. Seq 08 is held out from all training and tuning and is the honest evaluation sequence.</w:t>
      </w:r>
    </w:p>
    <w:p>
      <w:pPr>
        <w:pStyle w:val="Heading1"/>
      </w:pPr>
      <w:r>
        <w:t>2. Detection Results</w:t>
      </w:r>
    </w:p>
    <w:p>
      <w:r>
        <w:rPr>
          <w:b w:val="0"/>
          <w:i w:val="0"/>
        </w:rPr>
        <w:t>The pipeline was built up in four measured steps:</w:t>
      </w:r>
    </w:p>
    <w:p>
      <w:pPr>
        <w:pStyle w:val="ListBullet"/>
      </w:pPr>
      <w:r>
        <w:rPr>
          <w:b/>
        </w:rPr>
        <w:t xml:space="preserve">Geometric filter tuning. </w:t>
      </w:r>
      <w:r>
        <w:t>A per-cluster false-positive analysis (vegetation 38%, buildings 33%, trunks 13%) drove three threshold changes: precision 0.237 → 0.654 at −19% recall. The residual FPs are vegetation clusters that geometrically resemble cars — separable only by shape, which motivated the classifier. The shape thresholds do not limit car recall (they account for ~4% of rejections that touch a GT car; the rest are fragments of split cars, §3).</w:t>
      </w:r>
    </w:p>
    <w:p>
      <w:pPr>
        <w:pStyle w:val="ListBullet"/>
      </w:pPr>
      <w:r>
        <w:rPr>
          <w:b/>
        </w:rPr>
        <w:t xml:space="preserve">Learned classifier. </w:t>
      </w:r>
      <w:r>
        <w:t>Training on synthetic ShapeNet alone fails completely on real data (0 true positives — the first sign of the domain gap in §4). Mining 550k real clusters from SemanticKITTI with GT purity filtering and training on those lifted pipeline precision 0.654 → 0.969 at a 2-point recall cost. The task was narrowed to binary car/not-car after the 4-class version produced spurious motorcycle detections from 28 bus training samples.</w:t>
      </w:r>
    </w:p>
    <w:p>
      <w:pPr>
        <w:pStyle w:val="ListBullet"/>
      </w:pPr>
      <w:r>
        <w:rPr>
          <w:b/>
        </w:rPr>
        <w:t xml:space="preserve">Evaluation integrity. </w:t>
      </w:r>
      <w:r>
        <w:t>Seq 00 — the original headline sequence — turned out to be inside the classifier's training set. All headline evaluation moved to held-out seq 08; seq-00 numbers are kept only as a deterministic reference, marked as leaked.</w:t>
      </w:r>
    </w:p>
    <w:p>
      <w:pPr>
        <w:pStyle w:val="ListBullet"/>
      </w:pPr>
      <w:r>
        <w:rPr>
          <w:b/>
        </w:rPr>
        <w:t xml:space="preserve">Track-level filtering. </w:t>
      </w:r>
      <w:r>
        <w:t>A minimum-track-length + majority-vote filter cuts transient FPs and — unexpectedly — recovers detections that flicker between “car” and “unknown” across frames. Full-sequence F1 0.762 → 0.801.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752"/>
          </w:tcPr>
          <w:p>
            <w:r/>
            <w:r>
              <w:rPr>
                <w:b/>
                <w:sz w:val="20"/>
              </w:rPr>
              <w:t>Evaluation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20"/>
              </w:rPr>
              <w:t>Recall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F1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Mean IoU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 w:val="0"/>
                <w:sz w:val="20"/>
              </w:rPr>
              <w:t>Seq 00, 100 frames (leaked; reference)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20"/>
              </w:rPr>
              <w:t>0.984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20"/>
              </w:rPr>
              <w:t>0.761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0.859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0.942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/>
                <w:sz w:val="20"/>
              </w:rPr>
              <w:t>Seq 08, full 4,071 frames (held-out)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20"/>
              </w:rPr>
              <w:t>0.903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20"/>
              </w:rPr>
              <w:t>0.699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0.788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0.895</w:t>
            </w:r>
          </w:p>
        </w:tc>
      </w:tr>
    </w:tbl>
    <w:p/>
    <w:p>
      <w:r>
        <w:rPr>
          <w:b w:val="0"/>
          <w:i w:val="0"/>
        </w:rPr>
        <w:t>The system is precision-saturated (~1 FP/frame) and recall-limited. The classifier threshold is not a lever on recall: cars are lost at clustering before the classifier ever sees them (lowering the threshold to 0.30 yields no recall gain), so the F1-optimal operating point is also the recall-maximal 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20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8_bev_detec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20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— Bird's-eye-view detections on held-out seq 08.</w:t>
      </w:r>
    </w:p>
    <w:p>
      <w:pPr>
        <w:pStyle w:val="Heading1"/>
      </w:pPr>
      <w:r>
        <w:t>3. The Recall Ceiling</w:t>
      </w:r>
    </w:p>
    <w:p>
      <w:r>
        <w:rPr>
          <w:b w:val="0"/>
          <w:i w:val="0"/>
        </w:rPr>
        <w:t>Recall plateaus near 0.74 in every configuration, and we now know exactly why: 31–37% of GT cars are split across multiple HDBSCAN clusters (66% split rate at close range — large cars have internal density gaps), and the sub-fragments then fail the volume/point-count filters. The recoverable ceiling from cleanly-clustered cars is 63–68% — matching actual recall, i.e. the pipeline already finds essentially every car that clusters cleanly. Five mitigation strategies were implemented and all were negative on held-out data: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/>
            <w:r>
              <w:rPr>
                <w:b/>
                <w:sz w:val="20"/>
              </w:rPr>
              <w:t>Strategy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BEV connected-component clustering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20"/>
              </w:rPr>
              <w:t>F1 0.779 vs 0.844 — 2D projection merges overlapping objects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Larger min_cluster_size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20"/>
              </w:rPr>
              <w:t>Wins on seq 00, loses on seq 08 — overfits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Post-clustering fragment merge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20"/>
              </w:rPr>
              <w:t>Absorbs walls/poles; net negative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Distance-adaptive HDBSCAN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20"/>
              </w:rPr>
              <w:t>Ring-boundary artifacts; worse than global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Temporal point accumulation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20"/>
              </w:rPr>
              <w:t>F1 collapses to 0.073</w:t>
            </w:r>
          </w:p>
        </w:tc>
      </w:tr>
    </w:tbl>
    <w:p/>
    <w:p>
      <w:r>
        <w:rPr>
          <w:b w:val="0"/>
          <w:i w:val="0"/>
        </w:rPr>
        <w:t>Framing for the thesis: this is a structural property of density-based clustering — it makes local decisions with no notion of objectness, so split fragments can never be re-assembled. The pipeline is not recall-competitive with end-to-end detectors; its value is that it needs no 3D box labels (semantic labels only), and it quantifies exactly where learning must take over — which is where the classifier (§2) and completion (§5) enter.</w:t>
      </w:r>
    </w:p>
    <w:p>
      <w:pPr>
        <w:pStyle w:val="Heading1"/>
      </w:pPr>
      <w:r>
        <w:t>4. Sim-to-Real: Dropping Synthetic Pretraining</w:t>
      </w:r>
    </w:p>
    <w:p>
      <w:r>
        <w:rPr>
          <w:b w:val="0"/>
          <w:i w:val="0"/>
        </w:rPr>
        <w:t>Two studies answered the “too-perfect synthetic data” concern. A controlled ablation (retrain from random init) showed the ShapeNet prior contributes nothing once 420k real clusters are available (macro F1 0.9285 scratch vs 0.9225 pretrained). The cross-domain matrix shows why — zero transfer in either direction, and fine-tuning completely forgets the synthetic domain: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</w:tcPr>
          <w:p>
            <w:r/>
            <w:r>
              <w:rPr>
                <w:b/>
                <w:sz w:val="20"/>
              </w:rPr>
              <w:t>Train ↓ / Test →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Synthetic val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Real val (seq 08)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Synthetic only (Stage A)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0.999 (0.999)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0.447 (0.000)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Real only (from scratch)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0.304 (0.000)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0.929 (0.885)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Synthetic → real fine-tuned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0.318 (0.000)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0.923 (0.875)</w:t>
            </w:r>
          </w:p>
        </w:tc>
      </w:tr>
    </w:tbl>
    <w:p/>
    <w:p>
      <w:r>
        <w:rPr>
          <w:b w:val="0"/>
          <w:i/>
          <w:sz w:val="18"/>
        </w:rPr>
        <w:t>Cell format: macro F1 (car F1). Note the synthetic-only model scores 0.807 accuracy on real data while finding zero cars — why we report macro F1 and confusion matrices, not accuracy.</w:t>
      </w:r>
    </w:p>
    <w:p>
      <w:r>
        <w:rPr>
          <w:b w:val="0"/>
          <w:i w:val="0"/>
        </w:rPr>
        <w:t>After a full-scale re-check (scratch is neutral-to-better: seq 00 F1 0.844 → 0.859, seq 08 identical), the production classifier now trains on real data only. Stage A is kept as the thesis sim-to-real ablation. Synthetic data was only dropped for classification, where real labels are abundant — for completion (§5), where no real ground truth exists, it remains the training data and works once the right partiality pattern is simulated.</w:t>
      </w:r>
    </w:p>
    <w:p>
      <w:pPr>
        <w:pStyle w:val="Heading1"/>
      </w:pPr>
      <w:r>
        <w:t>5. Point-Cloud Completion</w:t>
      </w:r>
    </w:p>
    <w:p>
      <w:pPr>
        <w:pStyle w:val="Heading2"/>
      </w:pPr>
      <w:r>
        <w:t>5.1 The “blob” failure, solved</w:t>
      </w:r>
    </w:p>
    <w:p>
      <w:r>
        <w:rPr>
          <w:b w:val="0"/>
          <w:i w:val="0"/>
        </w:rPr>
        <w:t>PCN trained on ShapeNet produced shapeless blobs on every real cluster, and three domain-adaptation attempts (noise augmentation, virtual Velodyne ray-casting, sparse-input training) failed — each modelled one mismatch axis (noise, scan geometry, density) but not the real one: the occlusion/partiality pattern. Two fixes resolved it. First, a KITTI-like single-view partial generator (matching real pipeline output) trains a PCN that completes cleanly in-distribution (Chamfer 0.16 m). Second — the actual headline — the blobs were largely an inference bug: the inference path applied PCA alignment and centroid/scale normalization never seen in training, degrading every checkpoint ~3.5×. With the corrected path, real clusters complete into car-shaped clouds. A by-product finding: accumulated-LiDAR pseudo-ground-truth is invalid for evaluating completion (it is itself one-sided, so Chamfer rewards under-completion) — which forced the new metric in §5.4.</w:t>
      </w:r>
    </w:p>
    <w:p>
      <w:pPr>
        <w:pStyle w:val="Heading2"/>
      </w:pPr>
      <w:r>
        <w:t>5.2 Two supporting results</w:t>
      </w:r>
    </w:p>
    <w:p>
      <w:pPr>
        <w:pStyle w:val="ListBullet"/>
      </w:pPr>
      <w:r>
        <w:rPr>
          <w:b/>
        </w:rPr>
        <w:t xml:space="preserve">Input gate. </w:t>
      </w:r>
      <w:r>
        <w:t>Bad completions trace back to bad inputs — fragments and merged clusters leaked by clustering (§3). An L-shape-fit gate rejecting them raises plausible-car completion precision 38% → 69%. Cost: completion is attempted on ~64% of detected cars; gated tracks keep their raw points, so detection metrics are unaffected. The gated subset is not just easy cases — completion's largest gains are on the sparsest inputs (§5.3).</w:t>
      </w:r>
    </w:p>
    <w:p>
      <w:pPr>
        <w:pStyle w:val="ListBullet"/>
      </w:pPr>
      <w:r>
        <w:rPr>
          <w:b/>
        </w:rPr>
        <w:t xml:space="preserve">Architecture check. </w:t>
      </w:r>
      <w:r>
        <w:t>A transformer completer (PoinTr) trained on identical data has a small synthetic edge (~5% Chamfer) but is equivalent on real data (16/26 vs 18/26 plausible). Decoder capacity is not the bottleneck — inference geometry and the partiality gap are. PCN stays in production.</w:t>
      </w:r>
    </w:p>
    <w:p>
      <w:pPr>
        <w:pStyle w:val="Heading2"/>
      </w:pPr>
      <w:r>
        <w:t>5.3 Completion improves the bounding box</w:t>
      </w:r>
    </w:p>
    <w:p>
      <w:r>
        <w:rPr>
          <w:b w:val="0"/>
          <w:i w:val="0"/>
        </w:rPr>
        <w:t>Reference: amodal GT boxes accumulated from 40 well-observed static cars (with viewpoint-coverage and motion guards; dimensions match published car statistics). For 2,075 true-positive detections of these cars, boxes were fitted to the raw partial and to its completion with the same fitter. Per-car medians, Wilcoxon tests, n = 39: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Raw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Completed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p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Verdict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BEV IoU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0.707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0.747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0.0019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better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|ΔW| (m)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0.270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0.170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0.00015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better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|ΔH| (m)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0.255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0.131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1.6e-10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better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Center error XZ (m)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0.286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0.234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2.8e-05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better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|ΔL| (m)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0.447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0.456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0.65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neutral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Yaw error (deg)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3.5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3.0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0.74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neutral</w:t>
            </w:r>
          </w:p>
        </w:tc>
      </w:tr>
    </w:tbl>
    <w:p/>
    <w:p>
      <w:r>
        <w:rPr>
          <w:b w:val="0"/>
          <w:i w:val="0"/>
        </w:rPr>
        <w:t>Completion helps most where the sensor saw least (BEV IoU on &lt; 100-point inputs: 0.461 → 0.599). The one weak spot is length: the network does not extend the unobserved far end (signed ΔL −0.49 raw vs −0.55 completed; conservative bias, never too long). That is the current work item — plan in §6.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ion_box_overlays_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 — Amodal GT box (black) vs raw-partial box (blue) vs completed box (green).</w:t>
      </w:r>
    </w:p>
    <w:p>
      <w:pPr>
        <w:pStyle w:val="Heading2"/>
      </w:pPr>
      <w:r>
        <w:t>5.4 A valid real-data completion metric</w:t>
      </w:r>
    </w:p>
    <w:p>
      <w:r>
        <w:rPr>
          <w:b w:val="0"/>
          <w:i w:val="0"/>
        </w:rPr>
        <w:t>Since pseudo-GT Chamfer is invalid (§5.1), a new metric was designed: complete a static car from one frame, then score coverage of donor points — observations of the same car from other frames — that lie ≥ 0.15 m from every input point, i.e. surface the input frame never saw. Baselines: the raw partial and a symmetry-mirrored partial. An out-of-GT-box guard catches hallucination. Same statistical design as §5.3: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Coverage@0.1 m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20"/>
              </w:rPr>
              <w:t>Median novel-dist (m)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20"/>
              </w:rPr>
              <w:t>Out-of-box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Raw partial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0.000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0.518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0.000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Mirrored partial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0.043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0.332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0.008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PCN completed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0.304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20"/>
              </w:rPr>
              <w:t>0.161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20"/>
              </w:rPr>
              <w:t>0.000</w:t>
            </w:r>
          </w:p>
        </w:tc>
      </w:tr>
    </w:tbl>
    <w:p/>
    <w:p>
      <w:r>
        <w:rPr>
          <w:b w:val="0"/>
          <w:i w:val="0"/>
        </w:rPr>
        <w:t>All pairwise p &lt; 1e-6; the metric passed its four pre-registered validation checks. This is the first real-data evidence that the network reconstructs genuinely unseen structure — 30% of never-observed surface within 10 cm, 7× the mirror baseline, with essentially zero hallucination — and it makes the far-end weakness directly measurable (coverage there: 0.133).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nor_metric_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 — Donor-frame metric: input partial, never-observed donor points, and method outputs.</w:t>
      </w:r>
    </w:p>
    <w:p>
      <w:pPr>
        <w:pStyle w:val="Heading1"/>
      </w:pPr>
      <w:r>
        <w:t>6. Next Steps</w:t>
      </w:r>
    </w:p>
    <w:p>
      <w:pPr>
        <w:pStyle w:val="ListBullet"/>
      </w:pPr>
      <w:r>
        <w:rPr>
          <w:b/>
        </w:rPr>
        <w:t xml:space="preserve">Fix the far-end undershoot (active). </w:t>
      </w:r>
      <w:r>
        <w:t>Ordered by evidence: (1) inference geometry, no retraining — anchor the box at the observed L-shape corner and place the center longitudinally with a car-length prior (the current estimate corrects laterally but not longitudinally); (2) if needed, retrain with a visibility-weighted asymmetric Chamfer loss that makes omitting occluded structure cost more than conservative truncation; (3) contingency: fine-tuning on real partials, now measurable with the donor metric. Architecture changes are ruled out by the PoinTr result. Success criteria: far-end coverage (0.133) and signed ΔL (−0.545 m).</w:t>
      </w:r>
    </w:p>
    <w:p>
      <w:pPr>
        <w:pStyle w:val="ListBullet"/>
      </w:pPr>
      <w:r>
        <w:rPr>
          <w:b/>
        </w:rPr>
        <w:t xml:space="preserve">Amodal GT validity. </w:t>
      </w:r>
      <w:r>
        <w:t>Cross-validation against official KITTI tracklets is impossible — the raw drive behind seq 08 was never tracklet-annotated (verified on the KITTI download server); that absence is why the pseudo-GT was built. Validity rests on the paired design (both arms share the reference), construction guards, and the dimension sanity check.</w:t>
      </w:r>
    </w:p>
    <w:p>
      <w:pPr>
        <w:pStyle w:val="ListBullet"/>
      </w:pPr>
      <w:r>
        <w:rPr>
          <w:b/>
        </w:rPr>
        <w:t xml:space="preserve">Thesis writing. </w:t>
      </w:r>
      <w:r>
        <w:t>Pipeline, recall-ceiling, sim-to-real, and completion chapters; pipeline diagram.</w:t>
      </w:r>
    </w:p>
    <w:p>
      <w:pPr>
        <w:pStyle w:val="Heading1"/>
      </w:pPr>
      <w:r>
        <w:t>Appendix — Where to Find the Details</w:t>
      </w:r>
    </w:p>
    <w:p>
      <w:r>
        <w:rPr>
          <w:b w:val="0"/>
          <w:i w:val="0"/>
          <w:sz w:val="20"/>
        </w:rPr>
        <w:t>Every result above is backed by a numbered finding in the repository (docs/findings.md) with hypothesis, commands, and full tables. Mapping: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</w:tcPr>
          <w:p>
            <w:r/>
            <w:r>
              <w:rPr>
                <w:b/>
                <w:sz w:val="20"/>
              </w:rPr>
              <w:t>Report section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20"/>
              </w:rPr>
              <w:t>Findings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20"/>
              </w:rPr>
              <w:t>§2 Detection pipeline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#2, #4–#14, #18, #20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20"/>
              </w:rPr>
              <w:t>§3 Recall ceiling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#21–#24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20"/>
              </w:rPr>
              <w:t>§4 Sim-to-real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#25, #30, #31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20"/>
              </w:rPr>
              <w:t>§5.1 Blob failure → fix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#15–#19, #26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20"/>
              </w:rPr>
              <w:t>§5.2 Gate; PoinTr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#27, #28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20"/>
              </w:rPr>
              <w:t>§5.3 Box improvement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#29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20"/>
              </w:rPr>
              <w:t>§5.4 Donor metric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#32</w:t>
            </w:r>
          </w:p>
        </w:tc>
      </w:tr>
    </w:tbl>
    <w:p/>
    <w:p>
      <w:r>
        <w:rPr>
          <w:b w:val="0"/>
          <w:i/>
          <w:sz w:val="18"/>
        </w:rPr>
        <w:t>A longer companion document (results_report_2026_07_17_rev2.docx) contains the extended justifications: operating-point analysis, filter validity across vehicle sizes, gate cost accounting, and the full far-end remediation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