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LiDAR Point-Cloud Segmentation and Completion</w:t>
      </w:r>
    </w:p>
    <w:p>
      <w:pPr>
        <w:jc w:val="center"/>
      </w:pPr>
      <w:r>
        <w:rPr>
          <w:b w:val="0"/>
          <w:i w:val="0"/>
          <w:sz w:val="28"/>
        </w:rPr>
        <w:t>Results Overview</w:t>
      </w:r>
    </w:p>
    <w:p>
      <w:pPr>
        <w:jc w:val="center"/>
      </w:pPr>
      <w:r>
        <w:t>Ngo Vi Viet Anh — Master's Thesis · Results through July 19, 2026</w:t>
      </w:r>
    </w:p>
    <w:p/>
    <w:p>
      <w:pPr>
        <w:pStyle w:val="Heading1"/>
      </w:pPr>
      <w:r>
        <w:t>Summary</w:t>
      </w:r>
    </w:p>
    <w:p>
      <w:r>
        <w:rPr>
          <w:b w:val="0"/>
          <w:i w:val="0"/>
        </w:rPr>
        <w:t>The project has a complete car-detection pipeline on SemanticKITTI (held-out full-sequence F1 0.79, precision 0.90) and, on top of it, a point-cloud completion system with the first quantitative real-data evidence that completion adds value. Three questions were carried to a definitive answer: (1) the ~0.74 recall limit is a hard ceiling of density-based clustering — root-caused to HDBSCAN splitting, confirmed by five negative mitigation studies; (2) the sim-to-real gap for the classifier is total and symmetric, so synthetic pretraining was dropped from production (kept as an ablation); (3) the long-standing “PCN produces blobs on real data” failure was an inference-normalization bug, not a domain-gap dead end — after the fix, completion measurably improves bounding-box estimates (BEV IoU 0.707 → 0.747) and reconstructs 30% of never-observed car surface within 10 cm, 7× a symmetry-mirror baseline, under a newly designed and validated metric.</w:t>
      </w:r>
    </w:p>
    <w:p>
      <w:pPr>
        <w:pStyle w:val="Heading1"/>
      </w:pPr>
      <w:r>
        <w:t>1. The Pipeline</w:t>
      </w:r>
    </w:p>
    <w:p>
      <w:r>
        <w:rPr>
          <w:b w:val="0"/>
          <w:i w:val="0"/>
        </w:rPr>
        <w:t>Per frame: preprocessing (z-filter, denoise, 0.05 m voxel downsample) → RANSAC ground removal → HDBSCAN clustering → geometric filtering → binary car/not-car classifier (dual-branch PointNet) → centroid tracking with track-level filtering → PCN completion of accepted car tracks. Seq 08 is held out from all training and tuning and is the honest evaluation sequence.</w:t>
      </w:r>
    </w:p>
    <w:p>
      <w:pPr>
        <w:pStyle w:val="Heading2"/>
      </w:pPr>
      <w:r>
        <w:t>Inference time</w:t>
      </w:r>
    </w:p>
    <w:p>
      <w:r>
        <w:t>Timing was measured on an AMD Ryzen 7 7800X3D CPU and an NVIDIA RTX 3070 Ti GPU over the full held-out seq 08 (all 4,071 frames; the first 3 excluded as warm-up). The detection pipeline takes 921 ms per frame on average (≈ 1.1 frames/s against the sensor's 10 Hz). Runtime varies strongly with scene density: average cost over ~450-frame segments of the drive ranges from ≈ 770 ms to ≈ 1,040 ms, with clustering the dominant variable cost. Completion cost is incurred per object rather than per frame: ≈ 19 ms per completed car (12,322 completions measured), and 1.5 ms when the input gate rejects a cluster.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Mean ms / frame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</w:tr>
      <w:tr>
        <w:tc>
          <w:tcPr>
            <w:tcW w:type="dxa" w:w="2880"/>
          </w:tcPr>
          <w:p>
            <w:r>
              <w:t>Load + preprocessing (z-filter, denoise, voxel)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RANSAC ground removal</w:t>
            </w:r>
          </w:p>
        </w:tc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18%</w:t>
            </w:r>
          </w:p>
        </w:tc>
      </w:tr>
      <w:tr>
        <w:tc>
          <w:tcPr>
            <w:tcW w:type="dxa" w:w="2880"/>
          </w:tcPr>
          <w:p>
            <w:r>
              <w:t>HDBSCAN clustering</w:t>
            </w:r>
          </w:p>
        </w:tc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54%</w:t>
            </w:r>
          </w:p>
        </w:tc>
      </w:tr>
      <w:tr>
        <w:tc>
          <w:tcPr>
            <w:tcW w:type="dxa" w:w="2880"/>
          </w:tcPr>
          <w:p>
            <w:r>
              <w:t>Geometric filter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Classifier (≈ 43 clusters/frame, 1.7 ms each; GPU)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Centroid tracker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&lt; 0.1%</w:t>
            </w:r>
          </w:p>
        </w:tc>
      </w:tr>
      <w:tr>
        <w:tc>
          <w:tcPr>
            <w:tcW w:type="dxa" w:w="2880"/>
          </w:tcPr>
          <w:p>
            <w:r>
              <w:t>Total detection</w:t>
            </w:r>
          </w:p>
        </w:tc>
        <w:tc>
          <w:tcPr>
            <w:tcW w:type="dxa" w:w="2880"/>
          </w:tcPr>
          <w:p>
            <w:r>
              <w:t>921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PCN completion (per completed car; GPU)</w:t>
            </w:r>
          </w:p>
        </w:tc>
        <w:tc>
          <w:tcPr>
            <w:tcW w:type="dxa" w:w="2880"/>
          </w:tcPr>
          <w:p>
            <w:r>
              <w:t>+19 per car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72% of the runtime is spent in the two classical CPU stages (clustering and ground removal), while the learned components are comparatively cheap: the classifier costs 74 ms per frame and PCN completion 19 ms per car, both on GPU. These figures describe unoptimized single-threaded research Python; real-time operation is out of scope for this thesis, and the measurements characterize the method rather than an optimized implementation.</w:t>
      </w:r>
    </w:p>
    <w:p>
      <w:pPr>
        <w:pStyle w:val="Heading1"/>
      </w:pPr>
      <w:r>
        <w:t>2. Detection Results</w:t>
      </w:r>
    </w:p>
    <w:p>
      <w:pPr>
        <w:pStyle w:val="Heading2"/>
      </w:pPr>
      <w:r>
        <w:t>Test scenario and evaluation protocol</w:t>
      </w:r>
    </w:p>
    <w:p>
      <w:r>
        <w:t>All detection metrics are aggregated over entire driving sequences, covering many frames and many distinct vehicles. Two test scenarios are used:</w:t>
      </w:r>
    </w:p>
    <w:p>
      <w:pPr>
        <w:pStyle w:val="ListBullet"/>
      </w:pPr>
      <w:r>
        <w:rPr>
          <w:b/>
        </w:rPr>
        <w:t>Seq 08, full sequence (headline).</w:t>
      </w:r>
      <w:r>
        <w:t xml:space="preserve"> 4,071 frames (one frame = one full 360° LiDAR scan, ~120k points), 393 distinct cars, ≈ 34,000 evaluated car appearances. Held out from all training and tuning.</w:t>
      </w:r>
    </w:p>
    <w:p>
      <w:pPr>
        <w:pStyle w:val="ListBullet"/>
      </w:pPr>
      <w:r>
        <w:rPr>
          <w:b/>
        </w:rPr>
        <w:t>Seq 00, first 100 frames (deterministic reference; leaked, see below).</w:t>
      </w:r>
      <w:r>
        <w:t xml:space="preserve"> 41 distinct cars, ≈ 1,600 evaluated car appearances.</w:t>
      </w:r>
    </w:p>
    <w:p>
      <w:r>
        <w:t>Each frame is evaluated independently. Ground truth is every SemanticKITTI car instance with at least 10 points surviving preprocessing; the pipeline’s detections are matched one-to-one to these instances by point-level IoU (greedy, highest IoU first, match threshold 0.3). A matched pair counts as a true positive, an unmatched detection as a false positive, an unmatched ground-truth car as a false negative. Precision, recall and F1 are computed from these counts summed over the whole sequence (seq 08: TP = 23,823, FP = 2,565, FN = 10,240); Mean IoU is averaged over the matched pairs. A car visible in N frames is evaluated N times, so the table below measures per-frame detection performance across the full sequence, not per-vehicle success.</w:t>
      </w:r>
    </w:p>
    <w:p>
      <w:r>
        <w:t>The completion experiments (§5.4–§5.5) deliberately use a different unit: 39 static cars from seq 08, observed in 2,075 true-positive detections. There, per-detection measurements are first reduced to one median per car, and all statistics compare the 39 per-car values — each physical car counts exactly once, no matter how often it was seen.</w:t>
      </w:r>
    </w:p>
    <w:p>
      <w:r>
        <w:rPr>
          <w:b w:val="0"/>
          <w:i w:val="0"/>
        </w:rPr>
        <w:t>The pipeline was built up in four measured steps:</w:t>
      </w:r>
    </w:p>
    <w:p>
      <w:pPr>
        <w:pStyle w:val="ListBullet"/>
      </w:pPr>
      <w:r>
        <w:rPr>
          <w:b/>
        </w:rPr>
        <w:t xml:space="preserve">Geometric filter tuning. </w:t>
      </w:r>
      <w:r>
        <w:t>A per-cluster false-positive analysis (vegetation 38%, buildings 33%, trunks 13%) drove three threshold changes: precision 0.237 → 0.654 at −19% recall. The residual FPs are vegetation clusters that geometrically resemble cars — separable only by shape, which motivated the classifier. The shape thresholds do not limit car recall (they account for ~4% of rejections that touch a GT car; the rest are fragments of split cars, §3).</w:t>
      </w:r>
    </w:p>
    <w:p>
      <w:pPr>
        <w:pStyle w:val="ListBullet"/>
      </w:pPr>
      <w:r>
        <w:rPr>
          <w:b/>
        </w:rPr>
        <w:t xml:space="preserve">Learned classifier. </w:t>
      </w:r>
      <w:r>
        <w:t>Training on synthetic ShapeNet alone fails completely on real data (0 true positives — the first sign of the domain gap in §4). Mining 550k real clusters from SemanticKITTI with GT purity filtering and training on those lifted pipeline precision 0.654 → 0.969 at a 2-point recall cost. The task was narrowed to binary car/not-car after the 4-class version produced spurious motorcycle detections from 28 bus training samples.</w:t>
      </w:r>
    </w:p>
    <w:p>
      <w:pPr>
        <w:pStyle w:val="ListBullet"/>
      </w:pPr>
      <w:r>
        <w:rPr>
          <w:b/>
        </w:rPr>
        <w:t xml:space="preserve">Evaluation integrity. </w:t>
      </w:r>
      <w:r>
        <w:t>Seq 00 — the original headline sequence — turned out to be inside the classifier's training set. All headline evaluation moved to held-out seq 08; seq-00 numbers are kept only as a deterministic reference, marked as leaked.</w:t>
      </w:r>
    </w:p>
    <w:p>
      <w:pPr>
        <w:pStyle w:val="ListBullet"/>
      </w:pPr>
      <w:r>
        <w:rPr>
          <w:b/>
        </w:rPr>
        <w:t xml:space="preserve">Track-level filtering. </w:t>
      </w:r>
      <w:r>
        <w:t>A minimum-track-length + majority-vote filter cuts transient FPs and — unexpectedly — recovers detections that flicker between “car” and “unknown” across frames. Full-sequence F1 0.762 → 0.801.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752"/>
          </w:tcPr>
          <w:p>
            <w:r/>
            <w:r>
              <w:rPr>
                <w:b/>
                <w:sz w:val="20"/>
              </w:rPr>
              <w:t>Evaluation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20"/>
              </w:rPr>
              <w:t>Recall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Mean IoU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 w:val="0"/>
                <w:sz w:val="20"/>
              </w:rPr>
              <w:t>Seq 00, 100 frames (leaked; reference)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20"/>
              </w:rPr>
              <w:t>0.984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20"/>
              </w:rPr>
              <w:t>0.761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0.859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0.942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sz w:val="20"/>
              </w:rPr>
              <w:t>Seq 08, full 4,071 frames (held-out)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20"/>
              </w:rPr>
              <w:t>0.903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20"/>
              </w:rPr>
              <w:t>0.699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0.788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0.895</w:t>
            </w:r>
          </w:p>
        </w:tc>
      </w:tr>
    </w:tbl>
    <w:p/>
    <w:p>
      <w:r>
        <w:rPr>
          <w:b w:val="0"/>
          <w:i w:val="0"/>
        </w:rPr>
        <w:t>The system is precision-saturated (~1 FP/frame) and recall-limited. The classifier threshold is not a lever on recall: cars are lost at clustering before the classifier ever sees them (lowering the threshold to 0.30 yields no recall gain), so the F1-optimal operating point is also the recall-maximal 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20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8_bev_det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Bird's-eye-view detections on held-out seq 08.</w:t>
      </w:r>
    </w:p>
    <w:p>
      <w:pPr>
        <w:pStyle w:val="Heading1"/>
      </w:pPr>
      <w:r>
        <w:t>3. The Recall Ceiling</w:t>
      </w:r>
    </w:p>
    <w:p>
      <w:r>
        <w:rPr>
          <w:b w:val="0"/>
          <w:i w:val="0"/>
        </w:rPr>
        <w:t>Recall plateaus near 0.74 in every configuration, and we now know exactly why: 31–37% of GT cars are split across multiple HDBSCAN clusters (66% split rate at close range — large cars have internal density gaps), and the sub-fragments then fail the volume/point-count filters. The recoverable ceiling from cleanly-clustered cars is 63–68% — matching actual recall, i.e. the pipeline already finds essentially every car that clusters cleanly. Five mitigation strategies were implemented and all were negative on held-out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BEV connected-component clustering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F1 0.779 vs 0.844 — 2D projection merges overlapping objects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Larger min_cluster_size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Wins on seq 00, loses on seq 08 — overfits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Post-clustering fragment merge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Absorbs walls/poles; net negative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Distance-adaptive HDBSCAN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Ring-boundary artifacts; worse than global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Temporal point accumulation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20"/>
              </w:rPr>
              <w:t>F1 collapses to 0.073</w:t>
            </w:r>
          </w:p>
        </w:tc>
      </w:tr>
    </w:tbl>
    <w:p/>
    <w:p>
      <w:r>
        <w:rPr>
          <w:b w:val="0"/>
          <w:i w:val="0"/>
        </w:rPr>
        <w:t>Framing for the thesis: this is a structural property of density-based clustering — it makes local decisions with no notion of objectness, so split fragments can never be re-assembled. The pipeline is not recall-competitive with end-to-end detectors; its value is that it needs no 3D box labels (semantic labels only), and it quantifies exactly where learning must take over — which is where the classifier (§2) and completion (§5) enter.</w:t>
      </w:r>
    </w:p>
    <w:p>
      <w:pPr>
        <w:pStyle w:val="Heading1"/>
      </w:pPr>
      <w:r>
        <w:t>4. Sim-to-Real: Dropping Synthetic Pretraining</w:t>
      </w:r>
    </w:p>
    <w:p>
      <w:r>
        <w:rPr>
          <w:b w:val="0"/>
          <w:i w:val="0"/>
        </w:rPr>
        <w:t>Two studies answered the “too-perfect synthetic data” concern. A controlled ablation (retrain from random init) showed the ShapeNet prior contributes nothing once 420k real clusters are available (macro F1 0.9285 scratch vs 0.9225 pretrained). The cross-domain matrix shows why — zero transfer in either direction, and fine-tuning completely forgets the synthetic domain: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Train ↓ / Test →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Synthetic val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Real val (seq 08)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Synthetic only (Stage A)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0.999 (0.999)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0.447 (0.000)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Real only (from scratch)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0.304 (0.000)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0.929 (0.885)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Synthetic → real fine-tuned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0.318 (0.000)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0.923 (0.875)</w:t>
            </w:r>
          </w:p>
        </w:tc>
      </w:tr>
    </w:tbl>
    <w:p/>
    <w:p>
      <w:r>
        <w:rPr>
          <w:b w:val="0"/>
          <w:i/>
          <w:sz w:val="18"/>
        </w:rPr>
        <w:t>Cell format: macro F1 (car F1). Note the synthetic-only model scores 0.807 accuracy on real data while finding zero cars — why we report macro F1 and confusion matrices, not accuracy.</w:t>
      </w:r>
    </w:p>
    <w:p>
      <w:r>
        <w:rPr>
          <w:b w:val="0"/>
          <w:i w:val="0"/>
        </w:rPr>
        <w:t>After a full-scale re-check (scratch is neutral-to-better: seq 00 F1 0.844 → 0.859, seq 08 identical), the production classifier now trains on real data only. Stage A is kept as the thesis sim-to-real ablation. Synthetic data was only dropped for classification, where real labels are abundant — for completion (§5), where no real ground truth exists, it remains the training data and works once the right partiality pattern is simulated.</w:t>
      </w:r>
    </w:p>
    <w:p>
      <w:pPr>
        <w:pStyle w:val="Heading1"/>
      </w:pPr>
      <w:r>
        <w:t>5. Point-Cloud Completion</w:t>
      </w:r>
    </w:p>
    <w:p>
      <w:pPr>
        <w:pStyle w:val="Heading2"/>
      </w:pPr>
      <w:r>
        <w:t>5.1 The “blob” failure, solved</w:t>
      </w:r>
    </w:p>
    <w:p>
      <w:r>
        <w:rPr>
          <w:b w:val="0"/>
          <w:i w:val="0"/>
        </w:rPr>
        <w:t>PCN trained on ShapeNet produced shapeless blobs on every real cluster, and three domain-adaptation attempts (noise augmentation, virtual Velodyne ray-casting, sparse-input training) failed — each modelled one mismatch axis (noise, scan geometry, density) but not the real one: the occlusion/partiality pattern. Two fixes resolved it. First, a KITTI-like single-view partial generator (matching real pipeline output) trains a PCN that completes cleanly in-distribution (Chamfer 0.16 m). Second — the actual headline — the blobs were largely an inference bug: the inference path applied PCA alignment and centroid/scale normalization never seen in training, degrading every checkpoint ~3.5×. With the corrected path, real clusters complete into car-shaped clouds. A by-product finding: accumulated-LiDAR pseudo-ground-truth is invalid for evaluating completion (it is itself one-sided, so Chamfer rewards under-completion) — which forced the new metric in §5.5.</w:t>
      </w:r>
    </w:p>
    <w:p>
      <w:pPr>
        <w:pStyle w:val="Heading2"/>
      </w:pPr>
      <w:r>
        <w:t>5.2 Two supporting results</w:t>
      </w:r>
    </w:p>
    <w:p>
      <w:pPr>
        <w:pStyle w:val="ListBullet"/>
      </w:pPr>
      <w:r>
        <w:rPr>
          <w:b/>
        </w:rPr>
        <w:t xml:space="preserve">Input gate. </w:t>
      </w:r>
      <w:r>
        <w:t>Bad completions trace back to bad inputs — fragments and merged clusters leaked by clustering (§3). An L-shape-fit gate rejecting them raises plausible-car completion precision 38% → 69%. Cost: completion is attempted on ~64% of detected cars; gated tracks keep their raw points, so detection metrics are unaffected. The gated subset is not just easy cases — completion's largest gains are on the sparsest inputs (§5.4).</w:t>
      </w:r>
    </w:p>
    <w:p>
      <w:pPr>
        <w:pStyle w:val="ListBullet"/>
      </w:pPr>
      <w:r>
        <w:rPr>
          <w:b/>
        </w:rPr>
        <w:t xml:space="preserve">Architecture check. </w:t>
      </w:r>
      <w:r>
        <w:t>A transformer completer (PoinTr) trained on identical data has a small synthetic edge (~5% Chamfer) but is equivalent on real data (16/26 vs 18/26 plausible). Decoder capacity is not the bottleneck — inference geometry and the partiality gap are. PCN stays in production.</w:t>
      </w:r>
    </w:p>
    <w:p>
      <w:pPr>
        <w:pStyle w:val="Heading2"/>
      </w:pPr>
      <w:r>
        <w:t>5.3 Completion evaluation metrics</w:t>
      </w:r>
    </w:p>
    <w:p>
      <w:r>
        <w:t>Completion quality is assessed with two complementary real-data metrics; each covers the other's blind spot, and a successful completion must score well on both. Coverage (§5.5) is the primary completion-quality metric: it measures whether the network reconstructs surface it never observed. BEV IoU (§5.4) is the downstream-utility metric: it measures whether the completed cloud serves the pipeline's target task — bounding-box estimation — better than the raw partial does. IoU alone could improve for shallow reasons without genuine new geometry; Coverage alone could be inflated by scattering points indiscriminately, which the out-of-box companion metric penalizes. The metrics are defined as follows:</w:t>
      </w:r>
    </w:p>
    <w:p>
      <w:pPr>
        <w:pStyle w:val="ListBullet"/>
      </w:pPr>
      <w:r>
        <w:rPr>
          <w:b/>
        </w:rPr>
        <w:t>Coverage@0.1 m (§5.5).</w:t>
      </w:r>
      <w:r>
        <w:t xml:space="preserve"> For a static car, complete from a single frame's points. Donor points are observations of the same car from other frames; keep only the novel ones — at least 0.15 m from every input point, i.e. surface the input frame could not see. Coverage@0.1 m is the fraction of those novel points that have a predicted point within 10 cm. The raw input scores exactly 0 by construction, and the symmetry-mirror baseline (0.043) sets the bar that any real completion must beat. Companions: median novel-dist (median distance from novel surface to the nearest predicted point, in metres — same question, threshold-free) and the out-of-box rate (fraction of predicted points outside the amodal GT box — the hallucination guard).</w:t>
      </w:r>
    </w:p>
    <w:p>
      <w:pPr>
        <w:pStyle w:val="ListBullet"/>
      </w:pPr>
      <w:r>
        <w:rPr>
          <w:b/>
        </w:rPr>
        <w:t>BEV IoU (§5.4).</w:t>
      </w:r>
      <w:r>
        <w:t xml:space="preserve"> Fit an oriented bounding box with the same fitter to the raw partial and to its completion, project both onto the ground plane, and compute the footprint's intersection-over-union with the amodal ground-truth box (the box of the whole car, accumulated across frames — not just the visible part). The companion errors |ΔL|, |ΔW|, |ΔH|, centre and yaw localize where the box improves.</w:t>
      </w:r>
    </w:p>
    <w:p>
      <w:pPr>
        <w:pStyle w:val="ListBullet"/>
      </w:pPr>
      <w:r>
        <w:rPr>
          <w:b/>
        </w:rPr>
        <w:t>Aggregation (both tables).</w:t>
      </w:r>
      <w:r>
        <w:t xml:space="preserve"> Per-detection values are reduced to one median per car, and raw vs. completed are compared as pairs over the n = 39 cars (Wilcoxon signed-rank) — each physical car counts once.</w:t>
      </w:r>
    </w:p>
    <w:p>
      <w:pPr>
        <w:pStyle w:val="ListBullet"/>
      </w:pPr>
      <w:r>
        <w:rPr>
          <w:b/>
        </w:rPr>
        <w:t>Chamfer distance (§5.1, synthetic only).</w:t>
      </w:r>
      <w:r>
        <w:t xml:space="preserve"> Mean nearest-neighbour distance between predicted and ground-truth clouds. It needs a complete ground truth, so it is only valid on synthetic data; its accumulated-LiDAR pseudo-GT variant on real data is invalid (§5.1) — that is exactly the gap Coverage was designed to fill.</w:t>
      </w:r>
    </w:p>
    <w:p>
      <w:pPr>
        <w:pStyle w:val="Heading2"/>
      </w:pPr>
      <w:r>
        <w:t>5.4 Completion improves the bounding box</w:t>
      </w:r>
    </w:p>
    <w:p>
      <w:r>
        <w:rPr>
          <w:b w:val="0"/>
          <w:i w:val="0"/>
        </w:rPr>
        <w:t>Reference: amodal GT boxes accumulated from 40 well-observed static cars (with viewpoint-coverage and motion guards; dimensions match published car statistics). For 2,075 true-positive detections of these cars, boxes were fitted to the raw partial and to its completion with the same fitter. Per-car medians, Wilcoxon tests, n = 39: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Raw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Completed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BEV IoU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0.707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0.747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0.0019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|ΔW| (m)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0.270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0.170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0.00015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|ΔH| (m)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0.255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0.131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1.6e-10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Center error XZ (m)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0.286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0.234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2.8e-05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better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|ΔL| (m)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0.447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0.456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0.65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neutral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Yaw error (deg)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neutral</w:t>
            </w:r>
          </w:p>
        </w:tc>
      </w:tr>
    </w:tbl>
    <w:p/>
    <w:p>
      <w:r>
        <w:rPr>
          <w:b w:val="0"/>
          <w:i w:val="0"/>
        </w:rPr>
        <w:t>Completion helps most where the sensor saw least (BEV IoU on &lt; 100-point inputs: 0.461 → 0.599). The one weak spot is length: the network does not extend the unobserved far end (signed ΔL −0.49 raw vs −0.55 completed; conservative bias, never too long). That is the current work item — plan in §6.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_box_overlays_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Amodal GT box (black) vs raw-partial box (blue) vs completed box (green).</w:t>
      </w:r>
    </w:p>
    <w:p>
      <w:pPr>
        <w:pStyle w:val="Heading2"/>
      </w:pPr>
      <w:r>
        <w:t>5.5 A valid real-data completion metric</w:t>
      </w:r>
    </w:p>
    <w:p>
      <w:r>
        <w:rPr>
          <w:b w:val="0"/>
          <w:i w:val="0"/>
        </w:rPr>
        <w:t>Since pseudo-GT Chamfer is invalid (§5.1), a new metric was designed: complete a static car from one frame, then score coverage of donor points — observations of the same car from other frames — that lie ≥ 0.15 m from every input point, i.e. surface the input frame never saw. Baselines: the raw partial and a symmetry-mirrored partial. An out-of-GT-box guard catches hallucination. Same statistical design as §5.4: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Coverage@0.1 m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Median novel-dist (m)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Out-of-box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Raw partial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0.000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0.518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0.000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Mirrored partial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0.043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0.332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0.008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PCN completed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0.304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0.161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0.000</w:t>
            </w:r>
          </w:p>
        </w:tc>
      </w:tr>
    </w:tbl>
    <w:p/>
    <w:p>
      <w:r>
        <w:rPr>
          <w:b w:val="0"/>
          <w:i w:val="0"/>
        </w:rPr>
        <w:t>All pairwise p &lt; 1e-6; the metric passed its four pre-registered validation checks. This is the first real-data evidence that the network reconstructs genuinely unseen structure — 30% of never-observed surface within 10 cm, 7× the mirror baseline, with essentially zero hallucination — and it makes the far-end weakness directly measurable (coverage there: 0.133).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or_metric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Donor-frame metric: input partial, never-observed donor points, and method outputs.</w:t>
      </w:r>
    </w:p>
    <w:p>
      <w:pPr>
        <w:pStyle w:val="Heading1"/>
      </w:pPr>
      <w:r>
        <w:t>6. Next Steps</w:t>
      </w:r>
    </w:p>
    <w:p>
      <w:pPr>
        <w:pStyle w:val="ListBullet"/>
      </w:pPr>
      <w:r>
        <w:rPr>
          <w:b/>
        </w:rPr>
        <w:t xml:space="preserve">Fix the far-end undershoot (active). </w:t>
      </w:r>
      <w:r>
        <w:t>Ordered by evidence: (1) inference geometry, no retraining — anchor the box at the observed L-shape corner and place the center longitudinally with a car-length prior (the current estimate corrects laterally but not longitudinally); (2) if needed, retrain with a visibility-weighted asymmetric Chamfer loss that makes omitting occluded structure cost more than conservative truncation; (3) contingency: fine-tuning on real partials, now measurable with the donor metric. Architecture changes are ruled out by the PoinTr result. Success criteria: far-end coverage (0.133) and signed ΔL (−0.545 m).</w:t>
      </w:r>
    </w:p>
    <w:p>
      <w:pPr>
        <w:pStyle w:val="ListBullet"/>
      </w:pPr>
      <w:r>
        <w:rPr>
          <w:b/>
        </w:rPr>
        <w:t xml:space="preserve">Amodal GT validity. </w:t>
      </w:r>
      <w:r>
        <w:t>Cross-validation against official KITTI tracklets is impossible — the raw drive behind seq 08 was never tracklet-annotated (verified on the KITTI download server); that absence is why the pseudo-GT was built. Validity rests on the paired design (both arms share the reference), construction guards, and the dimension sanity check.</w:t>
      </w:r>
    </w:p>
    <w:p>
      <w:pPr>
        <w:pStyle w:val="ListBullet"/>
      </w:pPr>
      <w:r>
        <w:rPr>
          <w:b/>
        </w:rPr>
        <w:t xml:space="preserve">Thesis writing. </w:t>
      </w:r>
      <w:r>
        <w:t>Pipeline, recall-ceiling, sim-to-real, and completion chapters; pipeline diagram.</w:t>
      </w:r>
    </w:p>
    <w:p>
      <w:pPr>
        <w:pStyle w:val="Heading1"/>
      </w:pPr>
      <w:r>
        <w:t>Appendix — Where to Find the Details</w:t>
      </w:r>
    </w:p>
    <w:p>
      <w:r>
        <w:rPr>
          <w:b w:val="0"/>
          <w:i w:val="0"/>
          <w:sz w:val="20"/>
        </w:rPr>
        <w:t>Every result above is backed by a numbered finding in the repository (docs/findings.md) with hypothesis, commands, and full tables. Mapping: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b/>
                <w:sz w:val="20"/>
              </w:rPr>
              <w:t>Report section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Findings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§2 Detection pipeline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#2, #4–#14, #18, #20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§3 Recall ceiling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#21–#24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§4 Sim-to-real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#25, #30, #31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§5.1 Blob failure → fix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#15–#19, #26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§5.2 Gate; PoinTr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#27, #28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§5.4 Box improvement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#29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§5.5 Donor metric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#32</w:t>
            </w:r>
          </w:p>
        </w:tc>
      </w:tr>
    </w:tbl>
    <w:p/>
    <w:p>
      <w:r>
        <w:rPr>
          <w:b w:val="0"/>
          <w:i/>
          <w:sz w:val="18"/>
        </w:rPr>
        <w:t>A longer companion document (results_report_2026_07_17_rev2.docx) contains the extended justifications: operating-point analysis, filter validity across vehicle sizes, gate cost accounting, and the full far-end remediation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