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LiDAR Point-Cloud Segmentation and Completion</w:t>
      </w:r>
    </w:p>
    <w:p>
      <w:pPr>
        <w:jc w:val="center"/>
      </w:pPr>
      <w:r>
        <w:rPr>
          <w:b w:val="0"/>
          <w:i w:val="0"/>
          <w:sz w:val="28"/>
        </w:rPr>
        <w:t>Results Overview</w:t>
      </w:r>
    </w:p>
    <w:p>
      <w:pPr>
        <w:jc w:val="center"/>
      </w:pPr>
      <w:r>
        <w:t>Ngo Vi Viet Anh — Master's Thesis · Results through July 23, 2026</w:t>
      </w:r>
    </w:p>
    <w:p/>
    <w:p>
      <w:pPr>
        <w:pStyle w:val="Heading1"/>
      </w:pPr>
      <w:r>
        <w:t>Summary</w:t>
      </w:r>
    </w:p>
    <w:p>
      <w:r>
        <w:t>The project has a complete car-detection pipeline on SemanticKITTI (held-out full-sequence F1 0.81, precision 0.90) and, on top of it, a point-cloud completion system with the first quantitative real-data evidence that completion adds value. Three questions were carried to a definitive answer: (1) recall (~0.73) is capped by HDBSCAN splitting cars into fragments — five post-hoc repair strategies all failed, but coarsening the clustering resolution (now in production) recovers a meaningful share of the loss, lifting recall 0.70 → 0.73, so the ceiling we first reported as hard was partly a resolution artifact; (2) the sim-to-real gap for the classifier is total and symmetric, so synthetic pretraining was dropped from production (kept as an ablation); (3) the long-standing “PCN produces blobs on real data” failure was an inference-normalization bug, not a domain-gap dead end — after the fix, completion measurably improves bounding-box estimates (BEV IoU 0.718 → 0.739) and reconstructs 30% of never-observed car surface within 10 cm, 6× a symmetry-mirror baseline, under a newly designed and validated metric.</w:t>
      </w:r>
    </w:p>
    <w:p>
      <w:pPr>
        <w:pStyle w:val="Heading1"/>
      </w:pPr>
      <w:r>
        <w:t>1. The Pipeline</w:t>
      </w:r>
    </w:p>
    <w:p>
      <w:r>
        <w:rPr>
          <w:b w:val="0"/>
          <w:i w:val="0"/>
        </w:rPr>
        <w:t>Per frame: preprocessing (z-filter, denoise, 0.05 m voxel downsample) → RANSAC ground removal → HDBSCAN clustering → geometric filtering → binary car/not-car classifier (dual-branch PointNet) → centroid tracking with track-level filtering → PCN completion of accepted car tracks. Seq 08 is held out from all training and tuning and is the honest evaluation sequence.</w:t>
      </w:r>
    </w:p>
    <w:p>
      <w:pPr>
        <w:pStyle w:val="Heading2"/>
      </w:pPr>
      <w:r>
        <w:t>Inference time</w:t>
      </w:r>
    </w:p>
    <w:p>
      <w:r>
        <w:t>Timing was measured on an AMD Ryzen 7 7800X3D CPU and an NVIDIA RTX 3070 Ti GPU over the full held-out seq 08 (all 4,071 frames; the first 3 excluded as warm-up). As first measured, the detection pipeline took 921 ms per frame (≈ 1.1 frames/s against the sensor's 10 Hz), dominated by two classical CPU stages — HDBSCAN clustering and RANSAC ground removal. A targeted optimization pass — batching the per-cluster classifier calls into one GPU forward pass, parallelising HDBSCAN's core-distance computation, cutting RANSAC iterations 1,000 → 300, and clustering on a 0.10 m re-voxelisation of the object cloud — brought this down to 623 ms per frame (≈ 1.60 frames/s), a 32% reduction. Detection quality was not traded for speed: on the full sequence it improved slightly (F1 0.788 → 0.808, recall 0.699 → 0.730), because the coarser clustering also repairs some of the car-splitting that limits recall (§3). The detection and completion results in §2–§5 reflect this optimized operating point. Runtime still varies with scene density: averaged over ~450-frame segments of the drive it ranges from ≈ 592 to ≈ 697 ms, with clustering the dominant variable cost. Completion cost is incurred per object rather than per frame: ≈ 13 ms per completed car (13,909 completions measured), and ≈ 1.6 ms when the input gate rejects a cluster.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Before (ms/frame)</w:t>
            </w:r>
          </w:p>
        </w:tc>
        <w:tc>
          <w:tcPr>
            <w:tcW w:type="dxa" w:w="2160"/>
          </w:tcPr>
          <w:p>
            <w:r>
              <w:t>After (ms/frame)</w:t>
            </w:r>
          </w:p>
        </w:tc>
        <w:tc>
          <w:tcPr>
            <w:tcW w:type="dxa" w:w="2160"/>
          </w:tcPr>
          <w:p>
            <w:r>
              <w:t>Share (after)</w:t>
            </w:r>
          </w:p>
        </w:tc>
      </w:tr>
      <w:tr>
        <w:tc>
          <w:tcPr>
            <w:tcW w:type="dxa" w:w="2160"/>
          </w:tcPr>
          <w:p>
            <w:r>
              <w:t>Load + preprocessing (z-filter, denoise, voxel)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RANSAC ground removal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HDBSCAN clustering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59%</w:t>
            </w:r>
          </w:p>
        </w:tc>
      </w:tr>
      <w:tr>
        <w:tc>
          <w:tcPr>
            <w:tcW w:type="dxa" w:w="2160"/>
          </w:tcPr>
          <w:p>
            <w:r>
              <w:t>Geometric filter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Classifier (≈ 45 clusters/frame; GPU)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Centroid tracker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&lt; 0.1%</w:t>
            </w:r>
          </w:p>
        </w:tc>
      </w:tr>
      <w:tr>
        <w:tc>
          <w:tcPr>
            <w:tcW w:type="dxa" w:w="2160"/>
          </w:tcPr>
          <w:p>
            <w:r>
              <w:t>Total detection</w:t>
            </w:r>
          </w:p>
        </w:tc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PCN completion (per completed car; GPU)</w:t>
            </w:r>
          </w:p>
        </w:tc>
        <w:tc>
          <w:tcPr>
            <w:tcW w:type="dxa" w:w="2160"/>
          </w:tcPr>
          <w:p>
            <w:r>
              <w:t>+19 per car</w:t>
            </w:r>
          </w:p>
        </w:tc>
        <w:tc>
          <w:tcPr>
            <w:tcW w:type="dxa" w:w="2160"/>
          </w:tcPr>
          <w:p>
            <w:r>
              <w:t>+13 per car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After optimization, HDBSCAN clustering and RANSAC ground removal are still the two dominant costs (68% of the per-frame total together), while the learned components stay cheap: the classifier costs 34 ms per frame and PCN completion 13 ms per car, both on GPU. The remaining distance to real-time is a property of the method on this data, not of the implementation. The post-ground object cloud is already sparse — re-voxelising it from 0.05 m to 0.10 m removes only ~18% of its points — and Python's HDBSCAN retains a ~185 ms floor here in the mutual-reachability MST that the parallel core-distance step cannot touch. Falling below ~400 ms would require GPU clustering (cuML) or a C++ DBSCAN; both are deferred, as real-time operation is out of scope for this thesis. These figures characterise the method rather than a production implementation.</w:t>
      </w:r>
    </w:p>
    <w:p>
      <w:pPr>
        <w:pStyle w:val="Heading1"/>
      </w:pPr>
      <w:r>
        <w:t>2. Detection Results</w:t>
      </w:r>
    </w:p>
    <w:p>
      <w:pPr>
        <w:pStyle w:val="Heading2"/>
      </w:pPr>
      <w:r>
        <w:t>Test scenario and evaluation protocol</w:t>
      </w:r>
    </w:p>
    <w:p>
      <w:r>
        <w:t>All detection metrics are aggregated over entire driving sequences, covering many frames and many distinct vehicles. Two test scenarios are used:</w:t>
      </w:r>
    </w:p>
    <w:p>
      <w:pPr>
        <w:pStyle w:val="ListBullet"/>
      </w:pPr>
      <w:r>
        <w:rPr>
          <w:b/>
        </w:rPr>
        <w:t>Seq 08, full sequence (headline).</w:t>
      </w:r>
      <w:r>
        <w:t xml:space="preserve"> 4,071 frames (one frame = one full 360° LiDAR scan, ~120k points), 393 distinct cars, ≈ 34,000 evaluated car appearances. Held out from all training and tuning.</w:t>
      </w:r>
    </w:p>
    <w:p>
      <w:pPr>
        <w:pStyle w:val="ListBullet"/>
      </w:pPr>
      <w:r>
        <w:rPr>
          <w:b/>
        </w:rPr>
        <w:t>Seq 00, first 100 frames (deterministic reference; leaked, see below).</w:t>
      </w:r>
      <w:r>
        <w:t xml:space="preserve"> 41 distinct cars, ≈ 1,600 evaluated car appearances.</w:t>
      </w:r>
    </w:p>
    <w:p>
      <w:r>
        <w:t>Each frame is evaluated independently. Ground truth is every SemanticKITTI car instance with at least 10 points surviving preprocessing; the pipeline’s detections are matched one-to-one to these instances by point-level IoU (greedy, highest IoU first, match threshold 0.3). A matched pair counts as a true positive, an unmatched detection as a false positive, an unmatched ground-truth car as a false negative. Precision, recall and F1 are computed from these counts summed over the whole sequence (seq 08: TP = 25,478, FP = 2,676, FN = 9,444); Mean IoU is averaged over the matched pairs. A car visible in N frames is evaluated N times, so the table below measures per-frame detection performance across the full sequence, not per-vehicle success.</w:t>
      </w:r>
    </w:p>
    <w:p>
      <w:r>
        <w:t>The completion experiments (§5.4–§5.5) deliberately use a different unit: 40 static cars from seq 08, observed in 2,262 true-positive detections. There, per-detection measurements are first reduced to one median per car, and all statistics compare the 40 per-car values — each physical car counts exactly once, no matter how often it was seen.</w:t>
      </w:r>
    </w:p>
    <w:p>
      <w:r>
        <w:rPr>
          <w:b w:val="0"/>
          <w:i w:val="0"/>
        </w:rPr>
        <w:t>The pipeline was built up in four measured steps:</w:t>
      </w:r>
    </w:p>
    <w:p>
      <w:pPr>
        <w:pStyle w:val="ListBullet"/>
      </w:pPr>
      <w:r>
        <w:rPr>
          <w:b/>
        </w:rPr>
        <w:t xml:space="preserve">Geometric filter tuning. </w:t>
      </w:r>
      <w:r>
        <w:t>A per-cluster false-positive analysis (vegetation 38%, buildings 33%, trunks 13%) drove three threshold changes: precision 0.237 → 0.654 at −19% recall. The residual FPs are vegetation clusters that geometrically resemble cars — separable only by shape, which motivated the classifier. The shape thresholds do not limit car recall (they account for ~4% of rejections that touch a GT car; the rest are fragments of split cars, §3).</w:t>
      </w:r>
    </w:p>
    <w:p>
      <w:pPr>
        <w:pStyle w:val="ListBullet"/>
      </w:pPr>
      <w:r>
        <w:rPr>
          <w:b/>
        </w:rPr>
        <w:t xml:space="preserve">Learned classifier. </w:t>
      </w:r>
      <w:r>
        <w:t>Training on synthetic ShapeNet alone fails completely on real data (0 true positives — the first sign of the domain gap in §4). Mining 550k real clusters from SemanticKITTI with GT purity filtering and training on those lifted pipeline precision 0.654 → 0.969 at a 2-point recall cost. The task was narrowed to binary car/not-car after the 4-class version produced spurious motorcycle detections from 28 bus training samples.</w:t>
      </w:r>
    </w:p>
    <w:p>
      <w:pPr>
        <w:pStyle w:val="ListBullet"/>
      </w:pPr>
      <w:r>
        <w:rPr>
          <w:b/>
        </w:rPr>
        <w:t xml:space="preserve">Evaluation integrity. </w:t>
      </w:r>
      <w:r>
        <w:t>Seq 00 — the original headline sequence — turned out to be inside the classifier's training set. All headline evaluation moved to held-out seq 08; seq-00 numbers are kept only as a deterministic reference, marked as leaked.</w:t>
      </w:r>
    </w:p>
    <w:p>
      <w:pPr>
        <w:pStyle w:val="ListBullet"/>
      </w:pPr>
      <w:r>
        <w:rPr>
          <w:b/>
        </w:rPr>
        <w:t xml:space="preserve">Track-level filtering. </w:t>
      </w:r>
      <w:r>
        <w:t>A minimum-track-length + majority-vote filter cuts transient FPs and — unexpectedly — recovers detections that flicker between “car” and “unknown” across frames. Full-sequence F1 0.762 → 0.801. (This ablation was measured at the pre-optimization operating point; it isolates the filter’s contribution — the current endpoint is 0.808 in §2.)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752"/>
          </w:tcPr>
          <w:p>
            <w:r/>
            <w:r>
              <w:rPr>
                <w:b/>
                <w:sz w:val="20"/>
              </w:rPr>
              <w:t>Evaluation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Mean IoU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sz w:val="20"/>
              </w:rPr>
              <w:t>Seq 00, 100 frames (leaked; reference)</w:t>
            </w:r>
          </w:p>
        </w:tc>
        <w:tc>
          <w:tcPr>
            <w:tcW w:type="dxa" w:w="1368"/>
          </w:tcPr>
          <w:p>
            <w:r>
              <w:t>0.967</w:t>
            </w:r>
          </w:p>
        </w:tc>
        <w:tc>
          <w:tcPr>
            <w:tcW w:type="dxa" w:w="1224"/>
          </w:tcPr>
          <w:p>
            <w:r>
              <w:t>0.777</w:t>
            </w:r>
          </w:p>
        </w:tc>
        <w:tc>
          <w:tcPr>
            <w:tcW w:type="dxa" w:w="1080"/>
          </w:tcPr>
          <w:p>
            <w:r>
              <w:t>0.862</w:t>
            </w:r>
          </w:p>
        </w:tc>
        <w:tc>
          <w:tcPr>
            <w:tcW w:type="dxa" w:w="1440"/>
          </w:tcPr>
          <w:p>
            <w:r>
              <w:t>0.962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sz w:val="20"/>
              </w:rPr>
              <w:t>Seq 08, full 4,071 frames (held-out)</w:t>
            </w:r>
          </w:p>
        </w:tc>
        <w:tc>
          <w:tcPr>
            <w:tcW w:type="dxa" w:w="1368"/>
          </w:tcPr>
          <w:p>
            <w:r>
              <w:t>0.905</w:t>
            </w:r>
          </w:p>
        </w:tc>
        <w:tc>
          <w:tcPr>
            <w:tcW w:type="dxa" w:w="1224"/>
          </w:tcPr>
          <w:p>
            <w:r>
              <w:t>0.730</w:t>
            </w:r>
          </w:p>
        </w:tc>
        <w:tc>
          <w:tcPr>
            <w:tcW w:type="dxa" w:w="1080"/>
          </w:tcPr>
          <w:p>
            <w:r>
              <w:t>0.808</w:t>
            </w:r>
          </w:p>
        </w:tc>
        <w:tc>
          <w:tcPr>
            <w:tcW w:type="dxa" w:w="1440"/>
          </w:tcPr>
          <w:p>
            <w:r>
              <w:t>0.912</w:t>
            </w:r>
          </w:p>
        </w:tc>
      </w:tr>
    </w:tbl>
    <w:p/>
    <w:p>
      <w:r>
        <w:rPr>
          <w:b w:val="0"/>
          <w:i w:val="0"/>
        </w:rPr>
        <w:t>The system is precision-saturated (~1 FP/frame) and recall-limited. The classifier threshold is not a lever on recall: cars are lost at clustering before the classifier ever sees them (lowering the threshold to 0.30 yields no recall gain), so the F1-optimal operating point is also the recall-maximal 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20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8_bev_det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Bird's-eye-view detections on held-out seq 08.</w:t>
      </w:r>
    </w:p>
    <w:p>
      <w:pPr>
        <w:pStyle w:val="Heading1"/>
      </w:pPr>
      <w:r>
        <w:t>3. The Recall Ceiling</w:t>
      </w:r>
    </w:p>
    <w:p>
      <w:r>
        <w:t>Recall is limited by clustering, not by the classifier: cars are lost when HDBSCAN splits them into fragments that then fail the volume/point-count filters (lowering the classifier threshold recovers nothing, §2). At the original 0.05 m resolution this splits 31–37% of GT cars — 66% at close range, where large cars have internal density gaps — and held-out recall sat at 0.70. The split rate is essentially the whole story: the fraction of cars that cluster into a single filter-passing piece (~62%) tracks actual recall, so the pipeline already finds almost every car that clusters cleanly. Two kinds of fix were tried. Five post-hoc strategies — reassembling or re-clustering fragments after they form — were all negative on held-out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BEV connected-component clustering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F1 0.779 vs 0.844 — 2D projection merges overlapping objects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Larger min_cluster_size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Wins on seq 00, loses on seq 08 — overfits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Post-clustering fragment merge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Absorbs walls/poles; net negative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Distance-adaptive HDBSCAN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Ring-boundary artifacts; worse than global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Temporal point accumulation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F1 collapses to 0.073</w:t>
            </w:r>
          </w:p>
        </w:tc>
      </w:tr>
    </w:tbl>
    <w:p>
      <w:pPr/>
      <w:r>
        <w:t>What did work was changing the clustering resolution itself. Coarsening the object cloud to a 0.10 m voxel grid before HDBSCAN (adopted for speed in the runtime optimization, §1) prevents many splits from forming in the first place: on seq 08 the split rate drops 37.7% → 29.9% with zero new merges, the cleanly-clustered fraction rises 62% → 70%, and full-sequence recall improves 0.699 → 0.730 (+1,655 true positives, precision essentially unchanged). This is now the production default and the operating point reported in §2. The earlier “~0.74 hard ceiling” was therefore overstated — a meaningful share of the loss was a resolution artifact, and coarsening recovered it.</w:t>
      </w:r>
    </w:p>
    <w:p/>
    <w:p>
      <w:r>
        <w:t>A structural limit remains, but it is smaller than first claimed. Density-based clustering makes local decisions with no notion of objectness, so the fragments it still produces cannot be reassembled downstream, and coarsening further would begin merging adjacent cars — recall cannot be pushed to an end-to-end detector’s level this way. That residual gap is the honest framing for the thesis: the approach needs no 3D box labels (semantic labels only), it recovers what clustering resolution allows, and it pinpoints exactly where a learned object prior must take over — which is where the classifier (§2) and completion (§5) enter.</w:t>
      </w:r>
    </w:p>
    <w:p>
      <w:pPr>
        <w:pStyle w:val="Heading1"/>
      </w:pPr>
      <w:r>
        <w:t>4. Sim-to-Real: Dropping Synthetic Pretraining</w:t>
      </w:r>
    </w:p>
    <w:p>
      <w:r>
        <w:rPr>
          <w:b w:val="0"/>
          <w:i w:val="0"/>
        </w:rPr>
        <w:t>Two studies answered the “too-perfect synthetic data” concern. A controlled ablation (retrain from random init) showed the ShapeNet prior contributes nothing once 420k real clusters are available (macro F1 0.9285 scratch vs 0.9225 pretrained). The cross-domain matrix shows why — zero transfer in either direction, and fine-tuning completely forgets the synthetic domain: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Train ↓ / Test →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Synthetic val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Real val (seq 08)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Synthetic only (Stage A)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0.999 (0.999)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0.447 (0.000)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Real only (from scratch)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0.304 (0.000)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0.929 (0.885)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Synthetic → real fine-tuned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0.318 (0.000)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0.923 (0.875)</w:t>
            </w:r>
          </w:p>
        </w:tc>
      </w:tr>
    </w:tbl>
    <w:p/>
    <w:p>
      <w:r>
        <w:rPr>
          <w:b w:val="0"/>
          <w:i/>
          <w:sz w:val="18"/>
        </w:rPr>
        <w:t>Cell format: macro F1 (car F1). Note the synthetic-only model scores 0.807 accuracy on real data while finding zero cars — why we report macro F1 and confusion matrices, not accuracy.</w:t>
      </w:r>
    </w:p>
    <w:p>
      <w:r>
        <w:rPr>
          <w:b w:val="0"/>
          <w:i w:val="0"/>
        </w:rPr>
        <w:t>After a full-scale re-check (scratch is neutral-to-better: seq 00 F1 0.844 → 0.859, seq 08 identical), the production classifier now trains on real data only. Stage A is kept as the thesis sim-to-real ablation. Synthetic data was only dropped for classification, where real labels are abundant — for completion (§5), where no real ground truth exists, it remains the training data and works once the right partiality pattern is simulated.</w:t>
      </w:r>
    </w:p>
    <w:p>
      <w:pPr>
        <w:pStyle w:val="Heading1"/>
      </w:pPr>
      <w:r>
        <w:t>5. Point-Cloud Completion</w:t>
      </w:r>
    </w:p>
    <w:p>
      <w:pPr>
        <w:pStyle w:val="Heading2"/>
      </w:pPr>
      <w:r>
        <w:t>5.1 The “blob” failure, solved</w:t>
      </w:r>
    </w:p>
    <w:p>
      <w:r>
        <w:rPr>
          <w:b w:val="0"/>
          <w:i w:val="0"/>
        </w:rPr>
        <w:t>PCN trained on ShapeNet produced shapeless blobs on every real cluster, and three domain-adaptation attempts (noise augmentation, virtual Velodyne ray-casting, sparse-input training) failed — each modelled one mismatch axis (noise, scan geometry, density) but not the real one: the occlusion/partiality pattern. Two fixes resolved it. First, a KITTI-like single-view partial generator (matching real pipeline output) trains a PCN that completes cleanly in-distribution (Chamfer 0.16 m). Second — the actual headline — the blobs were largely an inference bug: the inference path applied PCA alignment and centroid/scale normalization never seen in training, degrading every checkpoint ~3.5×. With the corrected path, real clusters complete into car-shaped clouds. A by-product finding: accumulated-LiDAR pseudo-ground-truth is invalid for evaluating completion (it is itself one-sided, so Chamfer rewards under-completion) — which forced the new metric in §5.5.</w:t>
      </w:r>
    </w:p>
    <w:p>
      <w:pPr>
        <w:pStyle w:val="Heading2"/>
      </w:pPr>
      <w:r>
        <w:t>5.2 Two supporting results</w:t>
      </w:r>
    </w:p>
    <w:p>
      <w:pPr>
        <w:pStyle w:val="ListBullet"/>
      </w:pPr>
      <w:r>
        <w:rPr>
          <w:b/>
        </w:rPr>
        <w:t xml:space="preserve">Input gate. </w:t>
      </w:r>
      <w:r>
        <w:t>Bad completions trace back to bad inputs — fragments and merged clusters leaked by clustering (§3). An L-shape-fit gate rejecting them raises plausible-car completion precision 38% → 69%. Cost: completion is attempted on ~67% of detected cars; gated tracks keep their raw points, so detection metrics are unaffected. The gated subset is not just easy cases — completion's largest gains are on the sparsest inputs (§5.4).</w:t>
      </w:r>
    </w:p>
    <w:p>
      <w:pPr>
        <w:pStyle w:val="ListBullet"/>
      </w:pPr>
      <w:r>
        <w:rPr>
          <w:b/>
        </w:rPr>
        <w:t xml:space="preserve">Architecture check. </w:t>
      </w:r>
      <w:r>
        <w:t>A transformer completer (PoinTr) trained on identical data has a small synthetic edge (~5% Chamfer) but is equivalent on real data (16/26 vs 18/26 plausible). Decoder capacity is not the bottleneck — inference geometry and the partiality gap are. PCN stays in production.</w:t>
      </w:r>
    </w:p>
    <w:p>
      <w:pPr>
        <w:pStyle w:val="Heading2"/>
      </w:pPr>
      <w:r>
        <w:t>5.3 Completion evaluation metrics</w:t>
      </w:r>
    </w:p>
    <w:p>
      <w:r>
        <w:t>Completion quality is assessed with two complementary real-data metrics; each covers the other's blind spot, and a successful completion must score well on both. Coverage (§5.5) is the primary completion-quality metric: it measures whether the network reconstructs surface it never observed. BEV IoU (§5.4) is the downstream-utility metric: it measures whether the completed cloud serves the pipeline's target task — bounding-box estimation — better than the raw partial does. IoU alone could improve for shallow reasons without genuine new geometry; Coverage alone could be inflated by scattering points indiscriminately, which the out-of-box companion metric penalizes. The metrics are defined as follows:</w:t>
      </w:r>
    </w:p>
    <w:p>
      <w:pPr>
        <w:pStyle w:val="ListBullet"/>
      </w:pPr>
      <w:r>
        <w:rPr>
          <w:b/>
        </w:rPr>
        <w:t>Coverage@0.1 m (§5.5).</w:t>
      </w:r>
      <w:r>
        <w:t xml:space="preserve"> For a static car, complete from a single frame's points. Donor points are observations of the same car from other frames; keep only the novel ones — at least 0.15 m from every input point, i.e. surface the input frame could not see. Coverage@0.1 m is the fraction of those novel points that have a predicted point within 10 cm. The raw input scores exactly 0 by construction, and the symmetry-mirror baseline (0.051) sets the bar that any real completion must beat. Companions: median novel-dist (median distance from novel surface to the nearest predicted point, in metres — same question, threshold-free) and the out-of-box rate (fraction of predicted points outside the amodal GT box — the hallucination guard).</w:t>
      </w:r>
    </w:p>
    <w:p>
      <w:pPr>
        <w:pStyle w:val="ListBullet"/>
      </w:pPr>
      <w:r>
        <w:rPr>
          <w:b/>
        </w:rPr>
        <w:t>BEV IoU (§5.4).</w:t>
      </w:r>
      <w:r>
        <w:t xml:space="preserve"> Fit an oriented bounding box with the same fitter to the raw partial and to its completion, project both onto the ground plane, and compute the footprint's intersection-over-union with the amodal ground-truth box (the box of the whole car, accumulated across frames — not just the visible part). The companion errors |ΔL|, |ΔW|, |ΔH|, centre and yaw localize where the box improves.</w:t>
      </w:r>
    </w:p>
    <w:p>
      <w:pPr>
        <w:pStyle w:val="ListBullet"/>
      </w:pPr>
      <w:r>
        <w:rPr>
          <w:b/>
        </w:rPr>
        <w:t>Aggregation (both tables).</w:t>
      </w:r>
      <w:r>
        <w:t xml:space="preserve"> Per-detection values are reduced to one median per car, and raw vs. completed are compared as pairs over the n = 40 cars (Wilcoxon signed-rank) — each physical car counts once.</w:t>
      </w:r>
    </w:p>
    <w:p>
      <w:pPr>
        <w:pStyle w:val="ListBullet"/>
      </w:pPr>
      <w:r>
        <w:rPr>
          <w:b/>
        </w:rPr>
        <w:t>Chamfer distance (§5.1, synthetic only).</w:t>
      </w:r>
      <w:r>
        <w:t xml:space="preserve"> Mean nearest-neighbour distance between predicted and ground-truth clouds. It needs a complete ground truth, so it is only valid on synthetic data; its accumulated-LiDAR pseudo-GT variant on real data is invalid (§5.1) — that is exactly the gap Coverage was designed to fill.</w:t>
      </w:r>
    </w:p>
    <w:p>
      <w:pPr>
        <w:pStyle w:val="Heading2"/>
      </w:pPr>
      <w:r>
        <w:t>5.4 Completion improves the bounding box</w:t>
      </w:r>
    </w:p>
    <w:p>
      <w:r>
        <w:rPr>
          <w:b w:val="0"/>
          <w:i w:val="0"/>
        </w:rPr>
        <w:t>Reference: amodal GT boxes accumulated from 40 well-observed static cars (with viewpoint-coverage and motion guards; dimensions match published car statistics). For 2,262 true-positive detections of these cars, boxes were fitted to the raw partial and to its completion with the same fitter. Per-car medians, Wilcoxon tests, n = 40: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Raw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Completed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BEV IoU</w:t>
            </w:r>
          </w:p>
        </w:tc>
        <w:tc>
          <w:tcPr>
            <w:tcW w:type="dxa" w:w="1728"/>
          </w:tcPr>
          <w:p>
            <w:r>
              <w:t>0.718</w:t>
            </w:r>
          </w:p>
        </w:tc>
        <w:tc>
          <w:tcPr>
            <w:tcW w:type="dxa" w:w="1728"/>
          </w:tcPr>
          <w:p>
            <w:r>
              <w:t>0.739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|ΔW| (m)</w:t>
            </w:r>
          </w:p>
        </w:tc>
        <w:tc>
          <w:tcPr>
            <w:tcW w:type="dxa" w:w="1728"/>
          </w:tcPr>
          <w:p>
            <w:r>
              <w:t>0.252</w:t>
            </w:r>
          </w:p>
        </w:tc>
        <w:tc>
          <w:tcPr>
            <w:tcW w:type="dxa" w:w="1728"/>
          </w:tcPr>
          <w:p>
            <w:r>
              <w:t>0.177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  <w:tc>
          <w:tcPr>
            <w:tcW w:type="dxa" w:w="1440"/>
          </w:tcPr>
          <w:p>
            <w: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|ΔH| (m)</w:t>
            </w:r>
          </w:p>
        </w:tc>
        <w:tc>
          <w:tcPr>
            <w:tcW w:type="dxa" w:w="1728"/>
          </w:tcPr>
          <w:p>
            <w:r>
              <w:t>0.230</w:t>
            </w:r>
          </w:p>
        </w:tc>
        <w:tc>
          <w:tcPr>
            <w:tcW w:type="dxa" w:w="1728"/>
          </w:tcPr>
          <w:p>
            <w:r>
              <w:t>0.132</w:t>
            </w:r>
          </w:p>
        </w:tc>
        <w:tc>
          <w:tcPr>
            <w:tcW w:type="dxa" w:w="1728"/>
          </w:tcPr>
          <w:p>
            <w:r>
              <w:t>1.2e-08</w:t>
            </w:r>
          </w:p>
        </w:tc>
        <w:tc>
          <w:tcPr>
            <w:tcW w:type="dxa" w:w="1440"/>
          </w:tcPr>
          <w:p>
            <w: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Center error XZ (m)</w:t>
            </w:r>
          </w:p>
        </w:tc>
        <w:tc>
          <w:tcPr>
            <w:tcW w:type="dxa" w:w="1728"/>
          </w:tcPr>
          <w:p>
            <w:r>
              <w:t>0.273</w:t>
            </w:r>
          </w:p>
        </w:tc>
        <w:tc>
          <w:tcPr>
            <w:tcW w:type="dxa" w:w="1728"/>
          </w:tcPr>
          <w:p>
            <w:r>
              <w:t>0.230</w:t>
            </w:r>
          </w:p>
        </w:tc>
        <w:tc>
          <w:tcPr>
            <w:tcW w:type="dxa" w:w="1728"/>
          </w:tcPr>
          <w:p>
            <w:r>
              <w:t>6.4e-06</w:t>
            </w:r>
          </w:p>
        </w:tc>
        <w:tc>
          <w:tcPr>
            <w:tcW w:type="dxa" w:w="1440"/>
          </w:tcPr>
          <w:p>
            <w: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|ΔL| (m)</w:t>
            </w:r>
          </w:p>
        </w:tc>
        <w:tc>
          <w:tcPr>
            <w:tcW w:type="dxa" w:w="1728"/>
          </w:tcPr>
          <w:p>
            <w:r>
              <w:t>0.428</w:t>
            </w:r>
          </w:p>
        </w:tc>
        <w:tc>
          <w:tcPr>
            <w:tcW w:type="dxa" w:w="1728"/>
          </w:tcPr>
          <w:p>
            <w:r>
              <w:t>0.463</w:t>
            </w:r>
          </w:p>
        </w:tc>
        <w:tc>
          <w:tcPr>
            <w:tcW w:type="dxa" w:w="1728"/>
          </w:tcPr>
          <w:p>
            <w:r>
              <w:t>0.034</w:t>
            </w:r>
          </w:p>
        </w:tc>
        <w:tc>
          <w:tcPr>
            <w:tcW w:type="dxa" w:w="1440"/>
          </w:tcPr>
          <w:p>
            <w:r>
              <w:t>worse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Yaw error (deg)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neutral</w:t>
            </w:r>
          </w:p>
        </w:tc>
      </w:tr>
    </w:tbl>
    <w:p/>
    <w:p>
      <w:r>
        <w:rPr>
          <w:b w:val="0"/>
          <w:i w:val="0"/>
        </w:rPr>
        <w:t>Completion helps most where the sensor saw least (BEV IoU on &lt; 100-point inputs: 0.459 → 0.606). The one metric completion worsens is length: |ΔL| rises 0.428 → 0.463 m (p = 0.034) — the network does not extend, and slightly retracts, the unobserved far end (signed ΔL −0.49 → −0.55 m; the bias stays conservative, never too long). Every other box metric improves; closing this is the current work item — plan in §6.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_box_overlays_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Amodal GT box (black) vs raw-partial box (blue) vs completed box (green).</w:t>
      </w:r>
    </w:p>
    <w:p>
      <w:pPr>
        <w:pStyle w:val="Heading2"/>
      </w:pPr>
      <w:r>
        <w:t>5.5 A valid real-data completion metric</w:t>
      </w:r>
    </w:p>
    <w:p>
      <w:r>
        <w:rPr>
          <w:b w:val="0"/>
          <w:i w:val="0"/>
        </w:rPr>
        <w:t>Since pseudo-GT Chamfer is invalid (§5.1), a new metric was designed: complete a static car from one frame, then score coverage of donor points — observations of the same car from other frames — that lie ≥ 0.15 m from every input point, i.e. surface the input frame never saw. Baselines: the raw partial and a symmetry-mirrored partial. An out-of-GT-box guard catches hallucination. Same statistical design as §5.4: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Coverage@0.1 m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Median novel-dist (m)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Out-of-box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Raw partial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592"/>
          </w:tcPr>
          <w:p>
            <w:r>
              <w:t>0.455</w:t>
            </w:r>
          </w:p>
        </w:tc>
        <w:tc>
          <w:tcPr>
            <w:tcW w:type="dxa" w:w="2016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Mirrored partial</w:t>
            </w:r>
          </w:p>
        </w:tc>
        <w:tc>
          <w:tcPr>
            <w:tcW w:type="dxa" w:w="2160"/>
          </w:tcPr>
          <w:p>
            <w:r>
              <w:t>0.051</w:t>
            </w:r>
          </w:p>
        </w:tc>
        <w:tc>
          <w:tcPr>
            <w:tcW w:type="dxa" w:w="2592"/>
          </w:tcPr>
          <w:p>
            <w:r>
              <w:t>0.313</w:t>
            </w:r>
          </w:p>
        </w:tc>
        <w:tc>
          <w:tcPr>
            <w:tcW w:type="dxa" w:w="2016"/>
          </w:tcPr>
          <w:p>
            <w:r>
              <w:t>0.011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PCN completed</w:t>
            </w:r>
          </w:p>
        </w:tc>
        <w:tc>
          <w:tcPr>
            <w:tcW w:type="dxa" w:w="2160"/>
          </w:tcPr>
          <w:p>
            <w:r>
              <w:t>0.302</w:t>
            </w:r>
          </w:p>
        </w:tc>
        <w:tc>
          <w:tcPr>
            <w:tcW w:type="dxa" w:w="2592"/>
          </w:tcPr>
          <w:p>
            <w:r>
              <w:t>0.164</w:t>
            </w:r>
          </w:p>
        </w:tc>
        <w:tc>
          <w:tcPr>
            <w:tcW w:type="dxa" w:w="2016"/>
          </w:tcPr>
          <w:p>
            <w:r>
              <w:t>0.000</w:t>
            </w:r>
          </w:p>
        </w:tc>
      </w:tr>
    </w:tbl>
    <w:p/>
    <w:p>
      <w:r>
        <w:rPr>
          <w:b w:val="0"/>
          <w:i w:val="0"/>
        </w:rPr>
        <w:t>All pairwise p &lt; 1e-6; the metric passed its four pre-registered validation checks. This is the first real-data evidence that the network reconstructs genuinely unseen structure — 30% of never-observed surface within 10 cm, 6× the mirror baseline, with essentially zero hallucination — and it makes the far-end weakness directly measurable (coverage there: 0.125).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or_metric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Donor-frame metric: input partial, never-observed donor points, and method outputs.</w:t>
      </w:r>
    </w:p>
    <w:p>
      <w:pPr>
        <w:pStyle w:val="Heading1"/>
      </w:pPr>
      <w:r>
        <w:t>6. Next Steps</w:t>
      </w:r>
    </w:p>
    <w:p>
      <w:pPr>
        <w:pStyle w:val="ListBullet"/>
      </w:pPr>
      <w:r>
        <w:rPr>
          <w:b/>
        </w:rPr>
        <w:t xml:space="preserve">Fix the far-end undershoot (active). </w:t>
      </w:r>
      <w:r>
        <w:t>Ordered by evidence: (1) inference geometry, no retraining — anchor the box at the observed L-shape corner and place the center longitudinally with a car-length prior (the current estimate corrects laterally but not longitudinally); (2) if needed, retrain with a visibility-weighted asymmetric Chamfer loss that makes omitting occluded structure cost more than conservative truncation; (3) contingency: fine-tuning on real partials, now measurable with the donor metric. Architecture changes are ruled out by the PoinTr result. Success criteria: far-end coverage (0.125) and signed ΔL (−0.550 m).</w:t>
      </w:r>
    </w:p>
    <w:p>
      <w:pPr>
        <w:pStyle w:val="ListBullet"/>
      </w:pPr>
      <w:r>
        <w:rPr>
          <w:b/>
        </w:rPr>
        <w:t xml:space="preserve">Amodal GT validity. </w:t>
      </w:r>
      <w:r>
        <w:t>Cross-validation against official KITTI tracklets is impossible — the raw drive behind seq 08 was never tracklet-annotated (verified on the KITTI download server); that absence is why the pseudo-GT was built. Validity rests on the paired design (both arms share the reference), construction guards, and the dimension sanity check.</w:t>
      </w:r>
    </w:p>
    <w:p>
      <w:pPr>
        <w:pStyle w:val="ListBullet"/>
      </w:pPr>
      <w:r>
        <w:rPr>
          <w:b/>
        </w:rPr>
        <w:t xml:space="preserve">Thesis writing. </w:t>
      </w:r>
      <w:r>
        <w:t>Pipeline, recall-ceiling, sim-to-real, and completion chapters; pipeline diagram.</w:t>
      </w:r>
    </w:p>
    <w:p>
      <w:pPr>
        <w:pStyle w:val="Heading1"/>
      </w:pPr>
      <w:r>
        <w:t>Appendix — Where to Find the Details</w:t>
      </w:r>
    </w:p>
    <w:p>
      <w:r>
        <w:rPr>
          <w:b w:val="0"/>
          <w:i w:val="0"/>
          <w:sz w:val="20"/>
        </w:rPr>
        <w:t>Every result above is backed by a numbered finding in the repository (docs/findings.md) with hypothesis, commands, and full tables. Mapping: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sz w:val="20"/>
              </w:rPr>
              <w:t>Report section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Findings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§2 Detection pipeline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#2, #4–#14, #18, #20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§3 Recall ceiling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#21–#24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§4 Sim-to-real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#25, #30, #31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§5.1 Blob failure → fix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#15–#19, #26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§5.2 Gate; PoinTr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#27, #28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§5.4 Box improvement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§5.5 Donor metric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#32</w:t>
            </w:r>
          </w:p>
        </w:tc>
      </w:tr>
    </w:tbl>
    <w:p/>
    <w:p>
      <w:r>
        <w:rPr>
          <w:b w:val="0"/>
          <w:i/>
          <w:sz w:val="18"/>
        </w:rPr>
        <w:t>A longer companion document (results_report_2026_07_17_rev2.docx) contains the extended justifications: operating-point analysis, filter validity across vehicle sizes, gate cost accounting, and the full far-end remediation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