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14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Евро Групп</w:t>
      </w:r>
    </w:p>
    <w:p w14:paraId="2A4EDB26" w14:textId="02606712" w:rsidR="00E31F49" w:rsidRPr="00DE3C56" w:rsidRDefault="00E31F49" w:rsidP="00E31F49">
      <w:r>
        <w:t>Основание для отпуска: договор №12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Смесь сухофруктов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225</w:t>
            </w:r>
          </w:p>
        </w:tc>
        <w:tc>
          <w:tcPr>
            <w:tcW w:type="dxa" w:w="1701"/>
          </w:tcPr>
          <w:p>
            <w:r>
              <w:t>18</w:t>
            </w:r>
          </w:p>
        </w:tc>
        <w:tc>
          <w:tcPr>
            <w:tcW w:type="dxa" w:w="1642"/>
          </w:tcPr>
          <w:p>
            <w:r>
              <w:t>4050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Сушеные бананы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177</w:t>
            </w:r>
          </w:p>
        </w:tc>
        <w:tc>
          <w:tcPr>
            <w:tcW w:type="dxa" w:w="1701"/>
          </w:tcPr>
          <w:p>
            <w:r>
              <w:t>28</w:t>
            </w:r>
          </w:p>
        </w:tc>
        <w:tc>
          <w:tcPr>
            <w:tcW w:type="dxa" w:w="1642"/>
          </w:tcPr>
          <w:p>
            <w:r>
              <w:t>4956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Финики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240</w:t>
            </w:r>
          </w:p>
        </w:tc>
        <w:tc>
          <w:tcPr>
            <w:tcW w:type="dxa" w:w="1701"/>
          </w:tcPr>
          <w:p>
            <w:r>
              <w:t>14</w:t>
            </w:r>
          </w:p>
        </w:tc>
        <w:tc>
          <w:tcPr>
            <w:tcW w:type="dxa" w:w="1642"/>
          </w:tcPr>
          <w:p>
            <w:r>
              <w:t>3360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12366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