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642C3">
      <w:pPr>
        <w:pStyle w:val="13"/>
      </w:pPr>
      <w:r>
        <w:t>花了三个月整理的200个ETF量化策略</w:t>
      </w:r>
    </w:p>
    <w:p w14:paraId="723455F6">
      <w:pPr>
        <w:pStyle w:val="13"/>
      </w:pPr>
      <w:r>
        <w:t>200个ETF量化交易策略大全</w:t>
      </w:r>
    </w:p>
    <w:p w14:paraId="0635F51B">
      <w:pPr>
        <w:pStyle w:val="11"/>
        <w:rPr>
          <w:rFonts w:ascii="Times New Roman" w:hAnsi="Times New Roman" w:eastAsia="宋体" w:cs="Times New Roman"/>
          <w:sz w:val="24"/>
          <w:szCs w:val="24"/>
        </w:rPr>
      </w:pPr>
      <w:r>
        <w:rPr>
          <w:rFonts w:ascii="Times New Roman" w:hAnsi="Times New Roman" w:eastAsia="宋体" w:cs="Times New Roman"/>
          <w:sz w:val="24"/>
          <w:szCs w:val="24"/>
        </w:rPr>
        <w:t>欢迎各位老板复现策略分享给大家，</w:t>
      </w:r>
      <w:r>
        <w:rPr>
          <w:rFonts w:hint="eastAsia" w:cs="Times New Roman"/>
          <w:sz w:val="24"/>
          <w:szCs w:val="24"/>
          <w:lang w:eastAsia="zh-CN"/>
        </w:rPr>
        <w:t>为</w:t>
      </w:r>
      <w:r>
        <w:rPr>
          <w:rFonts w:ascii="Times New Roman" w:hAnsi="Times New Roman" w:eastAsia="宋体" w:cs="Times New Roman"/>
          <w:sz w:val="24"/>
          <w:szCs w:val="24"/>
        </w:rPr>
        <w:t>论坛提供更多的思路</w:t>
      </w:r>
      <w:r>
        <w:rPr>
          <w:rFonts w:hint="eastAsia" w:cs="Times New Roman"/>
          <w:sz w:val="24"/>
          <w:szCs w:val="24"/>
          <w:lang w:eastAsia="zh-CN"/>
        </w:rPr>
        <w:t>和</w:t>
      </w:r>
      <w:r>
        <w:rPr>
          <w:rFonts w:ascii="Times New Roman" w:hAnsi="Times New Roman" w:eastAsia="宋体" w:cs="Times New Roman"/>
          <w:sz w:val="24"/>
          <w:szCs w:val="24"/>
        </w:rPr>
        <w:t>更好的策略，如有帮助请多多投籽，祝老板们发财。</w:t>
      </w:r>
    </w:p>
    <w:p w14:paraId="2A6E6A66">
      <w:pPr>
        <w:rPr>
          <w:rFonts w:hint="eastAsia" w:ascii="仿宋" w:hAnsi="仿宋" w:eastAsia="仿宋" w:cs="仿宋"/>
          <w:sz w:val="24"/>
          <w:szCs w:val="24"/>
        </w:rPr>
      </w:pPr>
    </w:p>
    <w:p w14:paraId="1408F5B2">
      <w:pPr>
        <w:pStyle w:val="2"/>
        <w:numPr>
          <w:ilvl w:val="0"/>
          <w:numId w:val="1"/>
        </w:numPr>
        <w:ind w:left="0" w:leftChars="0" w:firstLine="0" w:firstLineChars="0"/>
        <w:rPr>
          <w:b w:val="0"/>
          <w:bdr w:val="none" w:sz="0" w:space="0"/>
        </w:rPr>
      </w:pPr>
      <w:r>
        <w:t>趋势跟踪类策略（策略1-33）</w:t>
      </w:r>
    </w:p>
    <w:p w14:paraId="2168ED9B">
      <w:pPr>
        <w:pStyle w:val="3"/>
      </w:pPr>
      <w:r>
        <w:t>策略1. 双均线交叉策略（5/20日）</w:t>
      </w:r>
    </w:p>
    <w:p w14:paraId="3E57F177">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68CD9ED7">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核心思想：利用短期均线上穿/下穿长期均线捕捉趋势转折点</w:t>
      </w:r>
    </w:p>
    <w:p w14:paraId="6A5EBD51">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短期均线反映近期价格趋势，长期均线反映中期趋势。当短期均线上穿长期均线（金叉），说明近期买方力量增强，趋势向上；反之（死叉）趋势向下。市场存在趋势惯性，一旦趋势形成会持续一段时间。</w:t>
      </w:r>
    </w:p>
    <w:p w14:paraId="0C1024D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889D90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买入信号：5日均线上穿20日均线</w:t>
      </w:r>
    </w:p>
    <w:p w14:paraId="0C068C37">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卖出信号：5日均线下穿20日均线</w:t>
      </w:r>
    </w:p>
    <w:p w14:paraId="4128BC08">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仓位管理：满仓切换，或按信号强度分仓</w:t>
      </w:r>
    </w:p>
    <w:p w14:paraId="62239A9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关键参数：短期均线=5日，长期均线=20日</w:t>
      </w:r>
    </w:p>
    <w:p w14:paraId="544A98CE">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适用ETF：沪深300ETF、中证500ETF、纳斯达克100ETF</w:t>
      </w:r>
    </w:p>
    <w:p w14:paraId="2C7C458F">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04594BE">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年化收益率：8-15%</w:t>
      </w:r>
    </w:p>
    <w:p w14:paraId="568FDD3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635903C4">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13B84A5B">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优缺点：简单易实现，趋势市表现好；震荡市频繁假信号，滞后性明显</w:t>
      </w:r>
    </w:p>
    <w:p w14:paraId="74F3A03A">
      <w:pPr>
        <w:pStyle w:val="3"/>
      </w:pPr>
      <w:r>
        <w:t>策略2. 双均线交叉策略（10/30日）</w:t>
      </w:r>
    </w:p>
    <w:p w14:paraId="48FD9E27">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75C9AB62">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核心思想：中等周期均线组合，平衡灵敏度与稳定性</w:t>
      </w:r>
    </w:p>
    <w:p w14:paraId="6A5E78E8">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交易逻辑：相比5/20组合，10/30组合过滤更多噪音，减少震荡市假信号，但会牺牲部分趋势初期利润。适合波动较大的宽基ETF。</w:t>
      </w:r>
    </w:p>
    <w:p w14:paraId="599BB55B">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09B7A0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买入信号：10日均线上穿30日均线</w:t>
      </w:r>
    </w:p>
    <w:p w14:paraId="3D1BF375">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卖出信号：10日均线下穿30日均线</w:t>
      </w:r>
    </w:p>
    <w:p w14:paraId="01974778">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仓位管理：全仓进出</w:t>
      </w:r>
    </w:p>
    <w:p w14:paraId="04E60015">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关键参数：短期=10日，长期=30日</w:t>
      </w:r>
    </w:p>
    <w:p w14:paraId="374C8A23">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适用ETF：创业板ETF、科创50ETF</w:t>
      </w:r>
    </w:p>
    <w:p w14:paraId="5F3B43E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F2051B9">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年化收益率：7-13%</w:t>
      </w:r>
    </w:p>
    <w:p w14:paraId="7BA2CC68">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w:t>
      </w:r>
      <w:bookmarkStart w:id="0" w:name="_GoBack"/>
      <w:r>
        <w:rPr>
          <w:rFonts w:ascii="Times New Roman" w:hAnsi="Times New Roman" w:eastAsia="宋体" w:cs="Times New Roman"/>
          <w:sz w:val="24"/>
          <w:szCs w:val="24"/>
        </w:rPr>
        <w:t>12-22%</w:t>
      </w:r>
      <w:bookmarkEnd w:id="0"/>
    </w:p>
    <w:p w14:paraId="390A1B1D">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夏普比率：0.5-0.8</w:t>
      </w:r>
    </w:p>
    <w:p w14:paraId="1ADE7FA8">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优缺点：假信号少于5/20组合；但信号更滞后，可能错过短期行情</w:t>
      </w:r>
    </w:p>
    <w:p w14:paraId="1759E3DD">
      <w:pPr>
        <w:pStyle w:val="3"/>
      </w:pPr>
      <w:r>
        <w:t>策略3. 双均线交叉策略（20/60日）</w:t>
      </w:r>
    </w:p>
    <w:p w14:paraId="112BE34B">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240822F6">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核心思想：长周期均线组合捕捉中长期趋势</w:t>
      </w:r>
    </w:p>
    <w:p w14:paraId="046A7921">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交易逻辑：20/60日均线组合聚焦中长期趋势，能有效避免短期噪音干扰。适合长线投资者，交易频率低，交易成本少。牺牲了短期灵活性换取趋势确认的可靠性。</w:t>
      </w:r>
    </w:p>
    <w:p w14:paraId="0B794698">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3740C3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买入信号：20日均线上穿60日均线</w:t>
      </w:r>
    </w:p>
    <w:p w14:paraId="02A1DC38">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卖出信号：20日均线下穿60日均线</w:t>
      </w:r>
    </w:p>
    <w:p w14:paraId="7474DC17">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仓位管理：全仓进出</w:t>
      </w:r>
    </w:p>
    <w:p w14:paraId="71D7A8F7">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关键参数：短期=20日，长期=60日</w:t>
      </w:r>
    </w:p>
    <w:p w14:paraId="5437BF5E">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适用ETF：沪深300ETF、上证50ETF、恒生ETF</w:t>
      </w:r>
    </w:p>
    <w:p w14:paraId="71CCD129">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628B101">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年化收益率：6-12%</w:t>
      </w:r>
    </w:p>
    <w:p w14:paraId="5C81D393">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最大回撤：10-20%</w:t>
      </w:r>
    </w:p>
    <w:p w14:paraId="4120A4D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夏普比率：0.4-0.7</w:t>
      </w:r>
    </w:p>
    <w:p w14:paraId="5ED8F3C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优缺点：假信号极少，适合大资金；滞后严重，趋势末端可能回吐较多利润</w:t>
      </w:r>
    </w:p>
    <w:p w14:paraId="4A7205BB">
      <w:pPr>
        <w:pStyle w:val="3"/>
      </w:pPr>
      <w:r>
        <w:t>策略4. 三均线交叉策略（5/10/20日）</w:t>
      </w:r>
    </w:p>
    <w:p w14:paraId="21A20269">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7C035249">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核心思想：三条均线形成多级确认系统，提高信号可靠性</w:t>
      </w:r>
    </w:p>
    <w:p w14:paraId="28F71CF1">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交易逻辑：三均线系统通过短中长三个时间维度确认趋势。当三线多头排列（5&gt;10&gt;20）且金叉发生时入场，增加确认层级减少假信号。三线空头排列时离场。</w:t>
      </w:r>
    </w:p>
    <w:p w14:paraId="4D36F243">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6809401">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买入信号：5日&gt;10日&gt;20日均线多头排列</w:t>
      </w:r>
    </w:p>
    <w:p w14:paraId="233E8AEF">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卖出信号：5日&lt;10日&lt;20日均线空头排列，或5日下穿10日</w:t>
      </w:r>
    </w:p>
    <w:p w14:paraId="149C89D8">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仓位管理：多头排列满仓，非完全排列半仓</w:t>
      </w:r>
    </w:p>
    <w:p w14:paraId="156D457F">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关键参数：5日、10日、20日均线</w:t>
      </w:r>
    </w:p>
    <w:p w14:paraId="63BBD784">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适用ETF：中证500ETF、创业板ETF</w:t>
      </w:r>
    </w:p>
    <w:p w14:paraId="2C8C3B92">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BB5C752">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年化收益率：9-16%</w:t>
      </w:r>
    </w:p>
    <w:p w14:paraId="20A7D827">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79D6EF1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4D569D4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优缺点：多重确认减少假信号；排列判断相对复杂，信号较少</w:t>
      </w:r>
    </w:p>
    <w:p w14:paraId="61EABB3D">
      <w:pPr>
        <w:pStyle w:val="3"/>
      </w:pPr>
      <w:r>
        <w:t>策略5. 三均线交叉策略（10/20/60日）</w:t>
      </w:r>
    </w:p>
    <w:p w14:paraId="12990754">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799E3B8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核心思想：中长期三均线系统，捕捉大级别趋势</w:t>
      </w:r>
    </w:p>
    <w:p w14:paraId="221A2A20">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交易逻辑：10/20/60日组合适合捕捉月线级别趋势，多头排列确认中期上升趋势，60日线作为牛熊分界线。交易频率低，持仓周期长。</w:t>
      </w:r>
    </w:p>
    <w:p w14:paraId="50829B6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8ADE83E">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买入信号：10日&gt;20日&gt;60日均线多头排列</w:t>
      </w:r>
    </w:p>
    <w:p w14:paraId="79BDEFB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卖出信号：10日下穿60日均线</w:t>
      </w:r>
    </w:p>
    <w:p w14:paraId="43A11B8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仓位管理：全仓持有</w:t>
      </w:r>
    </w:p>
    <w:p w14:paraId="2133DA2E">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关键参数：10日、20日、60日</w:t>
      </w:r>
    </w:p>
    <w:p w14:paraId="415583D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适用ETF：沪深300ETF、中证A500ETF</w:t>
      </w:r>
    </w:p>
    <w:p w14:paraId="1927F228">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56D81B6">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年化收益率：7-12%</w:t>
      </w:r>
    </w:p>
    <w:p w14:paraId="2D3A7A8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11C6AE7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夏普比率：0.5-0.8</w:t>
      </w:r>
    </w:p>
    <w:p w14:paraId="2E0CF251">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优缺点：大趋势捕捉能力强；年交易次数少，信号非常滞后</w:t>
      </w:r>
    </w:p>
    <w:p w14:paraId="5C518C08">
      <w:pPr>
        <w:pStyle w:val="3"/>
      </w:pPr>
      <w:r>
        <w:t>策略6. 经典MACD策略</w:t>
      </w:r>
    </w:p>
    <w:p w14:paraId="280CC96E">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0FD52230">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核心思想：利用MACD线与信号线交叉判断趋势方向和动量变化</w:t>
      </w:r>
    </w:p>
    <w:p w14:paraId="1506F025">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交易逻辑：MACD由快慢两条EMA差值构成，反映价格动量变化。金叉表示短期动量强于长期，趋势向上；死叉相反。零轴以上金叉信号更强，因为大趋势向上。MACD本质是趋势跟踪的动量确认工具。</w:t>
      </w:r>
    </w:p>
    <w:p w14:paraId="34B963F6">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EC8C091">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买入信号：MACD线（DIF）上穿信号线（DEA），且在零轴附近或以上</w:t>
      </w:r>
    </w:p>
    <w:p w14:paraId="74A7B0A0">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卖出信号：MACD线下穿信号线</w:t>
      </w:r>
    </w:p>
    <w:p w14:paraId="2ACA8347">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仓位管理：零轴以上金叉满仓，零轴以下金叉半仓</w:t>
      </w:r>
    </w:p>
    <w:p w14:paraId="571004C4">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关键参数：快线EMA=12，慢线EMA=26，信号线=9</w:t>
      </w:r>
    </w:p>
    <w:p w14:paraId="2CC0D98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适用ETF：各类宽基和行业ETF</w:t>
      </w:r>
    </w:p>
    <w:p w14:paraId="5A90574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9084BE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1E1AADA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7605675F">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4E42AAB4">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优缺点：经典可靠，趋势市效果好；震荡市假信号多，滞后于价格</w:t>
      </w:r>
    </w:p>
    <w:p w14:paraId="3EF2C27F">
      <w:pPr>
        <w:pStyle w:val="3"/>
      </w:pPr>
      <w:r>
        <w:t>策略7. MACD柱状图策略</w:t>
      </w:r>
    </w:p>
    <w:p w14:paraId="2FF2EF8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71B5CC0F">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核心思想：利用MACD柱状图的变化速率判断动量加速/减速</w:t>
      </w:r>
    </w:p>
    <w:p w14:paraId="20780A36">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交易逻辑：MACD柱状图（MACD-Signal）反映动量变化速度。柱状图由负转正表示下跌动量减弱、上涨动量增强；柱状图缩短则表示当前趋势动量减弱，可能反转。比MACD线交叉更早发出信号。</w:t>
      </w:r>
    </w:p>
    <w:p w14:paraId="2722AD01">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09717BA">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买入信号：MACD柱状图由负转正（柱状图穿越零轴）</w:t>
      </w:r>
    </w:p>
    <w:p w14:paraId="4947CD6B">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卖出信号：MACD柱状图由正转负</w:t>
      </w:r>
    </w:p>
    <w:p w14:paraId="5BB4730F">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仓位管理：柱状图持续放大加仓，缩小减仓</w:t>
      </w:r>
    </w:p>
    <w:p w14:paraId="24AD0D75">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关键参数：标准MACD参数（12,26,9）</w:t>
      </w:r>
    </w:p>
    <w:p w14:paraId="66C10411">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适用ETF：沪深300ETF、中证500ETF、行业ETF</w:t>
      </w:r>
    </w:p>
    <w:p w14:paraId="501C3302">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08549A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年化收益率：9-15%</w:t>
      </w:r>
    </w:p>
    <w:p w14:paraId="6257FFAE">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最大回撤：15-28%</w:t>
      </w:r>
    </w:p>
    <w:p w14:paraId="466C86BA">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夏普比率：0.5-0.8</w:t>
      </w:r>
    </w:p>
    <w:p w14:paraId="6A98EA08">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优缺点：信号领先于MACD线交叉；噪音较多，需配合其他过滤条件</w:t>
      </w:r>
    </w:p>
    <w:p w14:paraId="41369896">
      <w:pPr>
        <w:pStyle w:val="3"/>
      </w:pPr>
      <w:r>
        <w:t>策略8. MACD背离策略</w:t>
      </w:r>
    </w:p>
    <w:p w14:paraId="570F8AD8">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1D0D1C18">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核心思想：价格与MACD指标走势背离时预示趋势反转</w:t>
      </w:r>
    </w:p>
    <w:p w14:paraId="6231528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交易逻辑：当价格创新低但MACD不创新低（底背离），说明下跌动能衰竭，反弹概率大；价格创新高但MACD不创新高（顶背离），说明上涨动能衰竭。背离是趋势耗尽的早期信号，比均线交叉更早捕捉转折。</w:t>
      </w:r>
    </w:p>
    <w:p w14:paraId="120D4C8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B47DF3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买入信号：价格创近期新低，MACD指标未创新低（底背离）</w:t>
      </w:r>
    </w:p>
    <w:p w14:paraId="22AE0F37">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卖出信号：价格创近期新高，MACD指标未创新高（顶背离）</w:t>
      </w:r>
    </w:p>
    <w:p w14:paraId="53794A83">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仓位管理：背离确认后逐步建仓，突破确认后加仓</w:t>
      </w:r>
    </w:p>
    <w:p w14:paraId="6869748E">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关键参数：背离确认周期=20-60日</w:t>
      </w:r>
    </w:p>
    <w:p w14:paraId="4B26F73C">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适用ETF：沪深300ETF、创业板ETF</w:t>
      </w:r>
    </w:p>
    <w:p w14:paraId="14A8B5BA">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58C0F01">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年化收益率：10-18%</w:t>
      </w:r>
    </w:p>
    <w:p w14:paraId="16F1A1B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6A18F608">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42BDDFD7">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优缺点：能较早捕捉反转；背离可能持续较久，需要耐心等待确认</w:t>
      </w:r>
    </w:p>
    <w:p w14:paraId="14AC6A96">
      <w:pPr>
        <w:pStyle w:val="3"/>
      </w:pPr>
      <w:r>
        <w:t>策略9. 布林带突破策略</w:t>
      </w:r>
    </w:p>
    <w:p w14:paraId="1BD5729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1A4DE09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核心思想：价格突破布林带上轨表示强势突破，跟随趋势入场</w:t>
      </w:r>
    </w:p>
    <w:p w14:paraId="5F0C086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交易逻辑：布林带由均线和标准差构成，上下轨包含约95%的价格波动。当价格突破上轨时，说明出现异常强势，可能是新趋势开始。配合成交量放大确认突破有效性。</w:t>
      </w:r>
    </w:p>
    <w:p w14:paraId="7F3CAA54">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AFF707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买入信号：收盘价突破布林带上轨（20日均线+2倍标准差）</w:t>
      </w:r>
    </w:p>
    <w:p w14:paraId="760530B3">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卖出信号：收盘价跌破布林带中轨（20日均线）</w:t>
      </w:r>
    </w:p>
    <w:p w14:paraId="417BAD78">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仓位管理：突破时半仓，回踩中轨不破加仓</w:t>
      </w:r>
    </w:p>
    <w:p w14:paraId="6050DCFF">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关键参数：周期=20日，标准差倍数=2</w:t>
      </w:r>
    </w:p>
    <w:p w14:paraId="4F5C17DE">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适用ETF：科创50ETF、半导体ETF等高波动ETF</w:t>
      </w:r>
    </w:p>
    <w:p w14:paraId="5AB3DEFF">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8F6CB76">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年化收益率：10-18%</w:t>
      </w:r>
    </w:p>
    <w:p w14:paraId="077F6DBE">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419852F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夏普比率：0.6-0.9</w:t>
      </w:r>
    </w:p>
    <w:p w14:paraId="52F9D141">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优缺点：能捕捉强势突破行情；假突破时易被套，震荡市损耗大</w:t>
      </w:r>
    </w:p>
    <w:p w14:paraId="138A1754">
      <w:pPr>
        <w:pStyle w:val="3"/>
      </w:pPr>
      <w:r>
        <w:t>策略10. 布林带回归策略</w:t>
      </w:r>
    </w:p>
    <w:p w14:paraId="6D9A9244">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分类：趋势跟踪/均值回归</w:t>
      </w:r>
    </w:p>
    <w:p w14:paraId="25A20E22">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核心思想：价格触及布林带下轨后回归中轨的均值回归交易</w:t>
      </w:r>
    </w:p>
    <w:p w14:paraId="5D153D16">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交易逻辑：价格大部分时间在布林带内运行，触及下轨表示短期超卖，有回归中轨（均值）的倾向。本质是利用价格的均值回归特性，在超卖时买入等待反弹。</w:t>
      </w:r>
    </w:p>
    <w:p w14:paraId="0A1794B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D306E25">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买入信号：价格触及或跌破布林带下轨</w:t>
      </w:r>
    </w:p>
    <w:p w14:paraId="36B911B4">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卖出信号：价格回到布林带中轨或触及上轨</w:t>
      </w:r>
    </w:p>
    <w:p w14:paraId="641EAE3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仓位管理：触及下轨建仓1/3，继续下跌再加仓</w:t>
      </w:r>
    </w:p>
    <w:p w14:paraId="0F7F0AB9">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关键参数：周期=20日，标准差=2</w:t>
      </w:r>
    </w:p>
    <w:p w14:paraId="3552CD99">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适用ETF：沪深300ETF、上证50ETF（低波动宽基）</w:t>
      </w:r>
    </w:p>
    <w:p w14:paraId="769342F2">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4A9A2474">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2ECB0C89">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0E75870E">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0EFE9E58">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优缺点：震荡市效果好，胜率较高；趋势性下跌中会持续亏损</w:t>
      </w:r>
    </w:p>
    <w:p w14:paraId="6F702394">
      <w:pPr>
        <w:pStyle w:val="3"/>
      </w:pPr>
      <w:r>
        <w:t>策略11. 布林带带宽策略</w:t>
      </w:r>
    </w:p>
    <w:p w14:paraId="74738F55">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6E0AB9F4">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核心思想：布林带收窄后扩张，预示大行情即将启动</w:t>
      </w:r>
    </w:p>
    <w:p w14:paraId="407E3FF9">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交易逻辑：布林带带宽（Bandwidth）反映市场波动率。带宽收窄到极值说明市场处于低波动蓄势状态，即将选择方向突破。突破方向确认后跟随入场，这是"波动率聚集"现象的应用。</w:t>
      </w:r>
    </w:p>
    <w:p w14:paraId="1F5344F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D5CA9A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买入信号：布林带带宽收窄至近6个月最低后开始扩张，且价格向上突破上轨</w:t>
      </w:r>
    </w:p>
    <w:p w14:paraId="7D14AB06">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卖出信号：带宽再次收窄或价格跌破中轨</w:t>
      </w:r>
    </w:p>
    <w:p w14:paraId="606A3C4D">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仓位管理：突破时60%仓位，确认后加至满仓</w:t>
      </w:r>
    </w:p>
    <w:p w14:paraId="2D806A62">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关键参数：带宽收窄阈值=近120日最低</w:t>
      </w:r>
    </w:p>
    <w:p w14:paraId="47055EEB">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适用ETF：各类ETF，尤其是行业ETF</w:t>
      </w:r>
    </w:p>
    <w:p w14:paraId="6CC243C7">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804C9B5">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年化收益率：12-20%</w:t>
      </w:r>
    </w:p>
    <w:p w14:paraId="7DE0AE13">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0124628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21E01D7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优缺点：能精准捕捉大行情起点；等待时间长，假突破仍需止损</w:t>
      </w:r>
    </w:p>
    <w:p w14:paraId="51E9B5D6">
      <w:pPr>
        <w:pStyle w:val="3"/>
      </w:pPr>
      <w:r>
        <w:t>策略12. ATR趋势跟踪策略</w:t>
      </w:r>
    </w:p>
    <w:p w14:paraId="2190301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26CA0F05">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核心思想：利用ATR（平均真实波幅）设置动态止损跟踪趋势</w:t>
      </w:r>
    </w:p>
    <w:p w14:paraId="6A7F598A">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交易逻辑：ATR衡量市场波动幅度，用ATR的倍数设置止损线，能根据市场波动自适应调整。高波动时止损宽，避免被震出；低波动时止损紧，保护利润。核心是让利润奔跑、截断亏损。</w:t>
      </w:r>
    </w:p>
    <w:p w14:paraId="46F83A49">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B279AE1">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买入信号：价格突破N日高点，且ATR确认波动放大</w:t>
      </w:r>
    </w:p>
    <w:p w14:paraId="60499650">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卖出信号：价格从最高点回落超过3倍ATR</w:t>
      </w:r>
    </w:p>
    <w:p w14:paraId="534765E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仓位管理：按ATR计算仓位，单笔风险不超过总资金2%</w:t>
      </w:r>
    </w:p>
    <w:p w14:paraId="1AB1C2A9">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关键参数：ATR周期=14日，止损倍数=3</w:t>
      </w:r>
    </w:p>
    <w:p w14:paraId="443042D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49121143">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99EB0E4">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4C4138E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79868119">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2ED56229">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优缺点：自适应市场波动，止损科学；趋势不明时频繁止损</w:t>
      </w:r>
    </w:p>
    <w:p w14:paraId="5321C59B">
      <w:pPr>
        <w:pStyle w:val="3"/>
      </w:pPr>
      <w:r>
        <w:t>策略13. 海龟交易法则（20日突破）</w:t>
      </w:r>
    </w:p>
    <w:p w14:paraId="0965026F">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64875D96">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核心思想：价格突破20日最高价入场，跌破10日最低价离场</w:t>
      </w:r>
    </w:p>
    <w:p w14:paraId="063638D6">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交易逻辑：海龟策略是经典趋势跟踪系统。20日突破捕捉中期趋势，用10日反向突破作为短期退出。核心假设是市场趋势一旦形成会持续运行，通过严格的风控和仓位管理来控制单次亏损。</w:t>
      </w:r>
    </w:p>
    <w:p w14:paraId="5CBF529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ECAC15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买入信号：价格突破20日最高价</w:t>
      </w:r>
    </w:p>
    <w:p w14:paraId="02FF27BB">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卖出信号：价格跌破10日最低价</w:t>
      </w:r>
    </w:p>
    <w:p w14:paraId="3D18DBC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仓位管理：每个交易单位=账户1%风险/ATR，最多加仓4次</w:t>
      </w:r>
    </w:p>
    <w:p w14:paraId="2E307591">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关键参数：入场突破=20日，退出突破=10日，ATR周期=20</w:t>
      </w:r>
    </w:p>
    <w:p w14:paraId="014C6003">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适用ETF：商品ETF、宽基ETF</w:t>
      </w:r>
    </w:p>
    <w:p w14:paraId="3213DC67">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29FAE99">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年化收益率：10-20%</w:t>
      </w:r>
    </w:p>
    <w:p w14:paraId="77D253AF">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最大回撤：20-35%</w:t>
      </w:r>
    </w:p>
    <w:p w14:paraId="766D9955">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夏普比率：0.5-0.8</w:t>
      </w:r>
    </w:p>
    <w:p w14:paraId="6289D35B">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优缺点：历史验证有效的系统化策略；回撤较大，胜率低（约35-40%）</w:t>
      </w:r>
    </w:p>
    <w:p w14:paraId="0196BEA8">
      <w:pPr>
        <w:pStyle w:val="3"/>
      </w:pPr>
      <w:r>
        <w:t>策略14. 海龟交易法则（55日突破）</w:t>
      </w:r>
    </w:p>
    <w:p w14:paraId="75B1F38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73AF1F8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核心思想：价格突破55日最高价入场，捕捉大级别趋势</w:t>
      </w:r>
    </w:p>
    <w:p w14:paraId="1D12B825">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交易逻辑：55日突破是海龟系统的长期版本，过滤更多噪音，只捕捉大趋势。交易频率更低但单笔利润更大。适合趋势性强的市场环境。</w:t>
      </w:r>
    </w:p>
    <w:p w14:paraId="53EA68B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DE21FB4">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买入信号：价格突破55日最高价</w:t>
      </w:r>
    </w:p>
    <w:p w14:paraId="6F1FA00B">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卖出信号：价格跌破20日最低价</w:t>
      </w:r>
    </w:p>
    <w:p w14:paraId="0A247B86">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仓位管理：同海龟法则标准仓位管理</w:t>
      </w:r>
    </w:p>
    <w:p w14:paraId="245E676F">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关键参数：入场=55日突破，退出=20日突破</w:t>
      </w:r>
    </w:p>
    <w:p w14:paraId="3833700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适用ETF：黄金ETF、原油ETF、宽基ETF</w:t>
      </w:r>
    </w:p>
    <w:p w14:paraId="33ABFD92">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44B47D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年化收益率：8-15%</w:t>
      </w:r>
    </w:p>
    <w:p w14:paraId="4A883C05">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最大回撤：18-30%</w:t>
      </w:r>
    </w:p>
    <w:p w14:paraId="06102E99">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夏普比率：0.4-0.7</w:t>
      </w:r>
    </w:p>
    <w:p w14:paraId="1A1B878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优缺点：大趋势捕捉能力极强；等待时间长，年交易次数少</w:t>
      </w:r>
    </w:p>
    <w:p w14:paraId="09C26B40">
      <w:pPr>
        <w:pStyle w:val="3"/>
      </w:pPr>
      <w:r>
        <w:t>策略15. 趋势线突破策略</w:t>
      </w:r>
    </w:p>
    <w:p w14:paraId="10C2154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03852B08">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核心思想：价格突破由多个低点/高点连接形成的趋势线时入场</w:t>
      </w:r>
    </w:p>
    <w:p w14:paraId="2B9D8CFA">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交易逻辑：趋势线连接了价格运动的关键支撑/阻力位，突破趋势线意味着供需关系发生根本变化。上升趋势线被跌破说明买方力量不足，下降趋势线被突破说明卖压释放完毕。</w:t>
      </w:r>
    </w:p>
    <w:p w14:paraId="3D8681F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7D7B09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买入信号：价格放量突破下降趋势线（至少3个高点连线）</w:t>
      </w:r>
    </w:p>
    <w:p w14:paraId="0EB187A6">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卖出信号：价格跌破上升趋势线（至少3个低点连线）</w:t>
      </w:r>
    </w:p>
    <w:p w14:paraId="0B9F04B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仓位管理：突破时建仓50%，回踩不破加仓至满仓</w:t>
      </w:r>
    </w:p>
    <w:p w14:paraId="7002E78B">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关键参数：趋势线至少触及3个点，突破幅度&gt;1%</w:t>
      </w:r>
    </w:p>
    <w:p w14:paraId="51E74FDF">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099DE879">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25BDCBB">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年化收益率：8-15%</w:t>
      </w:r>
    </w:p>
    <w:p w14:paraId="303C013C">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2211E39E">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夏普比率：0.5-0.8</w:t>
      </w:r>
    </w:p>
    <w:p w14:paraId="3DA4F05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优缺点：直观有效的技术分析方法；趋势线绘制有主观性，量化实现较难</w:t>
      </w:r>
    </w:p>
    <w:p w14:paraId="12C2C5CB">
      <w:pPr>
        <w:pStyle w:val="3"/>
      </w:pPr>
      <w:r>
        <w:t>策略16. ADX趋势强度策略</w:t>
      </w:r>
    </w:p>
    <w:p w14:paraId="1BF7B426">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36535E0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核心思想：利用ADX判断趋势强度，配合+DI/-DI判断方向</w:t>
      </w:r>
    </w:p>
    <w:p w14:paraId="1D866693">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交易逻辑：ADX衡量趋势强度（不分方向），ADX&gt;25表示强趋势，&lt;20表示无趋势。+DI&gt;-DI表示上涨趋势，反之为下跌趋势。策略只在有趋势时交易，避免震荡市损耗。</w:t>
      </w:r>
    </w:p>
    <w:p w14:paraId="40E8E07B">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21231E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买入信号：ADX&gt;25且+DI上穿-DI</w:t>
      </w:r>
    </w:p>
    <w:p w14:paraId="26C397A6">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卖出信号：ADX&lt;20或-DI上穿+DI</w:t>
      </w:r>
    </w:p>
    <w:p w14:paraId="4C28336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仓位管理：ADX越高仓位越重，ADX&gt;40满仓</w:t>
      </w:r>
    </w:p>
    <w:p w14:paraId="21E0FF4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关键参数：ADX周期=14日，趋势阈值=25</w:t>
      </w:r>
    </w:p>
    <w:p w14:paraId="1835C7E0">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适用ETF：行业ETF、主题ETF</w:t>
      </w:r>
    </w:p>
    <w:p w14:paraId="5957D476">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FB7AEEE">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7FE3B2F8">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72D76CCF">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499751B8">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优缺点：有效过滤震荡市；ADX指标滞后，趋势初期ADX值低可能错过入场</w:t>
      </w:r>
    </w:p>
    <w:p w14:paraId="5402238B">
      <w:pPr>
        <w:pStyle w:val="3"/>
      </w:pPr>
      <w:r>
        <w:t>策略17. 抛物线SAR策略</w:t>
      </w:r>
    </w:p>
    <w:p w14:paraId="297ED21F">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682783E8">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核心思想：利用SAR点位动态跟踪趋势，提供明确的止损止盈位</w:t>
      </w:r>
    </w:p>
    <w:p w14:paraId="4CD52535">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交易逻辑：SAR（Stop and Reverse）随趋势加速移动，为趋势提供动态支撑/阻力。趋势持续时SAR加速靠近价格，一旦被突破说明趋势反转。其加速因子机制使得止损在趋势后期越来越紧。</w:t>
      </w:r>
    </w:p>
    <w:p w14:paraId="24CEDBF6">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60B72AE">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买入信号：价格从下方突破SAR点（SAR从价格上方翻到下方）</w:t>
      </w:r>
    </w:p>
    <w:p w14:paraId="746B88B0">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卖出信号：价格从上方跌破SAR点（SAR从价格下方翻到上方）</w:t>
      </w:r>
    </w:p>
    <w:p w14:paraId="0DD3B16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仓位管理：全仓多空切换</w:t>
      </w:r>
    </w:p>
    <w:p w14:paraId="2C149B7B">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关键参数：加速因子AF起始=0.02，最大=0.2，步进=0.02</w:t>
      </w:r>
    </w:p>
    <w:p w14:paraId="673ACEC7">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适用ETF：趋势性强的行业ETF</w:t>
      </w:r>
    </w:p>
    <w:p w14:paraId="65C3769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94EA1FF">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4D3AED4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73288A0C">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夏普比率：0.5-0.8</w:t>
      </w:r>
    </w:p>
    <w:p w14:paraId="2375E805">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优缺点：提供明确的止损位，操作简单；震荡市频繁反转导致亏损</w:t>
      </w:r>
    </w:p>
    <w:p w14:paraId="70904793">
      <w:pPr>
        <w:pStyle w:val="3"/>
      </w:pPr>
      <w:r>
        <w:t>策略18. 唐奇安通道策略</w:t>
      </w:r>
    </w:p>
    <w:p w14:paraId="5D07E88F">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6CD7836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核心思想：价格突破N日高低点通道进行趋势交易</w:t>
      </w:r>
    </w:p>
    <w:p w14:paraId="5D3701BD">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交易逻辑：唐奇安通道由N日最高价和最低价构成。突破上轨意味着价格创N日新高，是买入信号。通道本质上是价格区间突破系统，是海龟交易法则的基础。</w:t>
      </w:r>
    </w:p>
    <w:p w14:paraId="44A6E1D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FCA6AC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买入信号：价格突破20日最高价（上轨）</w:t>
      </w:r>
    </w:p>
    <w:p w14:paraId="608D2935">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卖出信号：价格跌破20日最低价（下轨）或跌破中轨</w:t>
      </w:r>
    </w:p>
    <w:p w14:paraId="55BDBB3D">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仓位管理：标准仓位管理</w:t>
      </w:r>
    </w:p>
    <w:p w14:paraId="669CBE14">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关键参数：通道周期=20日</w:t>
      </w:r>
    </w:p>
    <w:p w14:paraId="65937D66">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53F11A7A">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55C9748">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年化收益率：8-15%</w:t>
      </w:r>
    </w:p>
    <w:p w14:paraId="32433A56">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最大回撤：15-28%</w:t>
      </w:r>
    </w:p>
    <w:p w14:paraId="61B8F143">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夏普比率：0.5-0.8</w:t>
      </w:r>
    </w:p>
    <w:p w14:paraId="7D46D6B0">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优缺点：规则简单明确；震荡市假突破多</w:t>
      </w:r>
    </w:p>
    <w:p w14:paraId="0B675660">
      <w:pPr>
        <w:pStyle w:val="3"/>
      </w:pPr>
      <w:r>
        <w:t>策略19. Keltner通道策略</w:t>
      </w:r>
    </w:p>
    <w:p w14:paraId="79DF02BE">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7D76BF6F">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核心思想：基于ATR的波动率通道，价格突破通道跟随趋势</w:t>
      </w:r>
    </w:p>
    <w:p w14:paraId="683ADF8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交易逻辑：Keltner通道用EMA作为中轨，ATR的倍数作为带宽。相比布林带用标准差，ATR能更好反映真实波动。突破上轨表示价格突破正常波动范围，趋势可能形成。</w:t>
      </w:r>
    </w:p>
    <w:p w14:paraId="43C63BE4">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F84E92E">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买入信号：收盘价突破Keltner通道上轨（EMA20+2*ATR14）</w:t>
      </w:r>
    </w:p>
    <w:p w14:paraId="3E588E3E">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卖出信号：收盘价跌破中轨（EMA20）</w:t>
      </w:r>
    </w:p>
    <w:p w14:paraId="5F755D4D">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仓位管理：突破时建仓，持续突破加仓</w:t>
      </w:r>
    </w:p>
    <w:p w14:paraId="723AA02D">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关键参数：EMA周期=20，ATR周期=14，倍数=2</w:t>
      </w:r>
    </w:p>
    <w:p w14:paraId="7055FDE9">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2B02878D">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CF89818">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年化收益率：9-15%</w:t>
      </w:r>
    </w:p>
    <w:p w14:paraId="0985A9DB">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7ADFADB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夏普比率：0.6-0.9</w:t>
      </w:r>
    </w:p>
    <w:p w14:paraId="77DFBA4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优缺点：ATR自适应波动率，通道宽度更合理；参数选择影响较大</w:t>
      </w:r>
    </w:p>
    <w:p w14:paraId="36296180">
      <w:pPr>
        <w:pStyle w:val="3"/>
      </w:pPr>
      <w:r>
        <w:t>策略20. SuperTrend策略</w:t>
      </w:r>
    </w:p>
    <w:p w14:paraId="436FE39E">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6CE8752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核心思想：基于ATR构建的趋势跟踪指标，提供清晰的多空信号</w:t>
      </w:r>
    </w:p>
    <w:p w14:paraId="4FF8F022">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交易逻辑：SuperTrend指标用ATR的倍数在价格上下方设置动态线。价格在SuperTrend线上方为多头，下方为空头。指标翻转时发出交易信号。比传统均线更紧密跟踪价格，减少滞后。</w:t>
      </w:r>
    </w:p>
    <w:p w14:paraId="504056B8">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057F78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买入信号：价格从下方突破SuperTrend线（指标翻绿）</w:t>
      </w:r>
    </w:p>
    <w:p w14:paraId="0A49BFA1">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卖出信号：价格从上方跌破SuperTrend线（指标翻红）</w:t>
      </w:r>
    </w:p>
    <w:p w14:paraId="272E958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仓位管理：全仓切换</w:t>
      </w:r>
    </w:p>
    <w:p w14:paraId="28E06B3D">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关键参数：ATR周期=10，乘数=3</w:t>
      </w:r>
    </w:p>
    <w:p w14:paraId="104A64A2">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适用ETF：行业ETF、宽基ETF</w:t>
      </w:r>
    </w:p>
    <w:p w14:paraId="6CEBE378">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C40C5F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417268A8">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49C5D03A">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599F4F6B">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优缺点：信号清晰，一条线即可判断多空；参数敏感，需优化</w:t>
      </w:r>
    </w:p>
    <w:p w14:paraId="51B0024F">
      <w:pPr>
        <w:pStyle w:val="3"/>
      </w:pPr>
      <w:r>
        <w:t>策略21. 均线多头排列+成交量策略</w:t>
      </w:r>
    </w:p>
    <w:p w14:paraId="448791F4">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13CA096A">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核心思想：均线多头排列配合成交量放大确认趋势有效性</w:t>
      </w:r>
    </w:p>
    <w:p w14:paraId="0C62E270">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交易逻辑：价格趋势需要成交量配合才具有可持续性。多头排列确认趋势方向，成交量放大确认资金参与度。量价齐升是健康趋势的标志。</w:t>
      </w:r>
    </w:p>
    <w:p w14:paraId="55DF2D30">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2C2B7B1">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买入信号：5/10/20/60日均线多头排列，且成交量&gt;20日均量1.5倍</w:t>
      </w:r>
    </w:p>
    <w:p w14:paraId="5BE8B803">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卖出信号：均线空头排列或成交量持续萎缩低于均量50%</w:t>
      </w:r>
    </w:p>
    <w:p w14:paraId="321D1C4D">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仓位管理：量价配合满仓，量能不足减仓</w:t>
      </w:r>
    </w:p>
    <w:p w14:paraId="7C59717F">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关键参数：均线组合5/10/20/60，量比阈值=1.5</w:t>
      </w:r>
    </w:p>
    <w:p w14:paraId="783CB604">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适用ETF：行业ETF、主题ETF</w:t>
      </w:r>
    </w:p>
    <w:p w14:paraId="5659C102">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FE50A65">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年化收益率：12-20%</w:t>
      </w:r>
    </w:p>
    <w:p w14:paraId="5C3F5C13">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642E8DCE">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7306C7E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优缺点：量价结合提高信号质量；条件严格，符合条件的信号较少</w:t>
      </w:r>
    </w:p>
    <w:p w14:paraId="7644B42B">
      <w:pPr>
        <w:pStyle w:val="3"/>
      </w:pPr>
      <w:r>
        <w:t>策略22. EMA指数均线趋势策略</w:t>
      </w:r>
    </w:p>
    <w:p w14:paraId="5850782F">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46C2AEF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核心思想：使用EMA替代SMA，更快响应价格变化</w:t>
      </w:r>
    </w:p>
    <w:p w14:paraId="54A80DC8">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交易逻辑：EMA对近期价格赋予更高权重，比SMA更灵敏。EMA12/EMA26组合是MACD的基础，直接用EMA交叉可获得更早的信号。</w:t>
      </w:r>
    </w:p>
    <w:p w14:paraId="2BB5949B">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9E70AC4">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买入信号：EMA12上穿EMA26</w:t>
      </w:r>
    </w:p>
    <w:p w14:paraId="4DDBF798">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卖出信号：EMA12下穿EMA26</w:t>
      </w:r>
    </w:p>
    <w:p w14:paraId="5AFA140E">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仓位管理：价格在EMA26上方满仓，下方清仓</w:t>
      </w:r>
    </w:p>
    <w:p w14:paraId="103DB3FF">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关键参数：EMA12、EMA26</w:t>
      </w:r>
    </w:p>
    <w:p w14:paraId="5E4F4F19">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44D59D36">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4E0C4D6">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1561447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最大回撤：15-22%</w:t>
      </w:r>
    </w:p>
    <w:p w14:paraId="6D79107D">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夏普比率：0.5-0.8</w:t>
      </w:r>
    </w:p>
    <w:p w14:paraId="0C0DE851">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优缺点：比SMA响应更快；同时假信号也更多</w:t>
      </w:r>
    </w:p>
    <w:p w14:paraId="37FEEDD0">
      <w:pPr>
        <w:pStyle w:val="3"/>
      </w:pPr>
      <w:r>
        <w:t>策略23. MACD+ADX组合策略</w:t>
      </w:r>
    </w:p>
    <w:p w14:paraId="52847067">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12BCFB61">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核心思想：ADX确认趋势存在，MACD确认趋势方向和入场时机</w:t>
      </w:r>
    </w:p>
    <w:p w14:paraId="6DC0581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交易逻辑：先用ADX判断市场是否处于趋势状态（ADX&gt;25），再用MACD金叉/死叉确定具体入场时机。双重确认大幅减少震荡市的假信号。</w:t>
      </w:r>
    </w:p>
    <w:p w14:paraId="2B9B5BC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44BEC1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买入信号：ADX&gt;25 且 MACD金叉 且 +DI&gt;-DI</w:t>
      </w:r>
    </w:p>
    <w:p w14:paraId="75C51ACF">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卖出信号：MACD死叉 或 ADX&lt;20</w:t>
      </w:r>
    </w:p>
    <w:p w14:paraId="78D7CEE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仓位管理：ADX&gt;35满仓，25-35之间半仓</w:t>
      </w:r>
    </w:p>
    <w:p w14:paraId="22D3D965">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关键参数：ADX周期=14，MACD(12,26,9)</w:t>
      </w:r>
    </w:p>
    <w:p w14:paraId="53250939">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适用ETF：行业ETF、宽基ETF</w:t>
      </w:r>
    </w:p>
    <w:p w14:paraId="2B325B7E">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8CD4C1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年化收益率：11-17%</w:t>
      </w:r>
    </w:p>
    <w:p w14:paraId="49174078">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48259646">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2F911073">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优缺点：双重过滤效果好；信号较少，可能错过部分行情</w:t>
      </w:r>
    </w:p>
    <w:p w14:paraId="462502C2">
      <w:pPr>
        <w:pStyle w:val="3"/>
      </w:pPr>
      <w:r>
        <w:t>策略24. Parabolic SAR + ADX组合策略</w:t>
      </w:r>
    </w:p>
    <w:p w14:paraId="66DF0EE9">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1AD443B5">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核心思想：ADX筛选趋势环境，SAR提供具体入场点和动态止损</w:t>
      </w:r>
    </w:p>
    <w:p w14:paraId="09664972">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交易逻辑：SAR在趋势市效果好但震荡市频繁翻转。加入ADX过滤后，只在ADX&gt;25的趋势环境中跟随SAR信号，大幅降低假信号率。SAR提供精确的止损位，ADX确保策略只在有趋势时运作。</w:t>
      </w:r>
    </w:p>
    <w:p w14:paraId="2FDDE28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446D3EC">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买入信号：ADX&gt;25且SAR翻到价格下方</w:t>
      </w:r>
    </w:p>
    <w:p w14:paraId="4ECBEBD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卖出信号：SAR翻到价格上方 或 ADX&lt;20</w:t>
      </w:r>
    </w:p>
    <w:p w14:paraId="7F6EE187">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仓位管理：按ADX强度调整仓位</w:t>
      </w:r>
    </w:p>
    <w:p w14:paraId="55EE9AE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关键参数：SAR(AF=0.02,MaxAF=0.2), ADX周期=14</w:t>
      </w:r>
    </w:p>
    <w:p w14:paraId="6F021347">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适用ETF：行业ETF、商品ETF</w:t>
      </w:r>
    </w:p>
    <w:p w14:paraId="4B3A9763">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FC4F17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288EF900">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6F675DDB">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夏普比率：0.7-1.0</w:t>
      </w:r>
    </w:p>
    <w:p w14:paraId="231F098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优缺点：有效避免震荡市反复止损；严格条件减少交易机会</w:t>
      </w:r>
    </w:p>
    <w:p w14:paraId="771718BB">
      <w:pPr>
        <w:pStyle w:val="3"/>
      </w:pPr>
      <w:r>
        <w:t>策略25. 均线+MACD+布林带三重确认策略</w:t>
      </w:r>
    </w:p>
    <w:p w14:paraId="18AE42BD">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7AE61C38">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核心思想：三个维度同时确认趋势，追求高概率入场</w:t>
      </w:r>
    </w:p>
    <w:p w14:paraId="7CCD4F81">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交易逻辑：均线确认趋势方向，MACD确认动量，布林带确认波动率突破。三重确认虽然入场机会少，但胜率显著提升。适合追求稳健收益的保守型交易者。</w:t>
      </w:r>
    </w:p>
    <w:p w14:paraId="27703D7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308E9B6">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买入信号：价格&gt;20日均线 且 MACD金叉 且 价格突破布林带上轨</w:t>
      </w:r>
    </w:p>
    <w:p w14:paraId="347A7110">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卖出信号：任意两个指标转空</w:t>
      </w:r>
    </w:p>
    <w:p w14:paraId="454AB08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仓位管理：三指标全部确认时满仓</w:t>
      </w:r>
    </w:p>
    <w:p w14:paraId="5489CFB5">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关键参数：MA20, MACD(12,26,9), BB(20,2)</w:t>
      </w:r>
    </w:p>
    <w:p w14:paraId="32D83C8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799F2543">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D1F5CE2">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年化收益率：10-15%</w:t>
      </w:r>
    </w:p>
    <w:p w14:paraId="211F0253">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4947565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夏普比率：0.8-1.2</w:t>
      </w:r>
    </w:p>
    <w:p w14:paraId="4EE9C4E1">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优缺点：高胜率，低回撤；信号极少，持仓时间可能较短</w:t>
      </w:r>
    </w:p>
    <w:p w14:paraId="6B4C901F">
      <w:pPr>
        <w:pStyle w:val="3"/>
      </w:pPr>
      <w:r>
        <w:t>策略26. 周线均线趋势策略</w:t>
      </w:r>
    </w:p>
    <w:p w14:paraId="3AC32A0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2E85532A">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核心思想：用周线级别均线过滤日线噪音，把握大趋势</w:t>
      </w:r>
    </w:p>
    <w:p w14:paraId="77041109">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交易逻辑：周线级别的均线信号更可靠，因为一周的价格数据更能反映真实趋势。周线MA5上穿MA20等同于日线级别的25/100日均线交叉，但假信号大幅减少。</w:t>
      </w:r>
    </w:p>
    <w:p w14:paraId="1B0A1DA8">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4BC892C">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买入信号：周线5周均线上穿20周均线</w:t>
      </w:r>
    </w:p>
    <w:p w14:paraId="524E27B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卖出信号：周线5周均线下穿20周均线</w:t>
      </w:r>
    </w:p>
    <w:p w14:paraId="392F02CD">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仓位管理：全仓操作</w:t>
      </w:r>
    </w:p>
    <w:p w14:paraId="627389C1">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关键参数：周线5MA/20MA</w:t>
      </w:r>
    </w:p>
    <w:p w14:paraId="77B79C41">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适用ETF：宽基ETF、行业ETF</w:t>
      </w:r>
    </w:p>
    <w:p w14:paraId="53E1EF11">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E66A34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年化收益率：7-12%</w:t>
      </w:r>
    </w:p>
    <w:p w14:paraId="6FBE5B9D">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2100AEBF">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夏普比率：0.5-0.8</w:t>
      </w:r>
    </w:p>
    <w:p w14:paraId="7AC2EE75">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优缺点：信号可靠，适合工作忙碌的投资者；反应慢，趋势末期回吐利润多</w:t>
      </w:r>
    </w:p>
    <w:p w14:paraId="64054C80">
      <w:pPr>
        <w:pStyle w:val="3"/>
      </w:pPr>
      <w:r>
        <w:t>策略27. 200日均线牛熊分界策略</w:t>
      </w:r>
    </w:p>
    <w:p w14:paraId="1ADACD2E">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01C85966">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核心思想：以200日均线作为长期趋势分界线，多头市场满仓，空头市场空仓</w:t>
      </w:r>
    </w:p>
    <w:p w14:paraId="517363F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交易逻辑：200日均线是全球投资者广泛关注的长期趋势指标。价格在200日均线上方说明长期趋势向好，持有风险低；跌破200日均线说明长期趋势转弱。这是最简单的牛熊判断方法。</w:t>
      </w:r>
    </w:p>
    <w:p w14:paraId="3F7F6788">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B3C82D1">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买入信号：价格站上200日均线</w:t>
      </w:r>
    </w:p>
    <w:p w14:paraId="1874C466">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卖出信号：价格跌破200日均线</w:t>
      </w:r>
    </w:p>
    <w:p w14:paraId="31A0FBA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仓位管理：全仓或空仓</w:t>
      </w:r>
    </w:p>
    <w:p w14:paraId="4874E2C5">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关键参数：200日简单移动平均线</w:t>
      </w:r>
    </w:p>
    <w:p w14:paraId="54E33AD1">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适用ETF：标普500ETF、沪深300ETF</w:t>
      </w:r>
    </w:p>
    <w:p w14:paraId="36FD4BC3">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52F2E0C">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年化收益率：7-11%</w:t>
      </w:r>
    </w:p>
    <w:p w14:paraId="063999D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55781B69">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夏普比率：0.5-0.8</w:t>
      </w:r>
    </w:p>
    <w:p w14:paraId="48FBE2C3">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优缺点：极简有效，避免大熊市；震荡市可能反复穿越均线</w:t>
      </w:r>
    </w:p>
    <w:p w14:paraId="4F0898A6">
      <w:pPr>
        <w:pStyle w:val="3"/>
      </w:pPr>
      <w:r>
        <w:t>策略28. 双均线+RSI过滤策略</w:t>
      </w:r>
    </w:p>
    <w:p w14:paraId="645D1526">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7C688768">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核心思想：均线金叉信号配合RSI过滤超买超卖区域，避免追高</w:t>
      </w:r>
    </w:p>
    <w:p w14:paraId="587D21A9">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交易逻辑：均线金叉但RSI已超买（&gt;70）时不追入，避免追高；均线金叉且RSI处于中性区间（30-70）时入场更安全。RSI过滤提高入场质量。</w:t>
      </w:r>
    </w:p>
    <w:p w14:paraId="59B5895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EE74E7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买入信号：10/30日均线金叉，且RSI(14)&lt;70</w:t>
      </w:r>
    </w:p>
    <w:p w14:paraId="4B9053C4">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卖出信号：10/30日均线死叉，或RSI&gt;80</w:t>
      </w:r>
    </w:p>
    <w:p w14:paraId="68A90F43">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仓位管理：RSI越低仓位越重</w:t>
      </w:r>
    </w:p>
    <w:p w14:paraId="5154CF55">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关键参数：MA10/MA30, RSI周期=14</w:t>
      </w:r>
    </w:p>
    <w:p w14:paraId="3C183573">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1AB03811">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A237BD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年化收益率：9-14%</w:t>
      </w:r>
    </w:p>
    <w:p w14:paraId="2073B5B6">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4255B174">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2771F11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优缺点：避免追高，入场质量提升；增加条件降低交易频率</w:t>
      </w:r>
    </w:p>
    <w:p w14:paraId="2A576406">
      <w:pPr>
        <w:pStyle w:val="3"/>
      </w:pPr>
      <w:r>
        <w:t>策略29. 自适应均线（AMA）策略</w:t>
      </w:r>
    </w:p>
    <w:p w14:paraId="25D242D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420D51F0">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核心思想：均线周期根据市场波动自动调整，趋势市快速响应，震荡市慢速过滤</w:t>
      </w:r>
    </w:p>
    <w:p w14:paraId="603C5EB1">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交易逻辑：Kaufman自适应均线根据价格效率比（方向性运动/总运动）自动调整平滑系数。趋势明确时像短期均线一样灵敏，震荡时像长期均线一样平滑，自动适应市场状态。</w:t>
      </w:r>
    </w:p>
    <w:p w14:paraId="2A2DD3E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49105F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买入信号：价格上穿AMA线且AMA斜率为正</w:t>
      </w:r>
    </w:p>
    <w:p w14:paraId="75F8336D">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卖出信号：价格下穿AMA线且AMA斜率为负</w:t>
      </w:r>
    </w:p>
    <w:p w14:paraId="04988C1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仓位管理：按AMA变化速率调整仓位</w:t>
      </w:r>
    </w:p>
    <w:p w14:paraId="09A6174A">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关键参数：效率比周期=10，快速EMA=2，慢速EMA=30</w:t>
      </w:r>
    </w:p>
    <w:p w14:paraId="45243451">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7C1C9DE6">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632BF4D">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18DD4B7D">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302F909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539141E2">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优缺点：自适应不同市场环境；计算复杂，参数调优难度大</w:t>
      </w:r>
    </w:p>
    <w:p w14:paraId="22CDEA91">
      <w:pPr>
        <w:pStyle w:val="3"/>
      </w:pPr>
      <w:r>
        <w:t>策略30. Ichimoku云图策略</w:t>
      </w:r>
    </w:p>
    <w:p w14:paraId="7BACB30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2CCF818A">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核心思想：利用一目均衡图的多维度指标系统判断趋势、支撑阻力和动量</w:t>
      </w:r>
    </w:p>
    <w:p w14:paraId="16552A6A">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交易逻辑：Ichimoku系统通过转换线、基准线、先行带A/B和延迟线五个组件全面分析市场。价格在云层上方为多头，下方为空头。云层厚度反映支撑/阻力强度。是一个完整的交易系统。</w:t>
      </w:r>
    </w:p>
    <w:p w14:paraId="71F4774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1CF591E">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买入信号：转换线上穿基准线，价格在云层上方，延迟线在价格上方</w:t>
      </w:r>
    </w:p>
    <w:p w14:paraId="20CF82E0">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卖出信号：转换线下穿基准线，或价格跌入云层</w:t>
      </w:r>
    </w:p>
    <w:p w14:paraId="3C458FB3">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仓位管理：所有条件满足满仓，部分满足半仓</w:t>
      </w:r>
    </w:p>
    <w:p w14:paraId="08125F8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关键参数：转换线=9，基准线=26，先行=52</w:t>
      </w:r>
    </w:p>
    <w:p w14:paraId="5CA32B4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适用ETF：日经ETF、宽基ETF</w:t>
      </w:r>
    </w:p>
    <w:p w14:paraId="3A30CDF8">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EA598E2">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年化收益率：9-15%</w:t>
      </w:r>
    </w:p>
    <w:p w14:paraId="79BED9FC">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4A287B75">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1FFC5EE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优缺点：信息全面，一个系统解决多个问题；指标复杂，初学者理解困难</w:t>
      </w:r>
    </w:p>
    <w:p w14:paraId="13009F32">
      <w:pPr>
        <w:pStyle w:val="3"/>
      </w:pPr>
      <w:r>
        <w:t>策略31. 线性回归通道策略</w:t>
      </w:r>
    </w:p>
    <w:p w14:paraId="4081F00D">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3659DC76">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核心思想：用线性回归拟合价格趋势，在通道内进行趋势交易</w:t>
      </w:r>
    </w:p>
    <w:p w14:paraId="08C095FA">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交易逻辑：线性回归用最小二乘法拟合价格趋势线，通道由趋势线上下各加标准差构成。价格在通道内运动代表趋势健康，突破通道可能是趋势加速或反转信号。</w:t>
      </w:r>
    </w:p>
    <w:p w14:paraId="5F644989">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323D250">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买入信号：价格触及回归通道下轨且回归斜率为正</w:t>
      </w:r>
    </w:p>
    <w:p w14:paraId="2C1EF576">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卖出信号：价格触及回归通道上轨或回归斜率转负</w:t>
      </w:r>
    </w:p>
    <w:p w14:paraId="1CCD4D7D">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仓位管理：通道内正常仓位，突破通道减仓观望</w:t>
      </w:r>
    </w:p>
    <w:p w14:paraId="4023198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关键参数：回归周期=50日，通道宽度=2倍标准差</w:t>
      </w:r>
    </w:p>
    <w:p w14:paraId="3136D302">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362F785F">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C91F0C2">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年化收益率：8-13%</w:t>
      </w:r>
    </w:p>
    <w:p w14:paraId="09D45879">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1967EED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39DFE39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优缺点：数学基础扎实，通道动态更新；对周期参数敏感</w:t>
      </w:r>
    </w:p>
    <w:p w14:paraId="3AA4C88A">
      <w:pPr>
        <w:pStyle w:val="3"/>
      </w:pPr>
      <w:r>
        <w:t>策略32. 双时间框架趋势策略</w:t>
      </w:r>
    </w:p>
    <w:p w14:paraId="66D585B1">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348C4EB0">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核心思想：大周期判断趋势方向，小周期寻找入场时机</w:t>
      </w:r>
    </w:p>
    <w:p w14:paraId="0EB7D79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交易逻辑：周线趋势向上时只做多不做空，日线回调提供入场机会。大小周期共振时胜率最高。这是"顺大势逆小势"的经典操作方法。</w:t>
      </w:r>
    </w:p>
    <w:p w14:paraId="0795A85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13804B4">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买入信号：周线MA20向上（大趋势多头），日线价格回调至MA20附近反弹</w:t>
      </w:r>
    </w:p>
    <w:p w14:paraId="65426417">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卖出信号：周线MA20转向下 或 日线跌破MA60</w:t>
      </w:r>
    </w:p>
    <w:p w14:paraId="7A193FEE">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仓位管理：大小周期共振时满仓</w:t>
      </w:r>
    </w:p>
    <w:p w14:paraId="1E1A3F1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关键参数：周线MA20，日线MA20/MA60</w:t>
      </w:r>
    </w:p>
    <w:p w14:paraId="331EBE67">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351FE430">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8B5D91B">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49806410">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526A2C74">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夏普比率：0.7-1.0</w:t>
      </w:r>
    </w:p>
    <w:p w14:paraId="6F6A01B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优缺点：方向正确率高；需要同时监控两个时间框架</w:t>
      </w:r>
    </w:p>
    <w:p w14:paraId="17B0DA5A">
      <w:pPr>
        <w:pStyle w:val="3"/>
      </w:pPr>
      <w:r>
        <w:t>策略33. 赫斯特指数（Hurst Exponent）趋势判断策略</w:t>
      </w:r>
    </w:p>
    <w:p w14:paraId="3F9C98CD">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分类：趋势跟踪</w:t>
      </w:r>
    </w:p>
    <w:p w14:paraId="782700D6">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核心思想：利用赫斯特指数判断市场是趋势状态还是均值回归状态，选择对应策略</w:t>
      </w:r>
    </w:p>
    <w:p w14:paraId="0F8ECCDC">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交易逻辑：赫斯特指数H&gt;0.5说明市场有趋势性（持续性），H&lt;0.5说明市场均值回归，H=0.5为随机游走。据此动态切换趋势跟踪或均值回归策略，实现策略自适应。</w:t>
      </w:r>
    </w:p>
    <w:p w14:paraId="6C57F128">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4A79C09">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买入信号：H&gt;0.6时启用趋势策略（如均线交叉），H&lt;0.4时启用均值回归策略</w:t>
      </w:r>
    </w:p>
    <w:p w14:paraId="5204919A">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卖出信号：根据当前启用的子策略确定</w:t>
      </w:r>
    </w:p>
    <w:p w14:paraId="559D707D">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仓位管理：H值越偏离0.5，仓位越重（趋势确定性越高）</w:t>
      </w:r>
    </w:p>
    <w:p w14:paraId="3D85F714">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关键参数：Hurst指数计算窗口=100日</w:t>
      </w:r>
    </w:p>
    <w:p w14:paraId="793CD5D9">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530445A4">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8B2BBFF">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09C9A29F">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最大回撤：10-16%</w:t>
      </w:r>
    </w:p>
    <w:p w14:paraId="7E82C41D">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夏普比率：0.8-1.3</w:t>
      </w:r>
    </w:p>
    <w:p w14:paraId="5922DCD3">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优缺点：自适应市场状态，理论基础强；Hurst指数计算有滞后，状态切换可能不及时</w:t>
      </w:r>
    </w:p>
    <w:p w14:paraId="31597B74">
      <w:pPr>
        <w:pStyle w:val="2"/>
        <w:numPr>
          <w:ilvl w:val="0"/>
          <w:numId w:val="1"/>
        </w:numPr>
        <w:ind w:left="0" w:leftChars="0" w:firstLine="0" w:firstLineChars="0"/>
        <w:rPr>
          <w:b w:val="0"/>
          <w:bdr w:val="none" w:sz="0" w:space="0"/>
        </w:rPr>
      </w:pPr>
      <w:r>
        <w:t>均值回归类策略（策略34-55）</w:t>
      </w:r>
    </w:p>
    <w:p w14:paraId="2B412361">
      <w:pPr>
        <w:pStyle w:val="3"/>
      </w:pPr>
      <w:r>
        <w:t>策略34. RSI超买超卖策略（经典版）</w:t>
      </w:r>
    </w:p>
    <w:p w14:paraId="7D3B94F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2E39987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核心思想：RSI低于30时超卖买入，高于70时超买卖出</w:t>
      </w:r>
    </w:p>
    <w:p w14:paraId="2697FF0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交易逻辑：RSI衡量价格上涨和下跌的相对力度。RSI&lt;30说明近期跌幅过大，空方力量衰竭，反弹概率增大；RSI&gt;70说明近期涨幅过大，多方力量透支。本质是利用市场短期过度反应后的均值回归。</w:t>
      </w:r>
    </w:p>
    <w:p w14:paraId="70141591">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B0F3A6B">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买入信号：RSI(14)&lt;30</w:t>
      </w:r>
    </w:p>
    <w:p w14:paraId="4AE53794">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卖出信号：RSI(14)&gt;70</w:t>
      </w:r>
    </w:p>
    <w:p w14:paraId="2D90890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仓位管理：RSI越低买入仓位越大</w:t>
      </w:r>
    </w:p>
    <w:p w14:paraId="27CCC324">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关键参数：RSI周期=14，超卖=30，超买=70</w:t>
      </w:r>
    </w:p>
    <w:p w14:paraId="19DCCE01">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适用ETF：沪深300ETF、上证50ETF</w:t>
      </w:r>
    </w:p>
    <w:p w14:paraId="49D8E372">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FADD144">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2A20B11E">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5D3068E5">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0D5E3C8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优缺点：简单有效，胜率较高；趋势性下跌中RSI可能长期超卖</w:t>
      </w:r>
    </w:p>
    <w:p w14:paraId="759DB001">
      <w:pPr>
        <w:pStyle w:val="3"/>
      </w:pPr>
      <w:r>
        <w:t>策略35. RSI极端超卖策略</w:t>
      </w:r>
    </w:p>
    <w:p w14:paraId="68B2708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32129166">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核心思想：RSI跌至极端超卖区域（&lt;20或&lt;10）时逆向买入</w:t>
      </w:r>
    </w:p>
    <w:p w14:paraId="6657215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交易逻辑：极端RSI值代表恐慌性抛售，往往是情绪驱动而非基本面变化。历史统计显示RSI&lt;10后5-20日内反弹概率超过80%。比标准RSI超卖策略的胜率更高但交易机会更少。</w:t>
      </w:r>
    </w:p>
    <w:p w14:paraId="539BB6EB">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AB5DACE">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买入信号：RSI(2)&lt;10 或 RSI(14)&lt;20</w:t>
      </w:r>
    </w:p>
    <w:p w14:paraId="12CF7984">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卖出信号：RSI回升至50以上</w:t>
      </w:r>
    </w:p>
    <w:p w14:paraId="105C7AD3">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仓位管理：极端超卖时重仓</w:t>
      </w:r>
    </w:p>
    <w:p w14:paraId="0D0C4B64">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关键参数：RSI(2)或RSI(14)</w:t>
      </w:r>
    </w:p>
    <w:p w14:paraId="7ECB2204">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3D4F5385">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3020B7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年化收益率：10-18%</w:t>
      </w:r>
    </w:p>
    <w:p w14:paraId="6089122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最大回撤：10-20%</w:t>
      </w:r>
    </w:p>
    <w:p w14:paraId="0056A963">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4BCA7AB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优缺点：胜率高，平均盈利较大；机会少，系统性风险时仍可能巨亏</w:t>
      </w:r>
    </w:p>
    <w:p w14:paraId="0C129973">
      <w:pPr>
        <w:pStyle w:val="3"/>
      </w:pPr>
      <w:r>
        <w:t>策略36. RSI连续超卖策略</w:t>
      </w:r>
    </w:p>
    <w:p w14:paraId="0569EF08">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6D0EA43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核心思想：RSI连续多日处于超卖区后入场，确保超卖状态充分</w:t>
      </w:r>
    </w:p>
    <w:p w14:paraId="57A9466D">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交易逻辑：单日RSI超卖可能只是短暂波动，连续3-5日超卖说明卖压已充分释放。等待RSI从超卖区回升至30以上时入场，确认反弹启动。</w:t>
      </w:r>
    </w:p>
    <w:p w14:paraId="1516E46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C171834">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买入信号：RSI连续3日&lt;30后回升至30以上</w:t>
      </w:r>
    </w:p>
    <w:p w14:paraId="0A0302FA">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卖出信号：RSI&gt;65或持有5日</w:t>
      </w:r>
    </w:p>
    <w:p w14:paraId="5396C3D9">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仓位管理：固定仓位</w:t>
      </w:r>
    </w:p>
    <w:p w14:paraId="52C978B1">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关键参数：RSI=14，超卖连续天数=3</w:t>
      </w:r>
    </w:p>
    <w:p w14:paraId="04299F94">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5FE68CF4">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A8255CE">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年化收益率：9-15%</w:t>
      </w:r>
    </w:p>
    <w:p w14:paraId="1EF58735">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2C3DF53D">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4B9A375B">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优缺点：过滤了单日假信号；等待期间可能错过V型反弹</w:t>
      </w:r>
    </w:p>
    <w:p w14:paraId="09650408">
      <w:pPr>
        <w:pStyle w:val="3"/>
      </w:pPr>
      <w:r>
        <w:t>策略37. 布林带均值回归策略</w:t>
      </w:r>
    </w:p>
    <w:p w14:paraId="65F9D6BB">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5A0A9CE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核心思想：价格偏离均值到布林带外后回归均值</w:t>
      </w:r>
    </w:p>
    <w:p w14:paraId="68535699">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交易逻辑：统计学上，价格95%的时间在布林带内运行。偏离带外是异常状态，有强烈回归均值的倾向。结合RSI双重确认可提高信号质量。</w:t>
      </w:r>
    </w:p>
    <w:p w14:paraId="682C1957">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E3E51A6">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买入信号：价格收在布林带下轨以下，且RSI&lt;35</w:t>
      </w:r>
    </w:p>
    <w:p w14:paraId="15934A7E">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卖出信号：价格回到中轨或RSI&gt;60</w:t>
      </w:r>
    </w:p>
    <w:p w14:paraId="30598CF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仓位管理：偏离程度越大仓位越重</w:t>
      </w:r>
    </w:p>
    <w:p w14:paraId="684D6664">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关键参数：BB(20,2), RSI(14)</w:t>
      </w:r>
    </w:p>
    <w:p w14:paraId="717F6D89">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适用ETF：低波动宽基ETF</w:t>
      </w:r>
    </w:p>
    <w:p w14:paraId="11DFBD7A">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862E6A3">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年化收益率：9-15%</w:t>
      </w:r>
    </w:p>
    <w:p w14:paraId="73626E4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最大回撤：8-16%</w:t>
      </w:r>
    </w:p>
    <w:p w14:paraId="31C2B8C4">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22E65C44">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优缺点：双重确认提高胜率；强趋势市中均值回归策略失效</w:t>
      </w:r>
    </w:p>
    <w:p w14:paraId="37B845EE">
      <w:pPr>
        <w:pStyle w:val="3"/>
      </w:pPr>
      <w:r>
        <w:t>策略38. 乖离率（BIAS）回归策略</w:t>
      </w:r>
    </w:p>
    <w:p w14:paraId="47DABCA4">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2BC6E73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核心思想：价格偏离均线过远时回归均线</w:t>
      </w:r>
    </w:p>
    <w:p w14:paraId="3CDE7A47">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交易逻辑：乖离率=（价格-均线）/均线*100%。乖离率过大说明价格短期涨/跌过快，有回归均线的内在需求。不同ETF有不同的正常乖离率范围。</w:t>
      </w:r>
    </w:p>
    <w:p w14:paraId="7D4D98A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D540AC0">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买入信号：20日乖离率&lt;-8%（价格低于20日均线8%以上）</w:t>
      </w:r>
    </w:p>
    <w:p w14:paraId="6C5F72FE">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卖出信号：20日乖离率&gt;5%或回到均线附近（乖离率回到0附近）</w:t>
      </w:r>
    </w:p>
    <w:p w14:paraId="4CC33C4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仓位管理：乖离率&lt;-10%满仓，-8%~-10%半仓</w:t>
      </w:r>
    </w:p>
    <w:p w14:paraId="14C5C5D8">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关键参数：均线周期=20日，买入乖离率阈值=-8%</w:t>
      </w:r>
    </w:p>
    <w:p w14:paraId="3C9F1C56">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适用ETF：沪深300ETF、中证500ETF</w:t>
      </w:r>
    </w:p>
    <w:p w14:paraId="140A9EAD">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57786CD">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04212FE4">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5152509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5A69CE6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优缺点：直观易理解；阈值需根据不同ETF和市场环境调整</w:t>
      </w:r>
    </w:p>
    <w:p w14:paraId="09F522CF">
      <w:pPr>
        <w:pStyle w:val="3"/>
      </w:pPr>
      <w:r>
        <w:t>策略39. 统计套利均值回归策略</w:t>
      </w:r>
    </w:p>
    <w:p w14:paraId="0B560335">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41C56E5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核心思想：两个高相关ETF的价差偏离历史均值时进行配对交易</w:t>
      </w:r>
    </w:p>
    <w:p w14:paraId="0CE5FD2E">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交易逻辑：两个高相关ETF（如沪深300ETF和中证500ETF）的价差长期围绕均值波动。当价差异常偏大时，做多弱势ETF做空强势ETF，等待价差回归。基于协整关系的配对交易。</w:t>
      </w:r>
    </w:p>
    <w:p w14:paraId="7EA844A8">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185A5CB">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买入信号：价差&gt;均值+2倍标准差，做多弱势、做空强势</w:t>
      </w:r>
    </w:p>
    <w:p w14:paraId="13F587B3">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卖出信号：价差回归均值附近</w:t>
      </w:r>
    </w:p>
    <w:p w14:paraId="7ADE4ADC">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仓位管理：等金额做多做空</w:t>
      </w:r>
    </w:p>
    <w:p w14:paraId="2C05F91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关键参数：回看窗口=60日，阈值=2倍标准差</w:t>
      </w:r>
    </w:p>
    <w:p w14:paraId="2BAB004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适用ETF：高相关ETF对（如沪深300/中证500、上证50/沪深300）</w:t>
      </w:r>
    </w:p>
    <w:p w14:paraId="1FA58F74">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BAE1835">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年化收益率：6-12%</w:t>
      </w:r>
    </w:p>
    <w:p w14:paraId="45006FD7">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最大回撤：5-12%</w:t>
      </w:r>
    </w:p>
    <w:p w14:paraId="329FADC0">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夏普比率：0.8-1.5</w:t>
      </w:r>
    </w:p>
    <w:p w14:paraId="70F44428">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优缺点：市场中性，回撤小；需要融券做空，收益有限</w:t>
      </w:r>
    </w:p>
    <w:p w14:paraId="7F5B86F9">
      <w:pPr>
        <w:pStyle w:val="3"/>
      </w:pPr>
      <w:r>
        <w:t>策略40. 价格偏离移动平均线回归策略</w:t>
      </w:r>
    </w:p>
    <w:p w14:paraId="60FBDE97">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608EC533">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核心思想：价格偏离长期均线过远时买入，等待回归</w:t>
      </w:r>
    </w:p>
    <w:p w14:paraId="371A3BB9">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交易逻辑：长期均线（如60日/120日）代表价格的中长期均衡位置。短期价格受情绪影响偏离均线，但长期必然回归。偏离越大回归力量越强。</w:t>
      </w:r>
    </w:p>
    <w:p w14:paraId="55826E4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EE6DAC7">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买入信号：价格低于60日均线10%以上</w:t>
      </w:r>
    </w:p>
    <w:p w14:paraId="015FA957">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卖出信号：价格回到60日均线以上</w:t>
      </w:r>
    </w:p>
    <w:p w14:paraId="53099F0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仓位管理：每偏离2%加一层仓位</w:t>
      </w:r>
    </w:p>
    <w:p w14:paraId="4F9E291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关键参数：均线=60日，偏离阈值=10%</w:t>
      </w:r>
    </w:p>
    <w:p w14:paraId="270A149F">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3F61DBDF">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76D771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5F45CA0D">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77698AF5">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67560E14">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优缺点：逻辑简单清晰；熊市中价格可能持续偏离均线</w:t>
      </w:r>
    </w:p>
    <w:p w14:paraId="26DF29D3">
      <w:pPr>
        <w:pStyle w:val="3"/>
      </w:pPr>
      <w:r>
        <w:t>策略41. Z-Score均值回归策略</w:t>
      </w:r>
    </w:p>
    <w:p w14:paraId="3D1417BC">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6CF50F83">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核心思想：用Z-Score标准化价格偏离程度，在极端偏离时交易</w:t>
      </w:r>
    </w:p>
    <w:p w14:paraId="7A87CC27">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交易逻辑：Z-Score=（当前价格-N日均值）/N日标准差。Z-Score&lt;-2表示价格低于均值2个标准差，正态分布下这种情况概率仅2.3%，有极强的均值回归倾向。</w:t>
      </w:r>
    </w:p>
    <w:p w14:paraId="30D66D97">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E2B7F25">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买入信号：Z-Score&lt;-2（21日窗口）</w:t>
      </w:r>
    </w:p>
    <w:p w14:paraId="0AEECB64">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卖出信号：Z-Score&gt;0（回归均值）或Z-Score&gt;2（做空）</w:t>
      </w:r>
    </w:p>
    <w:p w14:paraId="65CAAA08">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仓位管理：Z-Score&lt;-2半仓，&lt;-3满仓</w:t>
      </w:r>
    </w:p>
    <w:p w14:paraId="388358A0">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关键参数：窗口=21日，买入阈值=-2</w:t>
      </w:r>
    </w:p>
    <w:p w14:paraId="3B6FD461">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适用ETF：流动性好的宽基ETF</w:t>
      </w:r>
    </w:p>
    <w:p w14:paraId="21E6AEC4">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411A6D2C">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027C00E8">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5F3C602E">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夏普比率：0.8-1.3</w:t>
      </w:r>
    </w:p>
    <w:p w14:paraId="6A7F458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优缺点：数学基础扎实，标准化后可跨品种比较；正态分布假设可能不成立</w:t>
      </w:r>
    </w:p>
    <w:p w14:paraId="663310EB">
      <w:pPr>
        <w:pStyle w:val="3"/>
      </w:pPr>
      <w:r>
        <w:t>策略42. Ornstein-Uhlenbeck模型均值回归</w:t>
      </w:r>
    </w:p>
    <w:p w14:paraId="74B8BDE7">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4A0C5830">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核心思想：用OU过程建模价格的均值回归行为，估计回归速度和均衡价格</w:t>
      </w:r>
    </w:p>
    <w:p w14:paraId="4D1C6FF8">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交易逻辑：OU过程是连续时间均值回归模型，参数包括长期均值mu、回归速度theta和波动率sigma。theta越大回归越快，交易机会越多。通过模型参数估计判断回归的确定性和预期收益。</w:t>
      </w:r>
    </w:p>
    <w:p w14:paraId="57700CD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6CA1966">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买入信号：价格偏离估计的长期均值mu超过1.5个sigma</w:t>
      </w:r>
    </w:p>
    <w:p w14:paraId="67DFC998">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卖出信号：价格回归至mu附近（0.5个sigma以内）</w:t>
      </w:r>
    </w:p>
    <w:p w14:paraId="2CA69E7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仓位管理：按OU模型预期收益调整仓位</w:t>
      </w:r>
    </w:p>
    <w:p w14:paraId="71C25ED0">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关键参数：OU模型参数(mu, theta, sigma)，滚动窗口=60日</w:t>
      </w:r>
    </w:p>
    <w:p w14:paraId="3ADD5D70">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适用ETF：配对交易中的价差序列</w:t>
      </w:r>
    </w:p>
    <w:p w14:paraId="6C2E1D1D">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9658087">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年化收益率：8-15%</w:t>
      </w:r>
    </w:p>
    <w:p w14:paraId="0BEC3278">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最大回撤：5-12%</w:t>
      </w:r>
    </w:p>
    <w:p w14:paraId="35F2B9A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夏普比率：0.8-1.5</w:t>
      </w:r>
    </w:p>
    <w:p w14:paraId="0DB309A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优缺点：理论基础强，参数可估计；假设条件严格，实际中参数不稳定</w:t>
      </w:r>
    </w:p>
    <w:p w14:paraId="479BAEF6">
      <w:pPr>
        <w:pStyle w:val="3"/>
      </w:pPr>
      <w:r>
        <w:t>策略43. 威廉指标（Williams %R）均值回归策略</w:t>
      </w:r>
    </w:p>
    <w:p w14:paraId="66D5551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2A3D600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核心思想：Williams %R指标在超买超卖区域反转时交易</w:t>
      </w:r>
    </w:p>
    <w:p w14:paraId="107C5E06">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交易逻辑：%R反映收盘价在N日最高最低价区间中的位置。%R&lt;-80表示价格接近N日最低点（超卖），%R&gt;-20表示接近最高点（超买）。极端位置后的反转概率较高。</w:t>
      </w:r>
    </w:p>
    <w:p w14:paraId="1071E98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AADF050">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买入信号：%R(14)&lt;-80后回升至-80以上</w:t>
      </w:r>
    </w:p>
    <w:p w14:paraId="49980DEF">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卖出信号：%R(14)&gt;-20后回落至-20以下</w:t>
      </w:r>
    </w:p>
    <w:p w14:paraId="7DE5064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仓位管理：固定仓位</w:t>
      </w:r>
    </w:p>
    <w:p w14:paraId="2ED30722">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关键参数：%R周期=14</w:t>
      </w:r>
    </w:p>
    <w:p w14:paraId="71B82352">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0BB24AD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3DC9D06">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年化收益率：7-13%</w:t>
      </w:r>
    </w:p>
    <w:p w14:paraId="00ED1BD5">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3F03C69C">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夏普比率：0.5-0.8</w:t>
      </w:r>
    </w:p>
    <w:p w14:paraId="45CDA3D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优缺点：灵敏度高，信号较多；假信号也多，需配合其他指标</w:t>
      </w:r>
    </w:p>
    <w:p w14:paraId="57999859">
      <w:pPr>
        <w:pStyle w:val="3"/>
      </w:pPr>
      <w:r>
        <w:t>策略44. CCI超买超卖回归策略</w:t>
      </w:r>
    </w:p>
    <w:p w14:paraId="76349059">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2303F48B">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核心思想：CCI偏离+100/-100时判断超买超卖</w:t>
      </w:r>
    </w:p>
    <w:p w14:paraId="0DD0D7B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交易逻辑：CCI（商品通道指数）衡量价格偏离统计平均值的程度。CCI&lt;-100表示价格异常偏低，CCI&gt;+100表示异常偏高。CCI的优势是对异常波动更敏感。</w:t>
      </w:r>
    </w:p>
    <w:p w14:paraId="197B1EB3">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2D6A4A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买入信号：CCI(20)&lt;-100后回升至-100以上</w:t>
      </w:r>
    </w:p>
    <w:p w14:paraId="062CC2D5">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卖出信号：CCI(20)&gt;+100后回落至+100以下</w:t>
      </w:r>
    </w:p>
    <w:p w14:paraId="68987527">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仓位管理：CCI&lt;-200时加倍仓位</w:t>
      </w:r>
    </w:p>
    <w:p w14:paraId="116707C2">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关键参数：CCI周期=20</w:t>
      </w:r>
    </w:p>
    <w:p w14:paraId="526701FB">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4D3B1146">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6DA87C1">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年化收益率：7-13%</w:t>
      </w:r>
    </w:p>
    <w:p w14:paraId="31099529">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2D6F96E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57F4304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优缺点：对异常波动敏感；计算基于典型价格，可能忽略某些信息</w:t>
      </w:r>
    </w:p>
    <w:p w14:paraId="5E76DED0">
      <w:pPr>
        <w:pStyle w:val="3"/>
      </w:pPr>
      <w:r>
        <w:t>策略45. 双RSI均值回归策略</w:t>
      </w:r>
    </w:p>
    <w:p w14:paraId="5F93D9A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416AE2F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核心思想：短周期RSI(2)和长周期RSI(14)共同确认超卖</w:t>
      </w:r>
    </w:p>
    <w:p w14:paraId="29A5CD56">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交易逻辑：RSI(2)极度灵敏，能捕捉短期超卖；RSI(14)确认中期趋势。两者都超卖时确认信号可靠性高。RSI(2)的均值回归效应在学术研究中得到验证。</w:t>
      </w:r>
    </w:p>
    <w:p w14:paraId="7C39581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75F5E85">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买入信号：RSI(2)&lt;5 且 RSI(14)&lt;35</w:t>
      </w:r>
    </w:p>
    <w:p w14:paraId="4478C95E">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卖出信号：RSI(2)&gt;70 或持有3-5日</w:t>
      </w:r>
    </w:p>
    <w:p w14:paraId="004D73CB">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仓位管理：双重超卖满仓</w:t>
      </w:r>
    </w:p>
    <w:p w14:paraId="3DF6CC38">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关键参数：RSI(2), RSI(14)</w:t>
      </w:r>
    </w:p>
    <w:p w14:paraId="543E90E2">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40B115E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8D3B374">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年化收益率：12-20%</w:t>
      </w:r>
    </w:p>
    <w:p w14:paraId="561DDF3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4EE9D7EA">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夏普比率：0.8-1.4</w:t>
      </w:r>
    </w:p>
    <w:p w14:paraId="440B7F83">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优缺点：短期胜率非常高（&gt;70%）；持有期短，单笔利润有限</w:t>
      </w:r>
    </w:p>
    <w:p w14:paraId="6A7A23B0">
      <w:pPr>
        <w:pStyle w:val="3"/>
      </w:pPr>
      <w:r>
        <w:t>策略46. 价格通道均值回归策略</w:t>
      </w:r>
    </w:p>
    <w:p w14:paraId="1383A32C">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3D2ACB6A">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核心思想：价格在通道内均值回归，触及通道边缘后反转</w:t>
      </w:r>
    </w:p>
    <w:p w14:paraId="7CCDC32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交易逻辑：计算N日价格中位数和上下N%的通道。价格在通道中运行时表现为均值回归特征。触及下轨买入、触及上轨卖出。</w:t>
      </w:r>
    </w:p>
    <w:p w14:paraId="6D793AD6">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6E89A26">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买入信号：价格触及通道下轨（中位数-N%）</w:t>
      </w:r>
    </w:p>
    <w:p w14:paraId="37DD6306">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卖出信号：价格回到中位数或触及上轨</w:t>
      </w:r>
    </w:p>
    <w:p w14:paraId="42FBDB7B">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仓位管理：分批建仓</w:t>
      </w:r>
    </w:p>
    <w:p w14:paraId="3FE32B9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关键参数：通道周期=50日，通道宽度=上下5%</w:t>
      </w:r>
    </w:p>
    <w:p w14:paraId="584CE10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1A5BB2F4">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1F31A85">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年化收益率：8-13%</w:t>
      </w:r>
    </w:p>
    <w:p w14:paraId="5391580B">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18E5AA8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5EBACC05">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优缺点：适合震荡市；趋势市通道失效</w:t>
      </w:r>
    </w:p>
    <w:p w14:paraId="5A90E9EC">
      <w:pPr>
        <w:pStyle w:val="3"/>
      </w:pPr>
      <w:r>
        <w:t>策略47. 多日连跌后反弹策略</w:t>
      </w:r>
    </w:p>
    <w:p w14:paraId="66F5D9F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3E7B74C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核心思想：连续下跌多日后短期反弹概率大增</w:t>
      </w:r>
    </w:p>
    <w:p w14:paraId="65DEABD5">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交易逻辑：统计研究显示ETF连续下跌3-5日后，次日反弹概率显著增加（&gt;60%）。这是由于短期超卖后的技术性反弹和抄底资金涌入。</w:t>
      </w:r>
    </w:p>
    <w:p w14:paraId="623B719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43F0DFE">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买入信号：连续3日下跌（每日跌幅&gt;0.5%）</w:t>
      </w:r>
    </w:p>
    <w:p w14:paraId="408C8C84">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卖出信号：首次收阳或持有2日</w:t>
      </w:r>
    </w:p>
    <w:p w14:paraId="7B31CDCC">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仓位管理：连跌4日仓位加倍</w:t>
      </w:r>
    </w:p>
    <w:p w14:paraId="6F5172F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关键参数：连跌天数=3，最小跌幅=0.5%/日</w:t>
      </w:r>
    </w:p>
    <w:p w14:paraId="4F07306D">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适用ETF：流动性好的宽基ETF</w:t>
      </w:r>
    </w:p>
    <w:p w14:paraId="794EEE05">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F1996EF">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1D292B56">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627014F5">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08671296">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优缺点：简单有效，统计优势明显；系统性风险时连跌可能很长</w:t>
      </w:r>
    </w:p>
    <w:p w14:paraId="1B69AD57">
      <w:pPr>
        <w:pStyle w:val="3"/>
      </w:pPr>
      <w:r>
        <w:t>策略48. 跳空缺口回补策略</w:t>
      </w:r>
    </w:p>
    <w:p w14:paraId="28DE4AE8">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1F1CFB0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核心思想：价格跳空后有回补缺口的倾向</w:t>
      </w:r>
    </w:p>
    <w:p w14:paraId="62ADFB99">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交易逻辑：跳空缺口代表短期情绪过度反应。统计显示大部分普通缺口在几天内会被回补。当ETF出现向下跳空缺口时买入，等待缺口回补。</w:t>
      </w:r>
    </w:p>
    <w:p w14:paraId="7D7AA6DE">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2CDA470">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买入信号：向下跳空缺口&gt;1%（开盘价低于前日最低价1%以上）</w:t>
      </w:r>
    </w:p>
    <w:p w14:paraId="06AE0C71">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卖出信号：价格回补缺口（回到前日最低价以上）或持有3日</w:t>
      </w:r>
    </w:p>
    <w:p w14:paraId="51066D7F">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仓位管理：固定仓位</w:t>
      </w:r>
    </w:p>
    <w:p w14:paraId="2DC84567">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关键参数：缺口最小幅度=1%</w:t>
      </w:r>
    </w:p>
    <w:p w14:paraId="6EF45B43">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71E074F6">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66E3EFB">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2D559DC6">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66DA6D6A">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4E71105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优缺点：信号明确，操作简单；突破性缺口不会回补</w:t>
      </w:r>
    </w:p>
    <w:p w14:paraId="610D6447">
      <w:pPr>
        <w:pStyle w:val="3"/>
      </w:pPr>
      <w:r>
        <w:t>策略49. 随机指标（KDJ）超卖回归策略</w:t>
      </w:r>
    </w:p>
    <w:p w14:paraId="727C61E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031C85A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核心思想：KDJ指标进入超卖区后的均值回归交易</w:t>
      </w:r>
    </w:p>
    <w:p w14:paraId="2AB730C8">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交易逻辑：KDJ中K值和D值低于20表示超卖，J值低于0表示极度超卖。KDJ对价格变化反应灵敏，在震荡市中均值回归效果好。</w:t>
      </w:r>
    </w:p>
    <w:p w14:paraId="51F773FA">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4B3C1B6">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买入信号：J值&lt;0 且 K值从下方上穿D值（金叉）</w:t>
      </w:r>
    </w:p>
    <w:p w14:paraId="546E768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卖出信号：J值&gt;100 或 K值从上方下穿D值</w:t>
      </w:r>
    </w:p>
    <w:p w14:paraId="7D69373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仓位管理：J值越低仓位越重</w:t>
      </w:r>
    </w:p>
    <w:p w14:paraId="0C189EF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关键参数：KDJ参数(9,3,3)</w:t>
      </w:r>
    </w:p>
    <w:p w14:paraId="35BA1E0E">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3E74FCDC">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E13107B">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4391A9B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20783E98">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夏普比率：0.6-0.9</w:t>
      </w:r>
    </w:p>
    <w:p w14:paraId="38DAFD4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优缺点：灵敏度高，信号多；过于灵敏导致假信号多</w:t>
      </w:r>
    </w:p>
    <w:p w14:paraId="37561692">
      <w:pPr>
        <w:pStyle w:val="3"/>
      </w:pPr>
      <w:r>
        <w:t>策略50. 换手率极值回归策略</w:t>
      </w:r>
    </w:p>
    <w:p w14:paraId="4A12D4C6">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3AB85024">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核心思想：换手率达到极端水平后市场情绪反转</w:t>
      </w:r>
    </w:p>
    <w:p w14:paraId="66B937CA">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交易逻辑：换手率极高说明市场情绪极度亢奋（可能是顶部），换手率极低说明市场极度冷清（可能是底部）。换手率反映市场参与度和情绪强度。</w:t>
      </w:r>
    </w:p>
    <w:p w14:paraId="7E35806A">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0BD92C9">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买入信号：换手率降至近120日最低水平（冰点）</w:t>
      </w:r>
    </w:p>
    <w:p w14:paraId="59C567A0">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卖出信号：换手率升至近120日最高水平（沸点）</w:t>
      </w:r>
    </w:p>
    <w:p w14:paraId="2A4B8C7E">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仓位管理：固定仓位</w:t>
      </w:r>
    </w:p>
    <w:p w14:paraId="4C37134C">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关键参数：换手率统计周期=120日</w:t>
      </w:r>
    </w:p>
    <w:p w14:paraId="7E434959">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15315AD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5B39F3E">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年化收益率：7-12%</w:t>
      </w:r>
    </w:p>
    <w:p w14:paraId="6B7A27CB">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4AF8017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夏普比率：0.5-0.8</w:t>
      </w:r>
    </w:p>
    <w:p w14:paraId="34858E9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优缺点：从资金层面确认市场情绪；换手率极值信号少，滞后性强</w:t>
      </w:r>
    </w:p>
    <w:p w14:paraId="105F1C0B">
      <w:pPr>
        <w:pStyle w:val="3"/>
      </w:pPr>
      <w:r>
        <w:t>策略51. 百分比价格振荡器（PPO）回归策略</w:t>
      </w:r>
    </w:p>
    <w:p w14:paraId="0C49038C">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7FF97276">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核心思想：PPO指标偏离零轴过远后回归零轴</w:t>
      </w:r>
    </w:p>
    <w:p w14:paraId="50FA7D5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交易逻辑：PPO=（短期EMA-长期EMA）/长期EMA*100，本质是MACD的百分比版本。PPO过低说明短期均线大幅低于长期均线，价格超卖；反之超买。</w:t>
      </w:r>
    </w:p>
    <w:p w14:paraId="15306759">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8C012A7">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买入信号：PPO(12,26)&lt;-5%</w:t>
      </w:r>
    </w:p>
    <w:p w14:paraId="2234DF25">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卖出信号：PPO回到0附近或PPO&gt;3%</w:t>
      </w:r>
    </w:p>
    <w:p w14:paraId="1010578B">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仓位管理：PPO越低仓位越重</w:t>
      </w:r>
    </w:p>
    <w:p w14:paraId="3F23CFDA">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关键参数：PPO(12,26)</w:t>
      </w:r>
    </w:p>
    <w:p w14:paraId="22F8621D">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65645FF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11CA71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4D4C2CE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5D544F1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760D7996">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优缺点：百分比化后可跨品种比较；本质与MACD类似，独特性不强</w:t>
      </w:r>
    </w:p>
    <w:p w14:paraId="07D67D5B">
      <w:pPr>
        <w:pStyle w:val="3"/>
      </w:pPr>
      <w:r>
        <w:t>策略52. 价格速度偏离回归策略</w:t>
      </w:r>
    </w:p>
    <w:p w14:paraId="3E66904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7C36E288">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核心思想：价格变化速度（ROC）达到极端后回归正常</w:t>
      </w:r>
    </w:p>
    <w:p w14:paraId="510FEF0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交易逻辑：ROC（Rate of Change）衡量价格变化速率。ROC过低说明下跌速度过快，短期内大概率会减速甚至反弹。是对超跌反弹策略的量化表达。</w:t>
      </w:r>
    </w:p>
    <w:p w14:paraId="6546C80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5B83EF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买入信号：ROC(10)&lt;-10%（10日内跌幅超过10%）</w:t>
      </w:r>
    </w:p>
    <w:p w14:paraId="302C51CC">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卖出信号：ROC(10)&gt;0或持有5日</w:t>
      </w:r>
    </w:p>
    <w:p w14:paraId="2B2DCBAF">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仓位管理：ROC越极端仓位越大</w:t>
      </w:r>
    </w:p>
    <w:p w14:paraId="1D2E83CB">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关键参数：ROC周期=10日，阈值=-10%</w:t>
      </w:r>
    </w:p>
    <w:p w14:paraId="524CDAB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适用ETF：高波动ETF</w:t>
      </w:r>
    </w:p>
    <w:p w14:paraId="590E53AC">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4A2C66FF">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年化收益率：10-18%</w:t>
      </w:r>
    </w:p>
    <w:p w14:paraId="683042E0">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248EA89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612EC98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优缺点：捕捉急跌后反弹；系统性风险时ROC可能持续极端</w:t>
      </w:r>
    </w:p>
    <w:p w14:paraId="12A0368B">
      <w:pPr>
        <w:pStyle w:val="3"/>
      </w:pPr>
      <w:r>
        <w:t>策略53. 隔夜收益回归策略</w:t>
      </w:r>
    </w:p>
    <w:p w14:paraId="4DD70055">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7A0D095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核心思想：利用隔夜跳空（开盘相对前日收盘）的均值回归特性</w:t>
      </w:r>
    </w:p>
    <w:p w14:paraId="4DD832D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交易逻辑：研究表明隔夜收益（开盘价/前收盘价-1）有均值回归倾向。大幅低开后日内往往反弹，大幅高开后日内往往回落。利用开盘情绪过度反应进行日内交易。</w:t>
      </w:r>
    </w:p>
    <w:p w14:paraId="52D3C2D4">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5548FF7">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买入信号：开盘价低于前日收盘价1.5%以上（大幅低开）</w:t>
      </w:r>
    </w:p>
    <w:p w14:paraId="6533B963">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卖出信号：当日收盘前平仓，或利润达到1%</w:t>
      </w:r>
    </w:p>
    <w:p w14:paraId="7611C7FB">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仓位管理：固定仓位</w:t>
      </w:r>
    </w:p>
    <w:p w14:paraId="57BADE2C">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关键参数：低开阈值=1.5%</w:t>
      </w:r>
    </w:p>
    <w:p w14:paraId="53FCACE7">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适用ETF：高流动性宽基ETF</w:t>
      </w:r>
    </w:p>
    <w:p w14:paraId="6F743A4A">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0344092">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年化收益率：8-15%</w:t>
      </w:r>
    </w:p>
    <w:p w14:paraId="42C812E0">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最大回撤：5-12%</w:t>
      </w:r>
    </w:p>
    <w:p w14:paraId="1F48B1F3">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3D6CB21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优缺点：日内交易，持仓风险低；需要实时盯盘，ETF T+1限制影响操作</w:t>
      </w:r>
    </w:p>
    <w:p w14:paraId="0F50349C">
      <w:pPr>
        <w:pStyle w:val="3"/>
      </w:pPr>
      <w:r>
        <w:t>策略54. 尾盘异动回归策略</w:t>
      </w:r>
    </w:p>
    <w:p w14:paraId="41D60756">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7184ABA6">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核心思想：尾盘最后30分钟大幅下跌后次日反弹概率高</w:t>
      </w:r>
    </w:p>
    <w:p w14:paraId="74FDFFA0">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交易逻辑：尾盘异动往往由大资金被动卖出（如基金赎回）导致，并非基本面变化。这种流动性冲击造成的价格偏离会在次日自然修复。</w:t>
      </w:r>
    </w:p>
    <w:p w14:paraId="34ED194E">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445F5C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买入信号：最后30分钟跌幅&gt;1%且全天跌幅&gt;1.5%</w:t>
      </w:r>
    </w:p>
    <w:p w14:paraId="4DF52305">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卖出信号：次日开盘或持有至次日收盘</w:t>
      </w:r>
    </w:p>
    <w:p w14:paraId="15B8365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仓位管理：固定仓位</w:t>
      </w:r>
    </w:p>
    <w:p w14:paraId="05B8B25E">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关键参数：尾盘跌幅阈值=1%</w:t>
      </w:r>
    </w:p>
    <w:p w14:paraId="45CA2186">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适用ETF：高流动性ETF</w:t>
      </w:r>
    </w:p>
    <w:p w14:paraId="57BDD1E5">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816EF04">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1CDC800D">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11CCAE95">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7E8CDC41">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优缺点：利用流动性冲击获利；需要日内数据监控</w:t>
      </w:r>
    </w:p>
    <w:p w14:paraId="490D5994">
      <w:pPr>
        <w:pStyle w:val="3"/>
      </w:pPr>
      <w:r>
        <w:t>策略55. 多指标共振超卖回归策略</w:t>
      </w:r>
    </w:p>
    <w:p w14:paraId="369B473B">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分类：均值回归</w:t>
      </w:r>
    </w:p>
    <w:p w14:paraId="2422486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核心思想：RSI、布林带、KDJ多指标同时超卖时入场</w:t>
      </w:r>
    </w:p>
    <w:p w14:paraId="1EEB900E">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交易逻辑：单一指标超卖可能是假信号，但多个指标同时超卖大幅提高了真超卖的概率。这是"不同测量工具给出一致结论"的统计学思维。</w:t>
      </w:r>
    </w:p>
    <w:p w14:paraId="461801E3">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7DE1E3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买入信号：RSI(14)&lt;30 且 价格&lt;布林带下轨 且 KDJ的J值&lt;0</w:t>
      </w:r>
    </w:p>
    <w:p w14:paraId="25898EC4">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卖出信号：任意两个指标脱离超卖区</w:t>
      </w:r>
    </w:p>
    <w:p w14:paraId="2A2E65A7">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仓位管理：三指标共振满仓</w:t>
      </w:r>
    </w:p>
    <w:p w14:paraId="3DA35D5E">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关键参数：RSI(14), BB(20,2), KDJ(9,3,3)</w:t>
      </w:r>
    </w:p>
    <w:p w14:paraId="4078DFFF">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33FDAF5D">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935CCA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058B7E9C">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最大回撤：6-12%</w:t>
      </w:r>
    </w:p>
    <w:p w14:paraId="607B25D5">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夏普比率：0.9-1.5</w:t>
      </w:r>
    </w:p>
    <w:p w14:paraId="367D7FD8">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优缺点：极高胜率（&gt;75%）；信号非常少，年均仅3-5次</w:t>
      </w:r>
    </w:p>
    <w:p w14:paraId="128F6DAC">
      <w:pPr>
        <w:pStyle w:val="2"/>
        <w:numPr>
          <w:ilvl w:val="0"/>
          <w:numId w:val="1"/>
        </w:numPr>
        <w:ind w:left="0" w:leftChars="0" w:firstLine="0" w:firstLineChars="0"/>
        <w:rPr>
          <w:b w:val="0"/>
          <w:bdr w:val="none" w:sz="0" w:space="0"/>
        </w:rPr>
      </w:pPr>
      <w:r>
        <w:t>动量策略类（策略56-80）</w:t>
      </w:r>
    </w:p>
    <w:p w14:paraId="2C504C66">
      <w:pPr>
        <w:pStyle w:val="3"/>
      </w:pPr>
      <w:r>
        <w:t>策略56. 绝对动量策略（12月动量）</w:t>
      </w:r>
    </w:p>
    <w:p w14:paraId="7C180B0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49D78A57">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核心思想：过去12个月收益为正则持有，为负则空仓/持有债券</w:t>
      </w:r>
    </w:p>
    <w:p w14:paraId="2C6158A6">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交易逻辑：绝对动量（时间序列动量）利用资产自身的趋势惯性。学术研究表明资产过去12个月的表现能预测未来1-3个月走势。正收益说明处于上升趋势中，负收益说明处于下降趋势中。</w:t>
      </w:r>
    </w:p>
    <w:p w14:paraId="4880843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3996647">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买入信号：ETF过去12个月累计收益&gt;0</w:t>
      </w:r>
    </w:p>
    <w:p w14:paraId="62E35AF5">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卖出信号：ETF过去12个月累计收益&lt;0，转持货币基金/债券ETF</w:t>
      </w:r>
    </w:p>
    <w:p w14:paraId="64EF3821">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仓位管理：全仓切换，月度调仓</w:t>
      </w:r>
    </w:p>
    <w:p w14:paraId="3E8B2474">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关键参数：回看周期=12个月</w:t>
      </w:r>
    </w:p>
    <w:p w14:paraId="7BF311DE">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适用ETF：沪深300ETF、标普500ETF</w:t>
      </w:r>
    </w:p>
    <w:p w14:paraId="5A4D8319">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D677459">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3FE56765">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最大回撤：10-20%</w:t>
      </w:r>
    </w:p>
    <w:p w14:paraId="1D418328">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6CEEC3D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优缺点：简单有效，能避免大熊市；震荡市频繁切换</w:t>
      </w:r>
    </w:p>
    <w:p w14:paraId="78170C12">
      <w:pPr>
        <w:pStyle w:val="3"/>
      </w:pPr>
      <w:r>
        <w:t>策略57. 绝对动量策略（6月动量）</w:t>
      </w:r>
    </w:p>
    <w:p w14:paraId="1EE1FC24">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529917B0">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核心思想：以6个月收益率判断趋势，更灵敏地捕捉中期动量</w:t>
      </w:r>
    </w:p>
    <w:p w14:paraId="6382538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交易逻辑：6个月窗口比12个月更灵敏，能更快检测到趋势变化。研究表明6个月动量在多数市场中也有显著的预测能力。</w:t>
      </w:r>
    </w:p>
    <w:p w14:paraId="7185309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7F0E6C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买入信号：ETF过去6个月累计收益&gt;0</w:t>
      </w:r>
    </w:p>
    <w:p w14:paraId="307FD6A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卖出信号：过去6个月收益&lt;0，转持债券ETF</w:t>
      </w:r>
    </w:p>
    <w:p w14:paraId="483C00D9">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仓位管理：全仓切换，月度调仓</w:t>
      </w:r>
    </w:p>
    <w:p w14:paraId="573180C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关键参数：回看周期=6个月</w:t>
      </w:r>
    </w:p>
    <w:p w14:paraId="1FB0994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适用ETF：各类宽基ETF</w:t>
      </w:r>
    </w:p>
    <w:p w14:paraId="70E26888">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59EA18C">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年化收益率：9-15%</w:t>
      </w:r>
    </w:p>
    <w:p w14:paraId="6512812C">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67CC9DC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53FBBF84">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优缺点：响应更快；假信号比12个月版本多</w:t>
      </w:r>
    </w:p>
    <w:p w14:paraId="73D689AF">
      <w:pPr>
        <w:pStyle w:val="3"/>
      </w:pPr>
      <w:r>
        <w:t>策略58. 绝对动量策略（3月动量）</w:t>
      </w:r>
    </w:p>
    <w:p w14:paraId="08341AC1">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572B77C0">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核心思想：短期3个月动量，更频繁地调整仓位</w:t>
      </w:r>
    </w:p>
    <w:p w14:paraId="129681A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交易逻辑：3个月动量适合波动较大的市场，能更快地切换多空状态。但短期噪音影响更大，胜率略低于长期动量。</w:t>
      </w:r>
    </w:p>
    <w:p w14:paraId="6712F870">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5B5819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买入信号：ETF过去3个月累计收益&gt;0</w:t>
      </w:r>
    </w:p>
    <w:p w14:paraId="6F7EA313">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卖出信号：过去3个月收益&lt;0</w:t>
      </w:r>
    </w:p>
    <w:p w14:paraId="2524F4D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仓位管理：全仓切换</w:t>
      </w:r>
    </w:p>
    <w:p w14:paraId="4D671B5B">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关键参数：回看周期=3个月</w:t>
      </w:r>
    </w:p>
    <w:p w14:paraId="49E97CD8">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w:t>
      </w:r>
    </w:p>
    <w:p w14:paraId="36330B9E">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8A9FB5E">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003574B2">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4B7947C6">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夏普比率：0.4-0.8</w:t>
      </w:r>
    </w:p>
    <w:p w14:paraId="76C849B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优缺点：快速响应趋势变化；交易频率高，交易成本增加</w:t>
      </w:r>
    </w:p>
    <w:p w14:paraId="3F78B36B">
      <w:pPr>
        <w:pStyle w:val="3"/>
      </w:pPr>
      <w:r>
        <w:t>策略59. 绝对动量策略（1月动量）</w:t>
      </w:r>
    </w:p>
    <w:p w14:paraId="5A811449">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488BAB22">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核心思想：超短期1个月动量，适合高波动品种</w:t>
      </w:r>
    </w:p>
    <w:p w14:paraId="6B6714A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交易逻辑：1个月动量捕捉短期趋势延续性，适合波动剧烈的行业ETF。胜率相对较低但反应最快。</w:t>
      </w:r>
    </w:p>
    <w:p w14:paraId="0DF4A180">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8DC368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买入信号：ETF过去1个月收益&gt;0</w:t>
      </w:r>
    </w:p>
    <w:p w14:paraId="0C0330B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卖出信号：过去1个月收益&lt;0</w:t>
      </w:r>
    </w:p>
    <w:p w14:paraId="02EFFFA8">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仓位管理：全仓切换</w:t>
      </w:r>
    </w:p>
    <w:p w14:paraId="6FBA53EA">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关键参数：回看周期=1个月</w:t>
      </w:r>
    </w:p>
    <w:p w14:paraId="0370AEA9">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适用ETF：行业ETF、主题ETF</w:t>
      </w:r>
    </w:p>
    <w:p w14:paraId="60528329">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59B588C">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年化收益率：6-12%</w:t>
      </w:r>
    </w:p>
    <w:p w14:paraId="62259312">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最大回撤：18-30%</w:t>
      </w:r>
    </w:p>
    <w:p w14:paraId="4F270A69">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夏普比率：0.3-0.7</w:t>
      </w:r>
    </w:p>
    <w:p w14:paraId="66E6A4B0">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优缺点：反应极快；噪音大，假信号多</w:t>
      </w:r>
    </w:p>
    <w:p w14:paraId="4044022E">
      <w:pPr>
        <w:pStyle w:val="3"/>
      </w:pPr>
      <w:r>
        <w:t>策略60. 相对动量策略</w:t>
      </w:r>
    </w:p>
    <w:p w14:paraId="5169570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6F8A7197">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核心思想：比较多个ETF的动量，买入表现最强的ETF</w:t>
      </w:r>
    </w:p>
    <w:p w14:paraId="6B492260">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交易逻辑：相对动量（截面动量）比较不同资产间的强弱排名。过去表现最好的资产在未来一段时间内往往继续表现好（动量效应）。这是经典的"追强弃弱"策略。</w:t>
      </w:r>
    </w:p>
    <w:p w14:paraId="7A90B18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EC00D74">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买入信号：在候选ETF池中选择过去12个月收益排名前20%的ETF</w:t>
      </w:r>
    </w:p>
    <w:p w14:paraId="071FC92C">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卖出信号：ETF排名跌出前50%时卖出</w:t>
      </w:r>
    </w:p>
    <w:p w14:paraId="1F105A7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仓位管理：等权配置前N个ETF</w:t>
      </w:r>
    </w:p>
    <w:p w14:paraId="69D6E611">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关键参数：回看周期=12个月，持有数量=前20%</w:t>
      </w:r>
    </w:p>
    <w:p w14:paraId="32E3BAEC">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适用ETF：行业ETF池（10-30只）</w:t>
      </w:r>
    </w:p>
    <w:p w14:paraId="123CFFFA">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629B46C">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年化收益率：12-20%</w:t>
      </w:r>
    </w:p>
    <w:p w14:paraId="08BCFD45">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最大回撤：15-30%</w:t>
      </w:r>
    </w:p>
    <w:p w14:paraId="2FAFE98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518D9B80">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优缺点：能持续持有强势资产；动量崩溃时回撤大</w:t>
      </w:r>
    </w:p>
    <w:p w14:paraId="138D9D79">
      <w:pPr>
        <w:pStyle w:val="3"/>
      </w:pPr>
      <w:r>
        <w:t>策略61. 双动量策略（Gary Antonacci）</w:t>
      </w:r>
    </w:p>
    <w:p w14:paraId="613DD9D9">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7F51F5B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核心思想：结合绝对动量和相对动量，双重筛选获得更可靠的信号</w:t>
      </w:r>
    </w:p>
    <w:p w14:paraId="23FCE31E">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交易逻辑：先用相对动量选出最强资产，再用绝对动量过滤掉处于下跌趋势的资产。Gary Antonacci的经典方法：比较股票ETF与债券ETF的12个月表现，选择更强的；如果最强的资产绝对动量为负，则持有现金等价物。</w:t>
      </w:r>
    </w:p>
    <w:p w14:paraId="1E22B94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D5DD9E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买入信号：股票ETF 12月收益&gt;债券ETF 12月收益 且 股票ETF 12月收益&gt;0</w:t>
      </w:r>
    </w:p>
    <w:p w14:paraId="466D39FA">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卖出信号：股票ETF 12月收益&lt;0，转持短期国债</w:t>
      </w:r>
    </w:p>
    <w:p w14:paraId="1BEA7CD6">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仓位管理：全仓切换，月度调仓</w:t>
      </w:r>
    </w:p>
    <w:p w14:paraId="0D3C5848">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关键参数：回看周期=12个月</w:t>
      </w:r>
    </w:p>
    <w:p w14:paraId="332E72BB">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 vs 国债ETF</w:t>
      </w:r>
    </w:p>
    <w:p w14:paraId="088CA052">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8DD2933">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406AAA9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49A8B0A8">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67641919">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优缺点：双重过滤大幅减少假信号，避免熊市；月度调仓可能错过月内反转</w:t>
      </w:r>
    </w:p>
    <w:p w14:paraId="6A09CE58">
      <w:pPr>
        <w:pStyle w:val="3"/>
      </w:pPr>
      <w:r>
        <w:t>策略62. 截面动量策略</w:t>
      </w:r>
    </w:p>
    <w:p w14:paraId="0F0B2BFC">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1889746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核心思想：在同一时点比较多个ETF的相对强弱，做多强者做空弱者</w:t>
      </w:r>
    </w:p>
    <w:p w14:paraId="18954565">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交易逻辑：截面动量是学术上最经典的动量因子。做多过去赢家组合、做空过去输家组合，获取多空价差收益。A股市场做空受限时仅做多赢家组合。</w:t>
      </w:r>
    </w:p>
    <w:p w14:paraId="09448EE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91EA59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买入信号：过去6个月收益率排名前1/3的ETF</w:t>
      </w:r>
    </w:p>
    <w:p w14:paraId="4C931D10">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卖出信号：排名跌出前1/2时卖出</w:t>
      </w:r>
    </w:p>
    <w:p w14:paraId="0B1D21FE">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仓位管理：等权分配</w:t>
      </w:r>
    </w:p>
    <w:p w14:paraId="5A90EA1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关键参数：回看期=6个月，持有期=1个月</w:t>
      </w:r>
    </w:p>
    <w:p w14:paraId="706D0D92">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适用ETF：行业ETF池（20+只）</w:t>
      </w:r>
    </w:p>
    <w:p w14:paraId="42E4BFC0">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47F82C79">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20C18DF0">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3C9CA489">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2BCE64A4">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优缺点：学术验证充分；动量反转风险，2009年初动量崩溃</w:t>
      </w:r>
    </w:p>
    <w:p w14:paraId="54EA2B23">
      <w:pPr>
        <w:pStyle w:val="3"/>
      </w:pPr>
      <w:r>
        <w:t>策略63. 时间序列动量策略（TSMOM）</w:t>
      </w:r>
    </w:p>
    <w:p w14:paraId="2BE6A78C">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10EE2930">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核心思想：每个资产根据自身过去表现独立决定多空方向</w:t>
      </w:r>
    </w:p>
    <w:p w14:paraId="45014FBD">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交易逻辑：与截面动量不同，时间序列动量不需要跨资产比较。每个ETF独立判断：过去收益为正则做多，为负则做空/空仓。学术论文（Moskowitz et al., 2012）证明TSMOM在各类资产上有效。</w:t>
      </w:r>
    </w:p>
    <w:p w14:paraId="34DB35C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36469A1">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买入信号：单个ETF过去12个月累计收益&gt;0</w:t>
      </w:r>
    </w:p>
    <w:p w14:paraId="5321E253">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卖出信号：过去12个月累计收益&lt;0</w:t>
      </w:r>
    </w:p>
    <w:p w14:paraId="67E84AAB">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仓位管理：按波动率倒数加权（风险平价）</w:t>
      </w:r>
    </w:p>
    <w:p w14:paraId="39E8987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关键参数：回看期=12个月</w:t>
      </w:r>
    </w:p>
    <w:p w14:paraId="78B5E4FD">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适用ETF：多资产ETF组合</w:t>
      </w:r>
    </w:p>
    <w:p w14:paraId="79615EFE">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4178E917">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5062A403">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14A18BD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37648FD4">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优缺点：不依赖资产间比较，可独立决策；本质是趋势跟踪，震荡市损耗大</w:t>
      </w:r>
    </w:p>
    <w:p w14:paraId="3DB57544">
      <w:pPr>
        <w:pStyle w:val="3"/>
      </w:pPr>
      <w:r>
        <w:t>策略64. 动量因子轮动策略</w:t>
      </w:r>
    </w:p>
    <w:p w14:paraId="3D11244B">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2EFC825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核心思想：用多个动量因子（1月/3月/6月/12月）综合评分轮动</w:t>
      </w:r>
    </w:p>
    <w:p w14:paraId="42F31CD9">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交易逻辑：单一回看期的动量策略可能在特定市场环境下失效。综合多个回看期的动量评分，能更全面地评估资产趋势强度，降低单一因子风险。</w:t>
      </w:r>
    </w:p>
    <w:p w14:paraId="605D1437">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E293E9F">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买入信号：综合动量得分=0.251月动量+0.253月动量+0.256月动量+0.2512月动量，选得分前3的ETF</w:t>
      </w:r>
    </w:p>
    <w:p w14:paraId="5ABD87E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卖出信号：得分跌出前50%</w:t>
      </w:r>
    </w:p>
    <w:p w14:paraId="5197EA6F">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w:t>
      </w:r>
    </w:p>
    <w:p w14:paraId="7100812E">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关键参数：多周期加权</w:t>
      </w:r>
    </w:p>
    <w:p w14:paraId="3A4C6967">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w:t>
      </w:r>
    </w:p>
    <w:p w14:paraId="472A1D1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3EDE5A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年化收益率：12-20%</w:t>
      </w:r>
    </w:p>
    <w:p w14:paraId="79995756">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1C7CA64B">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6953E269">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优缺点：多因子综合更稳健；计算较复杂</w:t>
      </w:r>
    </w:p>
    <w:p w14:paraId="4F1F02B3">
      <w:pPr>
        <w:pStyle w:val="3"/>
      </w:pPr>
      <w:r>
        <w:t>策略65. 52周新高动量策略</w:t>
      </w:r>
    </w:p>
    <w:p w14:paraId="79B8087D">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67E581B8">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核心思想：价格接近52周新高的ETF未来表现优异</w:t>
      </w:r>
    </w:p>
    <w:p w14:paraId="247E18D9">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交易逻辑：George和Hwang（2004）研究发现，52周新高策略优于传统动量策略。接近新高的资产说明市场对其基本面看好，投资者锚定效应导致价格在新高附近被低估。</w:t>
      </w:r>
    </w:p>
    <w:p w14:paraId="22F7FE5B">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8CC573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买入信号：ETF当前价格/52周最高价&gt;0.95（接近新高）</w:t>
      </w:r>
    </w:p>
    <w:p w14:paraId="1038C4D4">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卖出信号：比值&lt;0.85</w:t>
      </w:r>
    </w:p>
    <w:p w14:paraId="3B50C53C">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仓位管理：比值越高仓位越大</w:t>
      </w:r>
    </w:p>
    <w:p w14:paraId="564C03F0">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关键参数：新高比阈值=0.95</w:t>
      </w:r>
    </w:p>
    <w:p w14:paraId="50BF5723">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适用ETF：行业ETF、宽基ETF</w:t>
      </w:r>
    </w:p>
    <w:p w14:paraId="40BC9087">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0D042B9">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04005CC3">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1F72EBE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7C8B4027">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优缺点：学术验证强于传统动量；市场见顶时新高信号可能失效</w:t>
      </w:r>
    </w:p>
    <w:p w14:paraId="092FC76F">
      <w:pPr>
        <w:pStyle w:val="3"/>
      </w:pPr>
      <w:r>
        <w:t>策略66. 价格加速度策略</w:t>
      </w:r>
    </w:p>
    <w:p w14:paraId="3FBAC33D">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406A0EF0">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核心思想：关注动量的变化率（加速度），而非动量本身</w:t>
      </w:r>
    </w:p>
    <w:p w14:paraId="0EC179C7">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交易逻辑：动量加速说明趋势在增强，是参与的好时机；动量减速说明趋势可能衰竭。加速度=当月动量-上月动量。正加速度+正动量是最佳买入条件。</w:t>
      </w:r>
    </w:p>
    <w:p w14:paraId="4614FDB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BA45DBE">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买入信号：12月动量&gt;0 且 动量加速度&gt;0（动量在增加）</w:t>
      </w:r>
    </w:p>
    <w:p w14:paraId="1CEBE646">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卖出信号：动量加速度连续2个月为负（趋势减弱）</w:t>
      </w:r>
    </w:p>
    <w:p w14:paraId="3FC1B33D">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仓位管理：加速度越大仓位越重</w:t>
      </w:r>
    </w:p>
    <w:p w14:paraId="2F5E5F37">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关键参数：动量周期=12月，加速度周期=1月</w:t>
      </w:r>
    </w:p>
    <w:p w14:paraId="6157CC74">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w:t>
      </w:r>
    </w:p>
    <w:p w14:paraId="60A4FA0E">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E87B392">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年化收益率：12-20%</w:t>
      </w:r>
    </w:p>
    <w:p w14:paraId="4725F992">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44D874DD">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6451C0B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优缺点：能提早发现趋势转折；计算加速度增加噪音</w:t>
      </w:r>
    </w:p>
    <w:p w14:paraId="605D6C00">
      <w:pPr>
        <w:pStyle w:val="3"/>
      </w:pPr>
      <w:r>
        <w:t>策略67. 动量反转组合策略</w:t>
      </w:r>
    </w:p>
    <w:p w14:paraId="620B87B9">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78009EE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核心思想：短期（1-4周）使用反转策略，中期（3-12月）使用动量策略</w:t>
      </w:r>
    </w:p>
    <w:p w14:paraId="64C73C6D">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交易逻辑：学术研究表明短期（1-4周）内资产有反转效应，中期（3-12月）有动量效应，长期（3-5年）又有反转效应。据此在不同时间框架使用不同策略。</w:t>
      </w:r>
    </w:p>
    <w:p w14:paraId="19F579F9">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4B8A81A">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买入信号：中期（6月）动量排名前30%的ETF中，选择短期（1周）跌幅最大的</w:t>
      </w:r>
    </w:p>
    <w:p w14:paraId="5A389955">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卖出信号：中期动量排名跌出前50%</w:t>
      </w:r>
    </w:p>
    <w:p w14:paraId="135809F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w:t>
      </w:r>
    </w:p>
    <w:p w14:paraId="75831965">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关键参数：中期动量=6月，短期反转=1周</w:t>
      </w:r>
    </w:p>
    <w:p w14:paraId="2D149C5D">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w:t>
      </w:r>
    </w:p>
    <w:p w14:paraId="65CF1F6A">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C6F73CF">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年化收益率：14-22%</w:t>
      </w:r>
    </w:p>
    <w:p w14:paraId="5B2786BF">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7D422B7B">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夏普比率：0.8-1.3</w:t>
      </w:r>
    </w:p>
    <w:p w14:paraId="0E811023">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优缺点：结合两种效应，收益增强；交易频率高，实现复杂</w:t>
      </w:r>
    </w:p>
    <w:p w14:paraId="604E3E79">
      <w:pPr>
        <w:pStyle w:val="3"/>
      </w:pPr>
      <w:r>
        <w:t>策略68. 资金流动量策略</w:t>
      </w:r>
    </w:p>
    <w:p w14:paraId="0133CA45">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0684A1BB">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核心思想：追踪ETF资金净流入，资金持续流入的ETF倾向上涨</w:t>
      </w:r>
    </w:p>
    <w:p w14:paraId="2EA84DC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交易逻辑：ETF资金流反映机构和散户的配置意愿。持续净流入的ETF说明被主动买入，需求推动价格上涨。资金流动量领先于价格动量。</w:t>
      </w:r>
    </w:p>
    <w:p w14:paraId="6B1F926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B054FC9">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买入信号：ETF连续20日净流入为正且流入加速</w:t>
      </w:r>
    </w:p>
    <w:p w14:paraId="7D75DE9D">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卖出信号：连续5日净流出</w:t>
      </w:r>
    </w:p>
    <w:p w14:paraId="72F0CADF">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仓位管理：资金流越大仓位越重</w:t>
      </w:r>
    </w:p>
    <w:p w14:paraId="3BF1974C">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关键参数：资金流统计周期=20日</w:t>
      </w:r>
    </w:p>
    <w:p w14:paraId="35608FF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121CEFC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0A9BF87">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72BFB3EB">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6C53202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44CDBAD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优缺点：领先于价格信号；资金流数据可能有滞后</w:t>
      </w:r>
    </w:p>
    <w:p w14:paraId="3A7C9BD4">
      <w:pPr>
        <w:pStyle w:val="3"/>
      </w:pPr>
      <w:r>
        <w:t>策略69. 相对强弱（RS）动量策略</w:t>
      </w:r>
    </w:p>
    <w:p w14:paraId="20AB983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265235AA">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核心思想：计算ETF相对于基准（如沪深300）的相对强弱，选择持续走强的ETF</w:t>
      </w:r>
    </w:p>
    <w:p w14:paraId="3A84237E">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交易逻辑：相对强弱线=ETF价格/基准价格。RS线持续上升说明ETF跑赢基准，有超额收益。选择RS线处于上升趋势的ETF持有。</w:t>
      </w:r>
    </w:p>
    <w:p w14:paraId="112C4EE0">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B2195F0">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买入信号：RS线（相对沪深300）处于20日均线以上且创20日新高</w:t>
      </w:r>
    </w:p>
    <w:p w14:paraId="63E797E7">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卖出信号：RS线跌破20日均线</w:t>
      </w:r>
    </w:p>
    <w:p w14:paraId="0A0F305B">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仓位管理：RS线斜率越陡仓位越大</w:t>
      </w:r>
    </w:p>
    <w:p w14:paraId="334858DF">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关键参数：RS计算基准=沪深300</w:t>
      </w:r>
    </w:p>
    <w:p w14:paraId="4C491203">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w:t>
      </w:r>
    </w:p>
    <w:p w14:paraId="73525A81">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FB4EC98">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3A468390">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465893A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1089AF43">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优缺点：聚焦超额收益而非绝对收益；基准选择影响结果</w:t>
      </w:r>
    </w:p>
    <w:p w14:paraId="17FBF944">
      <w:pPr>
        <w:pStyle w:val="3"/>
      </w:pPr>
      <w:r>
        <w:t>策略70. 风险调整动量策略</w:t>
      </w:r>
    </w:p>
    <w:p w14:paraId="6C8047D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484C8BD8">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核心思想：用收益/波动率（夏普比率）作为动量指标替代纯收益率</w:t>
      </w:r>
    </w:p>
    <w:p w14:paraId="45E593F3">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交易逻辑：纯收益动量可能选出高波动高收益资产，风险大。用风险调整后的动量（夏普比率）排序，选出风险收益比最优的资产。</w:t>
      </w:r>
    </w:p>
    <w:p w14:paraId="57A1EB2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E6BE1EF">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买入信号：选择过去6个月夏普比率排名前20%的ETF</w:t>
      </w:r>
    </w:p>
    <w:p w14:paraId="133D1FB6">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卖出信号：夏普比率排名跌出前50%</w:t>
      </w:r>
    </w:p>
    <w:p w14:paraId="79CA7EA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仓位管理：按夏普比率高低加权</w:t>
      </w:r>
    </w:p>
    <w:p w14:paraId="163ED5BF">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关键参数：夏普比率计算周期=6个月</w:t>
      </w:r>
    </w:p>
    <w:p w14:paraId="689EDA88">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适用ETF：多资产ETF池</w:t>
      </w:r>
    </w:p>
    <w:p w14:paraId="5DED789D">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3E4F6F9">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2DE9A1D0">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576682A8">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夏普比率：0.8-1.3</w:t>
      </w:r>
    </w:p>
    <w:p w14:paraId="45024C9F">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优缺点：风险调整后配置更合理；波动率估计有误差</w:t>
      </w:r>
    </w:p>
    <w:p w14:paraId="56993265">
      <w:pPr>
        <w:pStyle w:val="3"/>
      </w:pPr>
      <w:r>
        <w:t>策略71. 动量+波动率过滤策略</w:t>
      </w:r>
    </w:p>
    <w:p w14:paraId="6324F8EF">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3FDA5CAA">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核心思想：只在低波动环境中执行动量策略，高波动时空仓避险</w:t>
      </w:r>
    </w:p>
    <w:p w14:paraId="4BC58CB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交易逻辑：动量策略在低波动环境中效果最好，高波动环境中容易遭遇动量崩溃。用市场波动率（如VIX或历史波动率）作为开关，低波动时执行动量轮动，高波动时转向防御。</w:t>
      </w:r>
    </w:p>
    <w:p w14:paraId="09F99217">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A3FF1E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买入信号：市场波动率&lt;均值 且 ETF动量排名前20%</w:t>
      </w:r>
    </w:p>
    <w:p w14:paraId="0469317A">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卖出信号：波动率&gt;均值+1标准差，全部转向债券</w:t>
      </w:r>
    </w:p>
    <w:p w14:paraId="16C2285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仓位管理：波动率越低仓位越重</w:t>
      </w:r>
    </w:p>
    <w:p w14:paraId="4904CD74">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关键参数：波动率窗口=60日</w:t>
      </w:r>
    </w:p>
    <w:p w14:paraId="013C1F21">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w:t>
      </w:r>
    </w:p>
    <w:p w14:paraId="376E7FA8">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913198F">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44E77D5B">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78B75938">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夏普比率：0.8-1.3</w:t>
      </w:r>
    </w:p>
    <w:p w14:paraId="449E96AB">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优缺点：大幅降低回撤；可能错过高波动中的反弹</w:t>
      </w:r>
    </w:p>
    <w:p w14:paraId="5FAD5708">
      <w:pPr>
        <w:pStyle w:val="3"/>
      </w:pPr>
      <w:r>
        <w:t>策略72. 动量生命周期策略</w:t>
      </w:r>
    </w:p>
    <w:p w14:paraId="15C5A12C">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73E4A23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核心思想：识别动量从启动到高潮的不同阶段，在早期阶段入场</w:t>
      </w:r>
    </w:p>
    <w:p w14:paraId="5BBA602E">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交易逻辑：动量有生命周期：启动期（动量刚由负转正）、加速期（动量快速增长）、高潮期（动量达到峰值）、衰退期（动量减弱）。在启动期入场风险最低，加速期入场收益最高，高潮期应该离场。</w:t>
      </w:r>
    </w:p>
    <w:p w14:paraId="6AC830E0">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4429E29">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买入信号：6月动量刚由负转正（启动期）或加速度&gt;0（加速期）</w:t>
      </w:r>
    </w:p>
    <w:p w14:paraId="77983F34">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卖出信号：动量加速度转负且持续2个月（衰退期）</w:t>
      </w:r>
    </w:p>
    <w:p w14:paraId="1F47A0A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仓位管理：启动期半仓，加速期满仓</w:t>
      </w:r>
    </w:p>
    <w:p w14:paraId="3B26CD29">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关键参数：动量=6月收益率，加速度=月度变化</w:t>
      </w:r>
    </w:p>
    <w:p w14:paraId="1A515677">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w:t>
      </w:r>
    </w:p>
    <w:p w14:paraId="4849A3B6">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FBF1585">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年化收益率：14-22%</w:t>
      </w:r>
    </w:p>
    <w:p w14:paraId="58B6F86F">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2A0D0A6D">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夏普比率：0.8-1.3</w:t>
      </w:r>
    </w:p>
    <w:p w14:paraId="07DB9FF0">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优缺点：买在左侧低位，利润空间大；判断生命周期阶段有主观性</w:t>
      </w:r>
    </w:p>
    <w:p w14:paraId="25C8CF8B">
      <w:pPr>
        <w:pStyle w:val="3"/>
      </w:pPr>
      <w:r>
        <w:t>策略73. 动量得分排名轮动策略</w:t>
      </w:r>
    </w:p>
    <w:p w14:paraId="38D99E8B">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03A8637B">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核心思想：综合多个技术指标构建动量得分，按得分排名轮动</w:t>
      </w:r>
    </w:p>
    <w:p w14:paraId="555C3F2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交易逻辑：单一指标不够全面，综合均线位置、MACD状态、成交量变化等构建综合得分。分数最高的ETF多维度趋势确认最强。</w:t>
      </w:r>
    </w:p>
    <w:p w14:paraId="2B7630C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BDF0F99">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买入信号：动量得分=均线多头排列(+30分)+MACD金叉(+20分)+成交量放大(+15分)+RSI50-70(+15分)+创20日新高(+20分)，选得分&gt;80的ETF</w:t>
      </w:r>
    </w:p>
    <w:p w14:paraId="08E6792A">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卖出信号：得分&lt;40</w:t>
      </w:r>
    </w:p>
    <w:p w14:paraId="6EE561F1">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仓位管理：按得分加权配置</w:t>
      </w:r>
    </w:p>
    <w:p w14:paraId="7F88369D">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关键参数：多指标综合评分</w:t>
      </w:r>
    </w:p>
    <w:p w14:paraId="33EE361C">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w:t>
      </w:r>
    </w:p>
    <w:p w14:paraId="321C3AFD">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AA0548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年化收益率：14-22%</w:t>
      </w:r>
    </w:p>
    <w:p w14:paraId="27B96EC8">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0989ECE5">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夏普比率：0.8-1.3</w:t>
      </w:r>
    </w:p>
    <w:p w14:paraId="7BDFF6E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优缺点：多维度确认，信号质量高；评分权重设置有主观性</w:t>
      </w:r>
    </w:p>
    <w:p w14:paraId="6411F1B3">
      <w:pPr>
        <w:pStyle w:val="3"/>
      </w:pPr>
      <w:r>
        <w:t>策略74. 月度再平衡动量策略</w:t>
      </w:r>
    </w:p>
    <w:p w14:paraId="742D0514">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64900F5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核心思想：每月末按动量排名重新平衡ETF持仓</w:t>
      </w:r>
    </w:p>
    <w:p w14:paraId="14B228B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交易逻辑：月度频率是动量策略的最佳平衡点。频率太高交易成本吞噬收益，太低错过趋势变化。每月末统一调仓，操作简便。</w:t>
      </w:r>
    </w:p>
    <w:p w14:paraId="5D01B8A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031F3A4">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买入信号：月末按12月动量排序，买入前3名ETF</w:t>
      </w:r>
    </w:p>
    <w:p w14:paraId="08C6F31B">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卖出信号：月末自动调仓，卖出跌出前5名的ETF</w:t>
      </w:r>
    </w:p>
    <w:p w14:paraId="6F67D49E">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w:t>
      </w:r>
    </w:p>
    <w:p w14:paraId="4E5A0FBD">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关键参数：持有数=3，回看期=12月</w:t>
      </w:r>
    </w:p>
    <w:p w14:paraId="440B3212">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适用ETF：10-20只行业ETF池</w:t>
      </w:r>
    </w:p>
    <w:p w14:paraId="77174424">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408A4B28">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41340F6D">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07FFB0BE">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49A72933">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优缺点：操作简单，每月只需操作一次；月末集中调仓可能有冲击成本</w:t>
      </w:r>
    </w:p>
    <w:p w14:paraId="326AD503">
      <w:pPr>
        <w:pStyle w:val="3"/>
      </w:pPr>
      <w:r>
        <w:t>策略75. 动量+趋势过滤策略</w:t>
      </w:r>
    </w:p>
    <w:p w14:paraId="4EE3D5FC">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244648D0">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核心思想：只在大盘趋势向上时执行动量轮动</w:t>
      </w:r>
    </w:p>
    <w:p w14:paraId="7A07A5C3">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交易逻辑：大盘下跌时所有ETF都可能下跌，动量选股也难以获利。加入大盘趋势过滤器（如沪深300&gt;200日均线），只在牛市中进行动量轮动。</w:t>
      </w:r>
    </w:p>
    <w:p w14:paraId="7FC14C8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E7C9775">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买入信号：沪深300&gt;200日均线 且 ETF动量排名前20%</w:t>
      </w:r>
    </w:p>
    <w:p w14:paraId="1196C9A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卖出信号：沪深300&lt;200日均线时清仓转债券</w:t>
      </w:r>
    </w:p>
    <w:p w14:paraId="20A23F4C">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仓位管理：牛市中满仓动量轮动，熊市全转债券</w:t>
      </w:r>
    </w:p>
    <w:p w14:paraId="68A1C11C">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关键参数：大盘过滤器=200日均线</w:t>
      </w:r>
    </w:p>
    <w:p w14:paraId="160118C6">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w:t>
      </w:r>
    </w:p>
    <w:p w14:paraId="541E3A5D">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8A99B43">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126B8D4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0B2624AD">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夏普比率：0.8-1.3</w:t>
      </w:r>
    </w:p>
    <w:p w14:paraId="39D85302">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优缺点：有效避开熊市；大盘200日均线附近可能频繁切换</w:t>
      </w:r>
    </w:p>
    <w:p w14:paraId="2DF5D782">
      <w:pPr>
        <w:pStyle w:val="3"/>
      </w:pPr>
      <w:r>
        <w:t>策略76. 跨资产动量策略</w:t>
      </w:r>
    </w:p>
    <w:p w14:paraId="676716F9">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5DDB54E5">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核心思想：在股票、债券、商品、REITs等多资产ETF间进行动量轮动</w:t>
      </w:r>
    </w:p>
    <w:p w14:paraId="6B33CA4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交易逻辑：不同资产类别有不同的周期特征，跨资产动量能捕捉资产类别层面的趋势切换。当股市动量弱而商品动量强时转向商品ETF。</w:t>
      </w:r>
    </w:p>
    <w:p w14:paraId="5BC65FF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C58AD10">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买入信号：在多资产ETF池中选择6月动量前2的资产类别</w:t>
      </w:r>
    </w:p>
    <w:p w14:paraId="35FC9733">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卖出信号：动量排名下降时切换</w:t>
      </w:r>
    </w:p>
    <w:p w14:paraId="228F3D97">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仓位管理：等权配置前2类资产</w:t>
      </w:r>
    </w:p>
    <w:p w14:paraId="1309FFD2">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关键参数：资产池包含股票/债券/商品/REITs ETF</w:t>
      </w:r>
    </w:p>
    <w:p w14:paraId="52ECC083">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适用ETF：沪深300ETF、国债ETF、黄金ETF、REITs ETF</w:t>
      </w:r>
    </w:p>
    <w:p w14:paraId="79DFC908">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B2553BF">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6EB30DB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0D1176A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夏普比率：0.8-1.2</w:t>
      </w:r>
    </w:p>
    <w:p w14:paraId="7465A19F">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优缺点：多资产分散风险；部分资产类别ETF流动性不足</w:t>
      </w:r>
    </w:p>
    <w:p w14:paraId="2985C4F2">
      <w:pPr>
        <w:pStyle w:val="3"/>
      </w:pPr>
      <w:r>
        <w:t>策略77. 动量衰减因子策略</w:t>
      </w:r>
    </w:p>
    <w:p w14:paraId="60E75B7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1ACA965A">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核心思想：对近期收益赋予更高权重计算动量，减弱远期影响</w:t>
      </w:r>
    </w:p>
    <w:p w14:paraId="25A1158E">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交易逻辑：标准动量对12个月内每个月等权重。但近期表现对未来预测力更强。用指数衰减加权使近1月权重最高、12月前权重最低。</w:t>
      </w:r>
    </w:p>
    <w:p w14:paraId="0166F82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EDDAAB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买入信号：衰减加权动量得分排名前20%</w:t>
      </w:r>
    </w:p>
    <w:p w14:paraId="3E8B1B1C">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卖出信号：得分排名跌出前50%</w:t>
      </w:r>
    </w:p>
    <w:p w14:paraId="490DE963">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仓位管理：按得分加权</w:t>
      </w:r>
    </w:p>
    <w:p w14:paraId="13CDAFEB">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关键参数：衰减系数=0.9（每月衰减10%）</w:t>
      </w:r>
    </w:p>
    <w:p w14:paraId="3E073AAC">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w:t>
      </w:r>
    </w:p>
    <w:p w14:paraId="77E62B89">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0E3BAE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年化收益率：13-20%</w:t>
      </w:r>
    </w:p>
    <w:p w14:paraId="4C0E23F7">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339620D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6BB29AA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优缺点：更好反映近期趋势变化；衰减系数选择需优化</w:t>
      </w:r>
    </w:p>
    <w:p w14:paraId="58AE9129">
      <w:pPr>
        <w:pStyle w:val="3"/>
      </w:pPr>
      <w:r>
        <w:t>策略78. 动量+估值组合策略</w:t>
      </w:r>
    </w:p>
    <w:p w14:paraId="31F1EC41">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690451D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核心思想：动量选方向，估值选性价比，综合排名轮动</w:t>
      </w:r>
    </w:p>
    <w:p w14:paraId="631B962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交易逻辑：纯动量可能买到估值泡沫的资产。加入PE/PB估值因子，选择动量强且估值合理的ETF，兼顾趋势和安全边际。</w:t>
      </w:r>
    </w:p>
    <w:p w14:paraId="32373F16">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CE74860">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买入信号：综合得分=50%*动量排名+50%*估值排名（PE百分位越低越好），选前3</w:t>
      </w:r>
    </w:p>
    <w:p w14:paraId="440C0D9B">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卖出信号：综合得分排名跌出前50%</w:t>
      </w:r>
    </w:p>
    <w:p w14:paraId="718F711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w:t>
      </w:r>
    </w:p>
    <w:p w14:paraId="150C1FE7">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关键参数：动量周期=6月，估值=PE百分位</w:t>
      </w:r>
    </w:p>
    <w:p w14:paraId="148BBC90">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w:t>
      </w:r>
    </w:p>
    <w:p w14:paraId="2E6E4ECD">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B053BC5">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5E27090D">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274E97E0">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夏普比率：0.8-1.2</w:t>
      </w:r>
    </w:p>
    <w:p w14:paraId="7534817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优缺点：兼顾趋势和价值；两个因子有时矛盾</w:t>
      </w:r>
    </w:p>
    <w:p w14:paraId="4F4A1193">
      <w:pPr>
        <w:pStyle w:val="3"/>
      </w:pPr>
      <w:r>
        <w:t>策略79. 连续创新高动量策略</w:t>
      </w:r>
    </w:p>
    <w:p w14:paraId="4E0C9886">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5272041A">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核心思想：连续多日创N日新高的ETF具有超强动量</w:t>
      </w:r>
    </w:p>
    <w:p w14:paraId="21AFA35E">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交易逻辑：连续创新高说明买方力量持续强劲，没有明显的卖压。这种"持续新高"状态往往能延续较长时间，是最强动量的表现。</w:t>
      </w:r>
    </w:p>
    <w:p w14:paraId="525B439A">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49CD90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买入信号：连续5日创20日新高</w:t>
      </w:r>
    </w:p>
    <w:p w14:paraId="5ED99DED">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卖出信号：连续2日未创20日新高 或 跌破10日均线</w:t>
      </w:r>
    </w:p>
    <w:p w14:paraId="46BA032B">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仓位管理：满仓追强</w:t>
      </w:r>
    </w:p>
    <w:p w14:paraId="3A1D9C22">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关键参数：新高连续天数=5，新高周期=20日</w:t>
      </w:r>
    </w:p>
    <w:p w14:paraId="4D28786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适用ETF：行业ETF、主题ETF</w:t>
      </w:r>
    </w:p>
    <w:p w14:paraId="1AED0A0F">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DCE91B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年化收益率：15-25%</w:t>
      </w:r>
    </w:p>
    <w:p w14:paraId="46AD0C02">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14D3A47B">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0A53FBB9">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优缺点：选中的ETF趋势极强；追高风险大，回撤快</w:t>
      </w:r>
    </w:p>
    <w:p w14:paraId="4DDC889A">
      <w:pPr>
        <w:pStyle w:val="3"/>
      </w:pPr>
      <w:r>
        <w:t>策略80. 多空动量策略</w:t>
      </w:r>
    </w:p>
    <w:p w14:paraId="1CF7EB9C">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分类：动量策略</w:t>
      </w:r>
    </w:p>
    <w:p w14:paraId="5BEE8570">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核心思想：做多动量最强ETF同时做空最弱ETF，获取多空价差</w:t>
      </w:r>
    </w:p>
    <w:p w14:paraId="134A4EA5">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交易逻辑：经典学术动量策略是多空组合。做多赢家、做空输家可以对冲市场系统性风险，获取纯动量Alpha。A股市场做空限制大，可用融券或股指期货对冲。</w:t>
      </w:r>
    </w:p>
    <w:p w14:paraId="69928437">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868CABA">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买入信号：做多6月动量前20%ETF，做空后20%ETF（或用股指期货对冲）</w:t>
      </w:r>
    </w:p>
    <w:p w14:paraId="60227D67">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卖出信号：月度调仓</w:t>
      </w:r>
    </w:p>
    <w:p w14:paraId="11B8F519">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仓位管理：多空等金额</w:t>
      </w:r>
    </w:p>
    <w:p w14:paraId="5A3A5B7E">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关键参数：回看期=6月，多空各20%</w:t>
      </w:r>
    </w:p>
    <w:p w14:paraId="3013876D">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适用ETF：行业ETF池（需融券或期货）</w:t>
      </w:r>
    </w:p>
    <w:p w14:paraId="34AB64F3">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BECA9B2">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年化收益率：8-15%</w:t>
      </w:r>
    </w:p>
    <w:p w14:paraId="7E854CA5">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1DD7A4EF">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夏普比率：0.8-1.5</w:t>
      </w:r>
    </w:p>
    <w:p w14:paraId="14F4721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优缺点：市场中性，回撤小；需要做空工具，成本高</w:t>
      </w:r>
    </w:p>
    <w:p w14:paraId="1FE5110A">
      <w:pPr>
        <w:pStyle w:val="2"/>
        <w:numPr>
          <w:ilvl w:val="0"/>
          <w:numId w:val="1"/>
        </w:numPr>
        <w:ind w:left="0" w:leftChars="0" w:firstLine="0" w:firstLineChars="0"/>
        <w:rPr>
          <w:b w:val="0"/>
          <w:bdr w:val="none" w:sz="0" w:space="0"/>
        </w:rPr>
      </w:pPr>
      <w:r>
        <w:t>轮动策略类（策略81-105）</w:t>
      </w:r>
    </w:p>
    <w:p w14:paraId="539AF440">
      <w:pPr>
        <w:pStyle w:val="3"/>
      </w:pPr>
      <w:r>
        <w:t>策略81. 行业ETF动量轮动策略</w:t>
      </w:r>
    </w:p>
    <w:p w14:paraId="19F826A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336C7802">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核心思想：按行业ETF过去N月收益率排名，持有最强行业</w:t>
      </w:r>
    </w:p>
    <w:p w14:paraId="0309905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交易逻辑：不同行业在不同经济周期表现各异，动量轮动能捕捉当前最热门行业。行业趋势一旦形成通常持续数月。</w:t>
      </w:r>
    </w:p>
    <w:p w14:paraId="20E81467">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7FD8E6F">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买入信号：在20+行业ETF中选过去3个月收益排名前3的行业</w:t>
      </w:r>
    </w:p>
    <w:p w14:paraId="6A592D95">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卖出信号：月度调仓，排名跌出前5时卖出</w:t>
      </w:r>
    </w:p>
    <w:p w14:paraId="0C4BE0A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仓位管理：等权配置3只行业ETF</w:t>
      </w:r>
    </w:p>
    <w:p w14:paraId="29EA0649">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关键参数：回看期=3个月，持有数=3</w:t>
      </w:r>
    </w:p>
    <w:p w14:paraId="0A5FDA0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适用ETF：消费ETF、医药ETF、科技ETF、金融ETF、新能源ETF等</w:t>
      </w:r>
    </w:p>
    <w:p w14:paraId="02B652D1">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FD35D63">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年化收益率：15-25%</w:t>
      </w:r>
    </w:p>
    <w:p w14:paraId="428AEFB6">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最大回撤：18-30%</w:t>
      </w:r>
    </w:p>
    <w:p w14:paraId="769206FE">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63AC75BB">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优缺点：能持续抓住热门行业；行业切换时回撤大</w:t>
      </w:r>
    </w:p>
    <w:p w14:paraId="7FC0AA3D">
      <w:pPr>
        <w:pStyle w:val="3"/>
      </w:pPr>
      <w:r>
        <w:t>策略82. 行业ETF估值轮动策略</w:t>
      </w:r>
    </w:p>
    <w:p w14:paraId="1AF76921">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3537EF24">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核心思想：买入估值（PE/PB百分位）最低的行业ETF</w:t>
      </w:r>
    </w:p>
    <w:p w14:paraId="16BC66F3">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交易逻辑：低估值行业有更大的安全边际和估值修复空间。当PE百分位处于历史低位时，意味着市场对该行业过度悲观，未来反弹概率大。</w:t>
      </w:r>
    </w:p>
    <w:p w14:paraId="295ADB5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1C113E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买入信号：PE百分位&lt;30%的行业ETF中选最低的3个</w:t>
      </w:r>
    </w:p>
    <w:p w14:paraId="1A1344FF">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卖出信号：PE百分位&gt;70%时卖出</w:t>
      </w:r>
    </w:p>
    <w:p w14:paraId="095BD047">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仓位管理：PE百分位越低仓位越重</w:t>
      </w:r>
    </w:p>
    <w:p w14:paraId="116D609B">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关键参数：PE百分位统计周期=5年</w:t>
      </w:r>
    </w:p>
    <w:p w14:paraId="7ADFEC7F">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适用ETF：各行业ETF</w:t>
      </w:r>
    </w:p>
    <w:p w14:paraId="65809FEF">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FC07B4B">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7FD21975">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252BAEF5">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12743D0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优缺点：安全边际高，长期有效；低估值可能持续较久（价值陷阱）</w:t>
      </w:r>
    </w:p>
    <w:p w14:paraId="48DFA79E">
      <w:pPr>
        <w:pStyle w:val="3"/>
      </w:pPr>
      <w:r>
        <w:t>策略83. 行业ETF资金流轮动策略</w:t>
      </w:r>
    </w:p>
    <w:p w14:paraId="6272F17B">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030D18C1">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核心思想：追踪行业ETF资金净流入，买入资金持续流入的行业</w:t>
      </w:r>
    </w:p>
    <w:p w14:paraId="2F129680">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交易逻辑：机构资金流入代表专业投资者的看好，往往领先于价格上涨。持续净流入的行业说明正在被大资金布局。</w:t>
      </w:r>
    </w:p>
    <w:p w14:paraId="205C1DE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F78616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买入信号：过去20日资金净流入排名前3的行业ETF</w:t>
      </w:r>
    </w:p>
    <w:p w14:paraId="1F12BD4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卖出信号：资金净流出持续5日</w:t>
      </w:r>
    </w:p>
    <w:p w14:paraId="1EBC336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仓位管理：按资金流强度加权</w:t>
      </w:r>
    </w:p>
    <w:p w14:paraId="502F6DB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关键参数：资金流统计周期=20日</w:t>
      </w:r>
    </w:p>
    <w:p w14:paraId="3F2CF278">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适用ETF：各行业ETF</w:t>
      </w:r>
    </w:p>
    <w:p w14:paraId="51357621">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90B7EC1">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107036D5">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7062681B">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48DF5574">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优缺点：跟随聪明钱；资金流数据有延迟</w:t>
      </w:r>
    </w:p>
    <w:p w14:paraId="3E9B29CD">
      <w:pPr>
        <w:pStyle w:val="3"/>
      </w:pPr>
      <w:r>
        <w:t>策略84. 大小盘轮动策略（沪深300/中证500）</w:t>
      </w:r>
    </w:p>
    <w:p w14:paraId="3809AA4D">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7F10F4E0">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核心思想：比较大盘股（沪深300）和小盘股（中证500）的相对强弱，持有更强的一方</w:t>
      </w:r>
    </w:p>
    <w:p w14:paraId="79B5283C">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交易逻辑：A股市场大小盘存在显著的"跷跷板效应"。当经济复苏、流动性宽松时小盘占优；当经济下行、避险需求上升时大盘占优。利用相对强弱指标捕捉风格切换。</w:t>
      </w:r>
    </w:p>
    <w:p w14:paraId="32684C2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6FB18D7">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买入信号：中证500/沪深300比值&gt;20日均值时持有中证500ETF，反之持有沪深300ETF</w:t>
      </w:r>
    </w:p>
    <w:p w14:paraId="3B9BA49E">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卖出信号：比值反转时切换</w:t>
      </w:r>
    </w:p>
    <w:p w14:paraId="420B730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仓位管理：全仓切换</w:t>
      </w:r>
    </w:p>
    <w:p w14:paraId="1A1067F1">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关键参数：比值均线周期=20日</w:t>
      </w:r>
    </w:p>
    <w:p w14:paraId="76D1CC0C">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适用ETF：沪深300ETF、中证500ETF</w:t>
      </w:r>
    </w:p>
    <w:p w14:paraId="7E40CD72">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066D179">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542C14FD">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2A3B47CB">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75A6559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优缺点：A股大小盘轮动效应显著；风格切换的判断有延迟</w:t>
      </w:r>
    </w:p>
    <w:p w14:paraId="1DED1C58">
      <w:pPr>
        <w:pStyle w:val="3"/>
      </w:pPr>
      <w:r>
        <w:t>策略85. 大小盘轮动策略（含中证1000）</w:t>
      </w:r>
    </w:p>
    <w:p w14:paraId="2376938B">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38B913F4">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核心思想：在沪深300/中证500/中证1000三个宽基ETF间轮动</w:t>
      </w:r>
    </w:p>
    <w:p w14:paraId="5883F4C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交易逻辑：加入中证1000代表的微盘股维度，更细化地捕捉市场风格偏好。三个指数覆盖大中小全市值风格。</w:t>
      </w:r>
    </w:p>
    <w:p w14:paraId="28A1C8CE">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47F6D36">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买入信号：三者中过去1个月收益最高的ETF</w:t>
      </w:r>
    </w:p>
    <w:p w14:paraId="546425BE">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卖出信号：月度调仓，切换至新的最强ETF</w:t>
      </w:r>
    </w:p>
    <w:p w14:paraId="110C5AE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仓位管理：全仓持有最强者</w:t>
      </w:r>
    </w:p>
    <w:p w14:paraId="7D5D82BA">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关键参数：回看期=1个月</w:t>
      </w:r>
    </w:p>
    <w:p w14:paraId="1E373962">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适用ETF：沪深300ETF、中证500ETF、中证1000ETF</w:t>
      </w:r>
    </w:p>
    <w:p w14:paraId="332F8583">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407099EF">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年化收益率：14-22%</w:t>
      </w:r>
    </w:p>
    <w:p w14:paraId="47587039">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015D739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25674D64">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优缺点：覆盖全市值风格；月内反转可能导致追高</w:t>
      </w:r>
    </w:p>
    <w:p w14:paraId="1895313C">
      <w:pPr>
        <w:pStyle w:val="3"/>
      </w:pPr>
      <w:r>
        <w:t>策略86. 成长/价值风格轮动策略</w:t>
      </w:r>
    </w:p>
    <w:p w14:paraId="4BE627E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629D0186">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核心思想：根据市场环境在成长股ETF和价值股ETF间切换</w:t>
      </w:r>
    </w:p>
    <w:p w14:paraId="454B1C28">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交易逻辑：成长股在利率下行、流动性宽松时表现好；价值股在利率上行、经济复苏时表现好。通过相对强弱比较判断当前占优风格。</w:t>
      </w:r>
    </w:p>
    <w:p w14:paraId="13C155E1">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FFDF870">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买入信号：成长ETF/价值ETF比值上升时持有成长ETF，反之持有价值ETF</w:t>
      </w:r>
    </w:p>
    <w:p w14:paraId="3EEB77B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卖出信号：比值趋势反转</w:t>
      </w:r>
    </w:p>
    <w:p w14:paraId="2B28798F">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仓位管理：全仓切换</w:t>
      </w:r>
    </w:p>
    <w:p w14:paraId="30DB7649">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关键参数：比值趋势判断=20日均线方向</w:t>
      </w:r>
    </w:p>
    <w:p w14:paraId="7969FD7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适用ETF：创业板ETF（成长代表）、上证50ETF（价值代表）</w:t>
      </w:r>
    </w:p>
    <w:p w14:paraId="61E4A2CC">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B3D7B72">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214C6B0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789D6719">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52E9BDC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优缺点：捕捉风格切换收益；风格判断有滞后</w:t>
      </w:r>
    </w:p>
    <w:p w14:paraId="7F52465F">
      <w:pPr>
        <w:pStyle w:val="3"/>
      </w:pPr>
      <w:r>
        <w:t>策略87. 股债轮动策略（经典版）</w:t>
      </w:r>
    </w:p>
    <w:p w14:paraId="137FD649">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27A92A5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核心思想：根据股市趋势在股票ETF和债券ETF间切换</w:t>
      </w:r>
    </w:p>
    <w:p w14:paraId="3CB17A5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交易逻辑：股市上涨时持有股票ETF享受牛市收益，股市下跌时切换到债券ETF避险。股债通常负相关，股债轮动能显著降低回撤。</w:t>
      </w:r>
    </w:p>
    <w:p w14:paraId="43FAE14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8F3459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买入信号：沪深300ETF价格&gt;200日均线时持有沪深300ETF</w:t>
      </w:r>
    </w:p>
    <w:p w14:paraId="62F386D1">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卖出信号：沪深300ETF价格&lt;200日均线时切换为国债ETF</w:t>
      </w:r>
    </w:p>
    <w:p w14:paraId="3FB7FF77">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仓位管理：全仓切换</w:t>
      </w:r>
    </w:p>
    <w:p w14:paraId="694F86B9">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关键参数：均线周期=200日</w:t>
      </w:r>
    </w:p>
    <w:p w14:paraId="336A9381">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适用ETF：沪深300ETF、10年国债ETF</w:t>
      </w:r>
    </w:p>
    <w:p w14:paraId="215E1415">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FACB68F">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年化收益率：10-15%</w:t>
      </w:r>
    </w:p>
    <w:p w14:paraId="3F34A154">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2832B5B8">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夏普比率：0.8-1.3</w:t>
      </w:r>
    </w:p>
    <w:p w14:paraId="1A0350A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优缺点：简单有效，大幅降低回撤；股债同跌时策略失效</w:t>
      </w:r>
    </w:p>
    <w:p w14:paraId="563576E9">
      <w:pPr>
        <w:pStyle w:val="3"/>
      </w:pPr>
      <w:r>
        <w:t>策略88. 股债轮动策略（动量版）</w:t>
      </w:r>
    </w:p>
    <w:p w14:paraId="5A72F075">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086979D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核心思想：比较股票ETF和债券ETF的动量，持有动量更强的一方</w:t>
      </w:r>
    </w:p>
    <w:p w14:paraId="760F2CAE">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交易逻辑：不用均线判断而是直接比较两者过去N月的收益率，持有表现更好的品种。既简单又能适应不同市场环境。</w:t>
      </w:r>
    </w:p>
    <w:p w14:paraId="4F566390">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03BABDB">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买入信号：过去3个月沪深300ETF收益&gt;国债ETF收益，持有沪深300ETF</w:t>
      </w:r>
    </w:p>
    <w:p w14:paraId="3680EB9E">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卖出信号：反之切换为国债ETF，月度调仓</w:t>
      </w:r>
    </w:p>
    <w:p w14:paraId="151ECF0E">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仓位管理：全仓切换</w:t>
      </w:r>
    </w:p>
    <w:p w14:paraId="58BDE369">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关键参数：动量回看期=3个月</w:t>
      </w:r>
    </w:p>
    <w:p w14:paraId="7B0AC14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适用ETF：沪深300ETF、国债ETF</w:t>
      </w:r>
    </w:p>
    <w:p w14:paraId="4DF67FF8">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F4FDB6F">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375DC1A6">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530A3DB9">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夏普比率：0.8-1.2</w:t>
      </w:r>
    </w:p>
    <w:p w14:paraId="65B14B89">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优缺点：动态选择更优资产；股债同涨同跌时判断困难</w:t>
      </w:r>
    </w:p>
    <w:p w14:paraId="3492C023">
      <w:pPr>
        <w:pStyle w:val="3"/>
      </w:pPr>
      <w:r>
        <w:t>策略89. 全球资产轮动策略</w:t>
      </w:r>
    </w:p>
    <w:p w14:paraId="0B0D3AF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67054E3F">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核心思想：在全球主要市场ETF间进行动量轮动</w:t>
      </w:r>
    </w:p>
    <w:p w14:paraId="0A4B0DD9">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交易逻辑：全球各国市场表现有周期性差异。通过动量轮动持续持有全球最强市场，获取全球化分散收益。</w:t>
      </w:r>
    </w:p>
    <w:p w14:paraId="1625DEE4">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07608E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买入信号：在A股、港股、美股、欧股、日股等ETF中选过去6月动量最强的2个</w:t>
      </w:r>
    </w:p>
    <w:p w14:paraId="315F2040">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卖出信号：动量排名变化时月度调仓</w:t>
      </w:r>
    </w:p>
    <w:p w14:paraId="10748C66">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仓位管理：等权配置前2名</w:t>
      </w:r>
    </w:p>
    <w:p w14:paraId="7100D8B8">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关键参数：候选池=5+全球市场ETF，回看期=6月</w:t>
      </w:r>
    </w:p>
    <w:p w14:paraId="48E96A9C">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适用ETF：沪深300ETF、恒生ETF、纳斯达克100ETF、德国DAX ETF、日经225ETF</w:t>
      </w:r>
    </w:p>
    <w:p w14:paraId="08268D27">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4108528">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1AF6228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24D130F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6DB5137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优缺点：全球分散，单一市场风险低；QDII额度限制，汇率风险</w:t>
      </w:r>
    </w:p>
    <w:p w14:paraId="0899FFDB">
      <w:pPr>
        <w:pStyle w:val="3"/>
      </w:pPr>
      <w:r>
        <w:t>策略90. 美林时钟轮动策略</w:t>
      </w:r>
    </w:p>
    <w:p w14:paraId="04113B4B">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20CA5E60">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核心思想：根据经济周期（美林时钟四阶段）配置不同资产</w:t>
      </w:r>
    </w:p>
    <w:p w14:paraId="158D38E3">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交易逻辑：美林时钟将经济周期分为复苏（股票）、过热（商品）、滞胀（现金）、衰退（债券）四阶段。根据GDP增速和CPI变化判断当前阶段，配置相应最优资产。</w:t>
      </w:r>
    </w:p>
    <w:p w14:paraId="5D3C81F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A9B2A4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买入信号：复苏期买股票ETF，过热期买商品ETF，滞胀期持货币基金，衰退期买债券ETF</w:t>
      </w:r>
    </w:p>
    <w:p w14:paraId="45C45635">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卖出信号：经济周期阶段变化时切换</w:t>
      </w:r>
    </w:p>
    <w:p w14:paraId="30A0CA0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仓位管理：按阶段全仓切换</w:t>
      </w:r>
    </w:p>
    <w:p w14:paraId="56444098">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关键参数：经济指标=GDP同比、CPI同比</w:t>
      </w:r>
    </w:p>
    <w:p w14:paraId="2E68B459">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适用ETF：沪深300ETF、黄金ETF、国债ETF、货币ETF</w:t>
      </w:r>
    </w:p>
    <w:p w14:paraId="2DC46716">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41B8A79">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年化收益率：10-15%</w:t>
      </w:r>
    </w:p>
    <w:p w14:paraId="55B843F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23D78A7B">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67C90A31">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优缺点：理论框架完善；经济周期判断滞后，实际中四阶段不总是线性轮替</w:t>
      </w:r>
    </w:p>
    <w:p w14:paraId="3C6025CD">
      <w:pPr>
        <w:pStyle w:val="3"/>
      </w:pPr>
      <w:r>
        <w:t>策略91. 宽基ETF轮动策略</w:t>
      </w:r>
    </w:p>
    <w:p w14:paraId="2E3CE0C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65F01115">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核心思想：在多个宽基指数ETF间进行动量轮动</w:t>
      </w:r>
    </w:p>
    <w:p w14:paraId="2F09588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交易逻辑：沪深300、中证500、中证1000、科创50、创业板指等宽基指数各有特色，在不同市场环境下表现各异。选择当前最强的宽基ETF持有。</w:t>
      </w:r>
    </w:p>
    <w:p w14:paraId="15FA290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946240A">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买入信号：过去20日收益率最高的宽基ETF</w:t>
      </w:r>
    </w:p>
    <w:p w14:paraId="6F7EC77A">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卖出信号：周度调仓，切换至新的最强者</w:t>
      </w:r>
    </w:p>
    <w:p w14:paraId="310C0807">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仓位管理：全仓持有</w:t>
      </w:r>
    </w:p>
    <w:p w14:paraId="0C053BCD">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关键参数：候选池=5-8只宽基ETF，回看期=20日</w:t>
      </w:r>
    </w:p>
    <w:p w14:paraId="71F1202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适用ETF：上证50ETF、沪深300ETF、中证500ETF、中证1000ETF、创业板ETF、科创50ETF</w:t>
      </w:r>
    </w:p>
    <w:p w14:paraId="1845653D">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BB31A11">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年化收益率：12-20%</w:t>
      </w:r>
    </w:p>
    <w:p w14:paraId="0E2D6DA4">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62E3259F">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16AB78A7">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优缺点：宽基ETF流动性好，交易成本低；全市场下跌时轮动无用</w:t>
      </w:r>
    </w:p>
    <w:p w14:paraId="25970622">
      <w:pPr>
        <w:pStyle w:val="3"/>
      </w:pPr>
      <w:r>
        <w:t>策略92. 主题ETF轮动策略</w:t>
      </w:r>
    </w:p>
    <w:p w14:paraId="7B526E4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2DC28A5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核心思想：在热门主题ETF间进行轮动，捕捉主题投资机会</w:t>
      </w:r>
    </w:p>
    <w:p w14:paraId="6EC4889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交易逻辑：主题投资（如AI、新能源、半导体等）具有高波动、高弹性特征。政策驱动和技术革新使主题ETF在特定阶段有爆发力。追踪最热门主题。</w:t>
      </w:r>
    </w:p>
    <w:p w14:paraId="152AD63E">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DDEAD38">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买入信号：过去1个月收益排名前2的主题ETF</w:t>
      </w:r>
    </w:p>
    <w:p w14:paraId="3FE71DBF">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卖出信号：排名跌出前50%</w:t>
      </w:r>
    </w:p>
    <w:p w14:paraId="3033F637">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仓位管理：等权配置2只</w:t>
      </w:r>
    </w:p>
    <w:p w14:paraId="725101C0">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关键参数：回看期=1个月</w:t>
      </w:r>
    </w:p>
    <w:p w14:paraId="5665A22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适用ETF：AI ETF、半导体ETF、新能源ETF、军工ETF、医药ETF</w:t>
      </w:r>
    </w:p>
    <w:p w14:paraId="4B5DEB7E">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AA59A29">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年化收益率：18-30%</w:t>
      </w:r>
    </w:p>
    <w:p w14:paraId="4EDAC064">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最大回撤：20-35%</w:t>
      </w:r>
    </w:p>
    <w:p w14:paraId="5A566379">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5E3EEA53">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优缺点：弹性大，牛市收益高；波动极大，风险高</w:t>
      </w:r>
    </w:p>
    <w:p w14:paraId="6823208D">
      <w:pPr>
        <w:pStyle w:val="3"/>
      </w:pPr>
      <w:r>
        <w:t>策略93. 多因子轮动策略</w:t>
      </w:r>
    </w:p>
    <w:p w14:paraId="561407B8">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26C8154B">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核心思想：综合动量、估值、波动率等多因子给ETF打分轮动</w:t>
      </w:r>
    </w:p>
    <w:p w14:paraId="19960F9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交易逻辑：单一因子轮动在某些市场环境下可能失效，多因子综合评分更稳健。每个ETF从多个维度评估，选出综合最优者。</w:t>
      </w:r>
    </w:p>
    <w:p w14:paraId="4448F49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FE16EDC">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买入信号：综合得分=40%*动量+30%*低估值+30%*低波动，选前3</w:t>
      </w:r>
    </w:p>
    <w:p w14:paraId="4E772220">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卖出信号：综合得分排名跌出前50%</w:t>
      </w:r>
    </w:p>
    <w:p w14:paraId="233FE33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仓位管理：按综合得分加权</w:t>
      </w:r>
    </w:p>
    <w:p w14:paraId="5D4ABDED">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关键参数：因子权重可调</w:t>
      </w:r>
    </w:p>
    <w:p w14:paraId="6C695288">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w:t>
      </w:r>
    </w:p>
    <w:p w14:paraId="6FDDD6F7">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B235884">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65C3758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01B2473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夏普比率：0.8-1.2</w:t>
      </w:r>
    </w:p>
    <w:p w14:paraId="66E3498B">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优缺点：多维评估更全面；因子权重设定有主观性</w:t>
      </w:r>
    </w:p>
    <w:p w14:paraId="4BA39452">
      <w:pPr>
        <w:pStyle w:val="3"/>
      </w:pPr>
      <w:r>
        <w:t>策略94. 趋势强度轮动策略</w:t>
      </w:r>
    </w:p>
    <w:p w14:paraId="03322ACB">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096DFE72">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核心思想：计算各ETF的趋势强度得分（ADX），持有趋势最强的ETF</w:t>
      </w:r>
    </w:p>
    <w:p w14:paraId="3F224B52">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交易逻辑：ADX越高说明趋势越强。选择ADX最高且方向向上的ETF持有，能持续捕捉最强趋势。</w:t>
      </w:r>
    </w:p>
    <w:p w14:paraId="6FD0C1C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37FF167">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买入信号：ADX&gt;25且+DI&gt;-DI的ETF中选ADX最大的3只</w:t>
      </w:r>
    </w:p>
    <w:p w14:paraId="098822F7">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卖出信号：ADX&lt;20或-DI&gt;+DI</w:t>
      </w:r>
    </w:p>
    <w:p w14:paraId="5FE8E0D9">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w:t>
      </w:r>
    </w:p>
    <w:p w14:paraId="5D6DE9C0">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关键参数：ADX周期=14</w:t>
      </w:r>
    </w:p>
    <w:p w14:paraId="2896E427">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w:t>
      </w:r>
    </w:p>
    <w:p w14:paraId="6841934E">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CDEE2EB">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0B020D44">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7E671A5E">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夏普比率：0.7-1.0</w:t>
      </w:r>
    </w:p>
    <w:p w14:paraId="4E63480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优缺点：选中的ETF趋势确定性高；ADX滞后，趋势初期不选</w:t>
      </w:r>
    </w:p>
    <w:p w14:paraId="21321AB5">
      <w:pPr>
        <w:pStyle w:val="3"/>
      </w:pPr>
      <w:r>
        <w:t>策略95. 相对强弱轮动策略</w:t>
      </w:r>
    </w:p>
    <w:p w14:paraId="367B1CA3">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3549143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核心思想：计算各ETF相对大盘的RS值，持有RS最强的ETF</w:t>
      </w:r>
    </w:p>
    <w:p w14:paraId="49D5E59A">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交易逻辑：RS=ETF收益率-大盘收益率。RS持续为正说明ETF持续跑赢大盘，有超额Alpha。选择RS最高的ETF能获得相对收益。</w:t>
      </w:r>
    </w:p>
    <w:p w14:paraId="16A6224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9EB1C98">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买入信号：过去20日RS排名前3的ETF</w:t>
      </w:r>
    </w:p>
    <w:p w14:paraId="3081576D">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卖出信号：RS转负或排名跌出前50%</w:t>
      </w:r>
    </w:p>
    <w:p w14:paraId="705CC1D9">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w:t>
      </w:r>
    </w:p>
    <w:p w14:paraId="7D035C6A">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关键参数：RS计算基准=沪深300，周期=20日</w:t>
      </w:r>
    </w:p>
    <w:p w14:paraId="16E6D94E">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w:t>
      </w:r>
    </w:p>
    <w:p w14:paraId="28E123D8">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219ED12">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年化收益率：14-20%</w:t>
      </w:r>
    </w:p>
    <w:p w14:paraId="01B8AEB4">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0B76DFD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5FC8FFC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优缺点：聚焦超额收益；大盘普跌时RS也可能为正但绝对亏损</w:t>
      </w:r>
    </w:p>
    <w:p w14:paraId="4BEB7CEA">
      <w:pPr>
        <w:pStyle w:val="3"/>
      </w:pPr>
      <w:r>
        <w:t>策略96. 股债商品三资产轮动策略</w:t>
      </w:r>
    </w:p>
    <w:p w14:paraId="3062C5F8">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3B0251E9">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核心思想：在股票、债券、商品三类资产ETF间进行动量轮动</w:t>
      </w:r>
    </w:p>
    <w:p w14:paraId="18B1B700">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交易逻辑：三类资产的周期特征不同，轮动可以适应经济周期变化。股票在复苏期最强，债券在衰退期最强，商品在过热期最强。</w:t>
      </w:r>
    </w:p>
    <w:p w14:paraId="737C6AD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22CB775">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买入信号：三者中过去3个月动量最强的资产，全仓持有</w:t>
      </w:r>
    </w:p>
    <w:p w14:paraId="254C0F1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卖出信号：月度调仓切换</w:t>
      </w:r>
    </w:p>
    <w:p w14:paraId="7295EDAB">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仓位管理：全仓切换</w:t>
      </w:r>
    </w:p>
    <w:p w14:paraId="7D8C0B9E">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关键参数：回看期=3个月</w:t>
      </w:r>
    </w:p>
    <w:p w14:paraId="2A1B2E36">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适用ETF：沪深300ETF、国债ETF、黄金ETF</w:t>
      </w:r>
    </w:p>
    <w:p w14:paraId="6884BAA9">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C5DE511">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10FEBD40">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2725C6BA">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夏普比率：0.8-1.2</w:t>
      </w:r>
    </w:p>
    <w:p w14:paraId="1D6AD34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优缺点：三资产覆盖主要经济周期；三者同跌时无避风港</w:t>
      </w:r>
    </w:p>
    <w:p w14:paraId="145FEB07">
      <w:pPr>
        <w:pStyle w:val="3"/>
      </w:pPr>
      <w:r>
        <w:t>策略97. 风险平价轮动策略</w:t>
      </w:r>
    </w:p>
    <w:p w14:paraId="6326D7B7">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7DE77FF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核心思想：按风险贡献等权配置多类资产ETF，定期再平衡</w:t>
      </w:r>
    </w:p>
    <w:p w14:paraId="0114B0E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交易逻辑：传统等权配置中高波动资产贡献大部分风险。风险平价让每类资产贡献相同风险量，低波动资产配更多、高波动资产配更少。桥水全天候策略的核心思想。</w:t>
      </w:r>
    </w:p>
    <w:p w14:paraId="06C50173">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BEFF18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买入信号：计算各ETF的波动率，按波动率倒数分配权重</w:t>
      </w:r>
    </w:p>
    <w:p w14:paraId="0F12BDCF">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卖出信号：月度再平衡</w:t>
      </w:r>
    </w:p>
    <w:p w14:paraId="3F85AC67">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仓位管理：权重=1/波动率，标准化到100%</w:t>
      </w:r>
    </w:p>
    <w:p w14:paraId="7FEDF908">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关键参数：波动率窗口=60日</w:t>
      </w:r>
    </w:p>
    <w:p w14:paraId="166AC0F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适用ETF：股票ETF、债券ETF、黄金ETF、商品ETF</w:t>
      </w:r>
    </w:p>
    <w:p w14:paraId="7A3AEECF">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28D66A1">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年化收益率：8-12%</w:t>
      </w:r>
    </w:p>
    <w:p w14:paraId="2D83CB3F">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最大回撤：5-10%</w:t>
      </w:r>
    </w:p>
    <w:p w14:paraId="5A52EB2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夏普比率：0.9-1.5</w:t>
      </w:r>
    </w:p>
    <w:p w14:paraId="79CDD3D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优缺点：风险分散极佳，回撤小；绝对收益较低</w:t>
      </w:r>
    </w:p>
    <w:p w14:paraId="378D283F">
      <w:pPr>
        <w:pStyle w:val="3"/>
      </w:pPr>
      <w:r>
        <w:t>策略98. 动态资产配置轮动策略</w:t>
      </w:r>
    </w:p>
    <w:p w14:paraId="1EF002C6">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475EDA24">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核心思想：根据市场波动率和趋势动态调整股债配比</w:t>
      </w:r>
    </w:p>
    <w:p w14:paraId="2C38DA1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交易逻辑：牛市低波动时多配股票，熊市高波动时多配债券。不是简单的全仓切换，而是按信号强度动态调整比例。比二元切换更平滑。</w:t>
      </w:r>
    </w:p>
    <w:p w14:paraId="1394C929">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B92C50F">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买入信号：股票配比=基准50%+趋势信号调整（-30%到+30%）+波动率调整（-20%到+20%）</w:t>
      </w:r>
    </w:p>
    <w:p w14:paraId="5BE1A6D7">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卖出信号：连续调仓</w:t>
      </w:r>
    </w:p>
    <w:p w14:paraId="74B480BD">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仓位管理：股票ETF比例在0-100%间动态调整</w:t>
      </w:r>
    </w:p>
    <w:p w14:paraId="67DEB97E">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关键参数：趋势信号=均线方向，波动率=60日历史波动率</w:t>
      </w:r>
    </w:p>
    <w:p w14:paraId="0E85B593">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适用ETF：沪深300ETF、国债ETF</w:t>
      </w:r>
    </w:p>
    <w:p w14:paraId="68EF9AAC">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084FE37">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年化收益率：10-14%</w:t>
      </w:r>
    </w:p>
    <w:p w14:paraId="613F4449">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5E97A96D">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夏普比率：0.8-1.2</w:t>
      </w:r>
    </w:p>
    <w:p w14:paraId="675A2812">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优缺点：平滑过渡，避免频繁全仓切换；需要较多参数调优</w:t>
      </w:r>
    </w:p>
    <w:p w14:paraId="56AD41B6">
      <w:pPr>
        <w:pStyle w:val="3"/>
      </w:pPr>
      <w:r>
        <w:t>策略99. 北向资金行业轮动策略</w:t>
      </w:r>
    </w:p>
    <w:p w14:paraId="6DFE035D">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4084678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核心思想：跟踪北向资金（沪/深股通）增持的行业，买入对应ETF</w:t>
      </w:r>
    </w:p>
    <w:p w14:paraId="61973D21">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交易逻辑：北向资金代表外资配置方向，通常被视为"聪明钱"。外资持续增持某行业说明看好其基本面。跟随北向资金配置行业ETF。</w:t>
      </w:r>
    </w:p>
    <w:p w14:paraId="6F496C8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2D4431E">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买入信号：北向资金连续10日净买入最多的前3个行业对应ETF</w:t>
      </w:r>
    </w:p>
    <w:p w14:paraId="55ABA99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卖出信号：北向资金转为净卖出该行业</w:t>
      </w:r>
    </w:p>
    <w:p w14:paraId="4A8325D6">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仓位管理：按净买入金额加权</w:t>
      </w:r>
    </w:p>
    <w:p w14:paraId="5D73F6A7">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关键参数：统计周期=10日</w:t>
      </w:r>
    </w:p>
    <w:p w14:paraId="7121A4AC">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w:t>
      </w:r>
    </w:p>
    <w:p w14:paraId="0E0254F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45E486C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1020213B">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13D4433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53A08A70">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优缺点：跟随外资配置方向；北向资金数据有一定滞后</w:t>
      </w:r>
    </w:p>
    <w:p w14:paraId="3D8862EA">
      <w:pPr>
        <w:pStyle w:val="3"/>
      </w:pPr>
      <w:r>
        <w:t>策略100. 融资余额行业轮动策略</w:t>
      </w:r>
    </w:p>
    <w:p w14:paraId="5CF1F77B">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76337212">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核心思想：融资余额持续增加的行业说明杠杆资金看好</w:t>
      </w:r>
    </w:p>
    <w:p w14:paraId="74C9E5C0">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交易逻辑：融资余额反映内资杠杆资金的偏好。融资余额增速最快的行业往往处于上升趋势初期，杠杆资金的涌入会推动价格进一步上涨。</w:t>
      </w:r>
    </w:p>
    <w:p w14:paraId="0F58137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05784C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买入信号：融资余额20日增速排名前3的行业ETF</w:t>
      </w:r>
    </w:p>
    <w:p w14:paraId="56F8A880">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卖出信号：融资余额增速转负</w:t>
      </w:r>
    </w:p>
    <w:p w14:paraId="0936095C">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w:t>
      </w:r>
    </w:p>
    <w:p w14:paraId="39B4EF34">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关键参数：融资余额增速周期=20日</w:t>
      </w:r>
    </w:p>
    <w:p w14:paraId="67D605AD">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w:t>
      </w:r>
    </w:p>
    <w:p w14:paraId="0E712E66">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F13A98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6633CE15">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708BE1F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4CCAEC0F">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优缺点：杠杆资金信号较强；杠杆资金也可能追高被套</w:t>
      </w:r>
    </w:p>
    <w:p w14:paraId="3DB1F7C0">
      <w:pPr>
        <w:pStyle w:val="3"/>
      </w:pPr>
      <w:r>
        <w:t>策略101. 季度财报驱动行业轮动策略</w:t>
      </w:r>
    </w:p>
    <w:p w14:paraId="6F0DF77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1E4BCD2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核心思想：根据行业盈利增速排名调整行业ETF配置</w:t>
      </w:r>
    </w:p>
    <w:p w14:paraId="289666B6">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交易逻辑：盈利增速最高的行业基本面最好，股价有基本面支撑。每季度财报披露后更新行业盈利排名，配置盈利增速最高的行业。</w:t>
      </w:r>
    </w:p>
    <w:p w14:paraId="7DCE0C1E">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B6893AA">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买入信号：最新季度净利润同比增速排名前3的行业ETF</w:t>
      </w:r>
    </w:p>
    <w:p w14:paraId="12AB2235">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卖出信号：季度调仓</w:t>
      </w:r>
    </w:p>
    <w:p w14:paraId="34A79A0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w:t>
      </w:r>
    </w:p>
    <w:p w14:paraId="020F782B">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关键参数：盈利增速排名，季度更新</w:t>
      </w:r>
    </w:p>
    <w:p w14:paraId="56D842B4">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w:t>
      </w:r>
    </w:p>
    <w:p w14:paraId="166F59A4">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F5606E3">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132F996F">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28A4F579">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夏普比率：0.6-0.9</w:t>
      </w:r>
    </w:p>
    <w:p w14:paraId="509109D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优缺点：基本面驱动，逻辑扎实；财报数据滞后，市场可能已反映</w:t>
      </w:r>
    </w:p>
    <w:p w14:paraId="48CCB234">
      <w:pPr>
        <w:pStyle w:val="3"/>
      </w:pPr>
      <w:r>
        <w:t>策略102. 政策主题轮动策略</w:t>
      </w:r>
    </w:p>
    <w:p w14:paraId="6FEC8B49">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025EA586">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核心思想：跟踪政策导向，配置受政策利好的行业ETF</w:t>
      </w:r>
    </w:p>
    <w:p w14:paraId="2657BA6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交易逻辑：中国A股市场受政策影响大。国家产业政策、财政政策、货币政策等会直接影响特定行业的景气度。提前布局受政策支持的行业。</w:t>
      </w:r>
    </w:p>
    <w:p w14:paraId="2F9D02C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7B3264F">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买入信号：重大政策发布后买入受益行业ETF（如碳中和政策买新能源ETF）</w:t>
      </w:r>
    </w:p>
    <w:p w14:paraId="2D5F53C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卖出信号：政策预期充分反映或新政策转向</w:t>
      </w:r>
    </w:p>
    <w:p w14:paraId="6F8D4C88">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仓位管理：政策确定性高时满仓</w:t>
      </w:r>
    </w:p>
    <w:p w14:paraId="25F209E8">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关键参数：政策跟踪+行业映射</w:t>
      </w:r>
    </w:p>
    <w:p w14:paraId="2FD0DCCE">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适用ETF：新能源ETF、半导体ETF、军工ETF、医药ETF等</w:t>
      </w:r>
    </w:p>
    <w:p w14:paraId="247776D5">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4A3011D5">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年化收益率：15-25%</w:t>
      </w:r>
    </w:p>
    <w:p w14:paraId="78EB61F2">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2E90BFF9">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21EFE0E6">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优缺点：政策驱动效果强；政策判断有主观性，量化困难</w:t>
      </w:r>
    </w:p>
    <w:p w14:paraId="45217575">
      <w:pPr>
        <w:pStyle w:val="3"/>
      </w:pPr>
      <w:r>
        <w:t>策略103. 波动率加权轮动策略</w:t>
      </w:r>
    </w:p>
    <w:p w14:paraId="654903CC">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7087DF3B">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核心思想：在动量轮动中加入波动率调整，偏好低波动高动量的ETF</w:t>
      </w:r>
    </w:p>
    <w:p w14:paraId="567E9CF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交易逻辑：纯动量轮动可能选出高波动品种，风险大。用收益率/波动率（即夏普比率）排序，选出风险调整后最优的ETF。</w:t>
      </w:r>
    </w:p>
    <w:p w14:paraId="68369E9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6601246">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买入信号：夏普比率（3月）排名前3的ETF</w:t>
      </w:r>
    </w:p>
    <w:p w14:paraId="35382A6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卖出信号：月度调仓</w:t>
      </w:r>
    </w:p>
    <w:p w14:paraId="19A71DE1">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仓位管理：按夏普比率加权</w:t>
      </w:r>
    </w:p>
    <w:p w14:paraId="1D8042A5">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关键参数：夏普比率窗口=3月</w:t>
      </w:r>
    </w:p>
    <w:p w14:paraId="4775D638">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w:t>
      </w:r>
    </w:p>
    <w:p w14:paraId="4324B848">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18FDA0E">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年化收益率：12-17%</w:t>
      </w:r>
    </w:p>
    <w:p w14:paraId="24A4742F">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27462F18">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夏普比率：0.8-1.3</w:t>
      </w:r>
    </w:p>
    <w:p w14:paraId="660FB1B8">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优缺点：风险调整后配置更合理；波动率估计有噪音</w:t>
      </w:r>
    </w:p>
    <w:p w14:paraId="4F600519">
      <w:pPr>
        <w:pStyle w:val="3"/>
      </w:pPr>
      <w:r>
        <w:t>策略104. 跨境ETF轮动策略</w:t>
      </w:r>
    </w:p>
    <w:p w14:paraId="2FE0AF8F">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7654CC8B">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核心思想：在A股、港股、美股跨境ETF间进行轮动</w:t>
      </w:r>
    </w:p>
    <w:p w14:paraId="2ADABB6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交易逻辑：A股（沪深300）、港股（恒生）、美股（纳斯达克100/标普500）在不同阶段表现各异。通过QDII ETF在三地市场间轮动。</w:t>
      </w:r>
    </w:p>
    <w:p w14:paraId="10605C3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996F95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买入信号：三者中过去3月动量最强且为正的市场</w:t>
      </w:r>
    </w:p>
    <w:p w14:paraId="5AF8E91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卖出信号：月度调仓</w:t>
      </w:r>
    </w:p>
    <w:p w14:paraId="589278CA">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仓位管理：全仓持有最强市场</w:t>
      </w:r>
    </w:p>
    <w:p w14:paraId="79624C1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关键参数：回看期=3月</w:t>
      </w:r>
    </w:p>
    <w:p w14:paraId="501B0754">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适用ETF：沪深300ETF、恒生ETF、纳斯达克100ETF</w:t>
      </w:r>
    </w:p>
    <w:p w14:paraId="6186F097">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911D432">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0CDA66B4">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7AD3497D">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58A80CEF">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优缺点：全球分散；QDII额度限制，汇率波动影响</w:t>
      </w:r>
    </w:p>
    <w:p w14:paraId="58F506C4">
      <w:pPr>
        <w:pStyle w:val="3"/>
      </w:pPr>
      <w:r>
        <w:t>策略105. 等权再平衡轮动策略</w:t>
      </w:r>
    </w:p>
    <w:p w14:paraId="72CF90F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分类：轮动策略</w:t>
      </w:r>
    </w:p>
    <w:p w14:paraId="5CC6956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核心思想：多个ETF等权配置，定期再平衡自动实现"高抛低吸"</w:t>
      </w:r>
    </w:p>
    <w:p w14:paraId="65A6E5C3">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交易逻辑：等权配置多个ETF后定期再平衡（如季度），自然地卖出涨多的、买入跌多的。再平衡本身就是一种纪律化的均值回归操作。</w:t>
      </w:r>
    </w:p>
    <w:p w14:paraId="4142D32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52E34F5">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买入信号：初始等权配置5只ETF各20%</w:t>
      </w:r>
    </w:p>
    <w:p w14:paraId="2DF79986">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卖出信号：季度末再平衡至等权</w:t>
      </w:r>
    </w:p>
    <w:p w14:paraId="01F6B30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仓位管理：偏离超过5%时再平衡</w:t>
      </w:r>
    </w:p>
    <w:p w14:paraId="607A34CF">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关键参数：再平衡频率=季度，偏离阈值=5%</w:t>
      </w:r>
    </w:p>
    <w:p w14:paraId="340DFEAE">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适用ETF：多资产ETF组合</w:t>
      </w:r>
    </w:p>
    <w:p w14:paraId="720851DE">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F2804D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年化收益率：8-12%</w:t>
      </w:r>
    </w:p>
    <w:p w14:paraId="2CCD2CDB">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0B83AE5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夏普比率：0.7-1.0</w:t>
      </w:r>
    </w:p>
    <w:p w14:paraId="37D3119F">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优缺点：简单纪律化，自动高抛低吸；在趋势市中再平衡会卖掉赢家</w:t>
      </w:r>
    </w:p>
    <w:p w14:paraId="3E48FDA3">
      <w:pPr>
        <w:pStyle w:val="2"/>
        <w:numPr>
          <w:ilvl w:val="0"/>
          <w:numId w:val="1"/>
        </w:numPr>
        <w:ind w:left="0" w:leftChars="0" w:firstLine="0" w:firstLineChars="0"/>
        <w:rPr>
          <w:b w:val="0"/>
          <w:bdr w:val="none" w:sz="0" w:space="0"/>
        </w:rPr>
      </w:pPr>
      <w:r>
        <w:t>网格交易类策略（策略106-120）</w:t>
      </w:r>
    </w:p>
    <w:p w14:paraId="5BABA760">
      <w:pPr>
        <w:pStyle w:val="3"/>
      </w:pPr>
      <w:r>
        <w:t>策略106. 等差网格策略</w:t>
      </w:r>
    </w:p>
    <w:p w14:paraId="37382A5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分类：网格交易</w:t>
      </w:r>
    </w:p>
    <w:p w14:paraId="2286F479">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核心思想：以固定价格间距设置网格，每触及一格执行买卖</w:t>
      </w:r>
    </w:p>
    <w:p w14:paraId="1F289189">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交易逻辑：将价格区间等分为N格，每下跌一格买入固定金额，每上涨一格卖出固定金额。本质是机械化的高抛低吸，在震荡市中持续赚取网格利润。</w:t>
      </w:r>
    </w:p>
    <w:p w14:paraId="22DE4E56">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32C418A">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买入信号：价格每下跌一个网格间距（如0.05元）买入1份</w:t>
      </w:r>
    </w:p>
    <w:p w14:paraId="2DEAC65E">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卖出信号：价格每上涨一个网格间距卖出1份</w:t>
      </w:r>
    </w:p>
    <w:p w14:paraId="61909A88">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仓位管理：总仓位=网格数*每格金额，初始半仓</w:t>
      </w:r>
    </w:p>
    <w:p w14:paraId="236DBF8F">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关键参数：网格间距=固定金额（如0.05元），网格数=20-40格</w:t>
      </w:r>
    </w:p>
    <w:p w14:paraId="48A0B0B8">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适用ETF：沪深300ETF、中证500ETF（价格稳定的宽基）</w:t>
      </w:r>
    </w:p>
    <w:p w14:paraId="6AF17B68">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D4B130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年化收益率：6-12%</w:t>
      </w:r>
    </w:p>
    <w:p w14:paraId="437EE74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3F6015FA">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24A06904">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优缺点：震荡市稳定盈利，操作机械化；单边下跌时满仓被套，单边上涨时提前卖光</w:t>
      </w:r>
    </w:p>
    <w:p w14:paraId="0E859B2B">
      <w:pPr>
        <w:pStyle w:val="3"/>
      </w:pPr>
      <w:r>
        <w:t>策略107. 等比网格策略</w:t>
      </w:r>
    </w:p>
    <w:p w14:paraId="1E9E35DC">
      <w:pPr>
        <w:pStyle w:val="11"/>
        <w:rPr>
          <w:rFonts w:ascii="Times New Roman" w:hAnsi="Times New Roman" w:eastAsia="宋体" w:cs="Times New Roman"/>
          <w:sz w:val="24"/>
          <w:szCs w:val="24"/>
        </w:rPr>
      </w:pPr>
      <w:r>
        <w:rPr>
          <w:rFonts w:ascii="Times New Roman" w:hAnsi="Times New Roman" w:eastAsia="宋体" w:cs="Times New Roman"/>
          <w:sz w:val="24"/>
          <w:szCs w:val="24"/>
        </w:rPr>
        <w:t>分类：网格交易</w:t>
      </w:r>
    </w:p>
    <w:p w14:paraId="4C0F0D22">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核心思想：以固定百分比间距设置网格，适应不同价位</w:t>
      </w:r>
    </w:p>
    <w:p w14:paraId="04071D52">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交易逻辑：等比网格每格间距为固定百分比（如3%），而非固定金额。优势是高价位时格距大、低价位时格距小，更符合价格波动特性。每格盈利百分比相同。</w:t>
      </w:r>
    </w:p>
    <w:p w14:paraId="7C956BBB">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1C275EC">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买入信号：价格每下跌3%买入1份</w:t>
      </w:r>
    </w:p>
    <w:p w14:paraId="7AF301B7">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卖出信号：价格每上涨3%卖出1份</w:t>
      </w:r>
    </w:p>
    <w:p w14:paraId="15A20D2B">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仓位管理：初始半仓，每格交易固定百分比资金</w:t>
      </w:r>
    </w:p>
    <w:p w14:paraId="7BD4F9BE">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关键参数：网格间距=3%，网格数=20格</w:t>
      </w:r>
    </w:p>
    <w:p w14:paraId="70FB880B">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0E68360F">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04B8371">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年化收益率：7-14%</w:t>
      </w:r>
    </w:p>
    <w:p w14:paraId="066157AF">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54D64BD3">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夏普比率：0.6-1.1</w:t>
      </w:r>
    </w:p>
    <w:p w14:paraId="4B7495E9">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优缺点：百分比间距更合理，每格盈利率一致；同样面临单边行情风险</w:t>
      </w:r>
    </w:p>
    <w:p w14:paraId="63A78C3D">
      <w:pPr>
        <w:pStyle w:val="3"/>
      </w:pPr>
      <w:r>
        <w:t>策略108. 动态网格策略（ATR自适应）</w:t>
      </w:r>
    </w:p>
    <w:p w14:paraId="3C08CF3C">
      <w:pPr>
        <w:pStyle w:val="11"/>
        <w:rPr>
          <w:rFonts w:ascii="Times New Roman" w:hAnsi="Times New Roman" w:eastAsia="宋体" w:cs="Times New Roman"/>
          <w:sz w:val="24"/>
          <w:szCs w:val="24"/>
        </w:rPr>
      </w:pPr>
      <w:r>
        <w:rPr>
          <w:rFonts w:ascii="Times New Roman" w:hAnsi="Times New Roman" w:eastAsia="宋体" w:cs="Times New Roman"/>
          <w:sz w:val="24"/>
          <w:szCs w:val="24"/>
        </w:rPr>
        <w:t>分类：网格交易</w:t>
      </w:r>
    </w:p>
    <w:p w14:paraId="33FDE1FB">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核心思想：网格间距根据ATR动态调整，高波动时间距大，低波动时间距小</w:t>
      </w:r>
    </w:p>
    <w:p w14:paraId="6B5619CA">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交易逻辑：固定间距网格在高波动时触发太频繁，低波动时无交易。用ATR自适应网格间距，波动率大时自动放宽间距避免过度交易，波动率小时缩小间距增加交易机会。</w:t>
      </w:r>
    </w:p>
    <w:p w14:paraId="613ADB5B">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6AE8139">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买入信号：价格下跌1.5倍ATR时买入</w:t>
      </w:r>
    </w:p>
    <w:p w14:paraId="05B726DD">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卖出信号：价格上涨1.5倍ATR时卖出</w:t>
      </w:r>
    </w:p>
    <w:p w14:paraId="7B7BD47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仓位管理：ATR自适应调整每格资金量</w:t>
      </w:r>
    </w:p>
    <w:p w14:paraId="487276F4">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关键参数：ATR周期=14日，间距=1.5倍ATR</w:t>
      </w:r>
    </w:p>
    <w:p w14:paraId="47898E47">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336ED853">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4A009849">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年化收益率：8-15%</w:t>
      </w:r>
    </w:p>
    <w:p w14:paraId="1F9F4CFC">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最大回撤：8-14%</w:t>
      </w:r>
    </w:p>
    <w:p w14:paraId="6BAD84C4">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5A03A03B">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优缺点：自适应波动率，交易频率更合理；ATR变化可能导致网格频繁重置</w:t>
      </w:r>
    </w:p>
    <w:p w14:paraId="6D739E68">
      <w:pPr>
        <w:pStyle w:val="3"/>
      </w:pPr>
      <w:r>
        <w:t>策略109. 趋势网格策略</w:t>
      </w:r>
    </w:p>
    <w:p w14:paraId="59F96237">
      <w:pPr>
        <w:pStyle w:val="11"/>
        <w:rPr>
          <w:rFonts w:ascii="Times New Roman" w:hAnsi="Times New Roman" w:eastAsia="宋体" w:cs="Times New Roman"/>
          <w:sz w:val="24"/>
          <w:szCs w:val="24"/>
        </w:rPr>
      </w:pPr>
      <w:r>
        <w:rPr>
          <w:rFonts w:ascii="Times New Roman" w:hAnsi="Times New Roman" w:eastAsia="宋体" w:cs="Times New Roman"/>
          <w:sz w:val="24"/>
          <w:szCs w:val="24"/>
        </w:rPr>
        <w:t>分类：网格交易</w:t>
      </w:r>
    </w:p>
    <w:p w14:paraId="006A777F">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核心思想：在上升趋势中只做多头网格，下降趋势中停止网格</w:t>
      </w:r>
    </w:p>
    <w:p w14:paraId="68DA1B61">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交易逻辑：传统网格在单边下跌中会亏损严重。加入趋势判断（如均线方向），只在上升趋势中运行网格，趋势转空时停止并清仓。解决网格策略最大的单边行情风险。</w:t>
      </w:r>
    </w:p>
    <w:p w14:paraId="4443C158">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3694E59">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买入信号：价格&gt;60日均线时开启网格，每下跌3%买入</w:t>
      </w:r>
    </w:p>
    <w:p w14:paraId="15F34C1B">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卖出信号：每上涨3%卖出；价格&lt;60日均线时关闭网格并清仓</w:t>
      </w:r>
    </w:p>
    <w:p w14:paraId="144AAF09">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仓位管理：趋势向上时正常网格仓位，趋势向下时空仓</w:t>
      </w:r>
    </w:p>
    <w:p w14:paraId="2D164C6B">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关键参数：趋势判断=60日均线，网格间距=3%</w:t>
      </w:r>
    </w:p>
    <w:p w14:paraId="007B0ECD">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69EDEACA">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1D64FA7">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573BBFBE">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6A8CC14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0EEFEF37">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优缺点：避免了单边下跌的致命缺陷；趋势判断有滞后</w:t>
      </w:r>
    </w:p>
    <w:p w14:paraId="4FF00822">
      <w:pPr>
        <w:pStyle w:val="3"/>
      </w:pPr>
      <w:r>
        <w:t>策略110. 反趋势网格策略</w:t>
      </w:r>
    </w:p>
    <w:p w14:paraId="6809AB67">
      <w:pPr>
        <w:pStyle w:val="11"/>
        <w:rPr>
          <w:rFonts w:ascii="Times New Roman" w:hAnsi="Times New Roman" w:eastAsia="宋体" w:cs="Times New Roman"/>
          <w:sz w:val="24"/>
          <w:szCs w:val="24"/>
        </w:rPr>
      </w:pPr>
      <w:r>
        <w:rPr>
          <w:rFonts w:ascii="Times New Roman" w:hAnsi="Times New Roman" w:eastAsia="宋体" w:cs="Times New Roman"/>
          <w:sz w:val="24"/>
          <w:szCs w:val="24"/>
        </w:rPr>
        <w:t>分类：网格交易</w:t>
      </w:r>
    </w:p>
    <w:p w14:paraId="5866AF5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核心思想：在下跌趋势中加大网格买入力度，逆势抄底</w:t>
      </w:r>
    </w:p>
    <w:p w14:paraId="175CB23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交易逻辑：与趋势网格相反，在下跌趋势中增加买入频率和金额（金字塔加仓），期待趋势反转后大幅获利。适合长期看好的核心资产。</w:t>
      </w:r>
    </w:p>
    <w:p w14:paraId="0A5D62FE">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ED65327">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买入信号：价格每下跌5%买入，越跌买越多（金字塔加仓）</w:t>
      </w:r>
    </w:p>
    <w:p w14:paraId="40879798">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卖出信号：价格回到买入均价以上5%开始分批卖出</w:t>
      </w:r>
    </w:p>
    <w:p w14:paraId="16568069">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仓位管理：下跌10%用20%资金，下跌20%用30%，下跌30%用50%</w:t>
      </w:r>
    </w:p>
    <w:p w14:paraId="4BB6F5EA">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关键参数：加仓阈值=每跌5%</w:t>
      </w:r>
    </w:p>
    <w:p w14:paraId="3E7AE37F">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适用ETF：核心宽基ETF（沪深300、上证50）</w:t>
      </w:r>
    </w:p>
    <w:p w14:paraId="3D3B14C4">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9917D21">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年化收益率：8-15%</w:t>
      </w:r>
    </w:p>
    <w:p w14:paraId="7C62EA75">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最大回撤：15-30%</w:t>
      </w:r>
    </w:p>
    <w:p w14:paraId="20618EBA">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夏普比率：0.4-0.8</w:t>
      </w:r>
    </w:p>
    <w:p w14:paraId="43CA4973">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优缺点：大跌后反弹利润丰厚；如果标的长期下跌会深度套牢</w:t>
      </w:r>
    </w:p>
    <w:p w14:paraId="5F577E7E">
      <w:pPr>
        <w:pStyle w:val="3"/>
      </w:pPr>
      <w:r>
        <w:t>策略111. 多层网格策略</w:t>
      </w:r>
    </w:p>
    <w:p w14:paraId="6DA4CB6B">
      <w:pPr>
        <w:pStyle w:val="11"/>
        <w:rPr>
          <w:rFonts w:ascii="Times New Roman" w:hAnsi="Times New Roman" w:eastAsia="宋体" w:cs="Times New Roman"/>
          <w:sz w:val="24"/>
          <w:szCs w:val="24"/>
        </w:rPr>
      </w:pPr>
      <w:r>
        <w:rPr>
          <w:rFonts w:ascii="Times New Roman" w:hAnsi="Times New Roman" w:eastAsia="宋体" w:cs="Times New Roman"/>
          <w:sz w:val="24"/>
          <w:szCs w:val="24"/>
        </w:rPr>
        <w:t>分类：网格交易</w:t>
      </w:r>
    </w:p>
    <w:p w14:paraId="52F487A8">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核心思想：设置多层网格，靠近中间层间距密，远离中间层间距疏</w:t>
      </w:r>
    </w:p>
    <w:p w14:paraId="69E679AD">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交易逻辑：价格在中间区域波动最频繁，密集网格捕捉更多小波动利润。远离中间区域说明趋势形成，用宽间距减少交易。兼顾震荡和趋势。</w:t>
      </w:r>
    </w:p>
    <w:p w14:paraId="2F1F5789">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A23E6B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买入信号：核心区间（-5%到+5%）每2%一格，外围区间每5%一格</w:t>
      </w:r>
    </w:p>
    <w:p w14:paraId="3A368BA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卖出信号：每格反向触发时卖出</w:t>
      </w:r>
    </w:p>
    <w:p w14:paraId="40B02E5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仓位管理：核心区间每格小金额，外围每格大金额</w:t>
      </w:r>
    </w:p>
    <w:p w14:paraId="1EFB6B8C">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关键参数：核心区间=±5%（间距2%），外围=±15%（间距5%）</w:t>
      </w:r>
    </w:p>
    <w:p w14:paraId="60CA3C3C">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61B28252">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5A40403">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1EE5AA70">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4A9E0193">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6825D34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优缺点：资金利用效率高；参数设置较复杂</w:t>
      </w:r>
    </w:p>
    <w:p w14:paraId="300E484E">
      <w:pPr>
        <w:pStyle w:val="3"/>
      </w:pPr>
      <w:r>
        <w:t>策略112. 智能网格策略（趋势判断+网格）</w:t>
      </w:r>
    </w:p>
    <w:p w14:paraId="6A741A8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分类：网格交易</w:t>
      </w:r>
    </w:p>
    <w:p w14:paraId="5CAFA6A5">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核心思想：根据市场状态智能切换网格参数</w:t>
      </w:r>
    </w:p>
    <w:p w14:paraId="4BEB4BA1">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交易逻辑：用ATR或布林带带宽判断市场波动状态。低波动震荡时缩小间距增加交易频率，高波动趋势时扩大间距或暂停网格。实现网格策略的全自动化智能运行。</w:t>
      </w:r>
    </w:p>
    <w:p w14:paraId="23431491">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91984B1">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买入信号：低波动（BB带宽&lt;均值）时网格间距=2%，高波动时间距=5%</w:t>
      </w:r>
    </w:p>
    <w:p w14:paraId="2F32009B">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卖出信号：按当前间距反向触发</w:t>
      </w:r>
    </w:p>
    <w:p w14:paraId="2CE37A8C">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仓位管理：低波动满网格，高波动半网格</w:t>
      </w:r>
    </w:p>
    <w:p w14:paraId="0FFE91BF">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关键参数：波动率判断=BB带宽，间距自适应</w:t>
      </w:r>
    </w:p>
    <w:p w14:paraId="2F8D5CE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3F9CC0C1">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CCC250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669E6022">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最大回撤：6-12%</w:t>
      </w:r>
    </w:p>
    <w:p w14:paraId="60447AA0">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夏普比率：0.8-1.3</w:t>
      </w:r>
    </w:p>
    <w:p w14:paraId="524E518B">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优缺点：全自动自适应；算法复杂度高</w:t>
      </w:r>
    </w:p>
    <w:p w14:paraId="283C5F0C">
      <w:pPr>
        <w:pStyle w:val="3"/>
      </w:pPr>
      <w:r>
        <w:t>策略113. 无限网格策略</w:t>
      </w:r>
    </w:p>
    <w:p w14:paraId="47DEEAA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分类：网格交易</w:t>
      </w:r>
    </w:p>
    <w:p w14:paraId="147B4E1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核心思想：不设上下限的等比网格，理论上永不停机</w:t>
      </w:r>
    </w:p>
    <w:p w14:paraId="26B8F8E8">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交易逻辑：等比网格天然适合无限运行，因为无论价格多高或多低，每格利润率恒定。只要标的不退市，网格可以永远运行。但需要充足的资金储备。</w:t>
      </w:r>
    </w:p>
    <w:p w14:paraId="4EA1536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1797AD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买入信号：价格每下跌5%买入当前总资产的10%</w:t>
      </w:r>
    </w:p>
    <w:p w14:paraId="3EB62DD6">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卖出信号：价格每上涨5%卖出持仓的10%</w:t>
      </w:r>
    </w:p>
    <w:p w14:paraId="6B408C2C">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仓位管理：永远保持部分仓位和部分现金</w:t>
      </w:r>
    </w:p>
    <w:p w14:paraId="1924397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关键参数：网格间距=5%，每格资金=总资产10%</w:t>
      </w:r>
    </w:p>
    <w:p w14:paraId="5BE8AF5E">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适用ETF：长期看好的宽基ETF</w:t>
      </w:r>
    </w:p>
    <w:p w14:paraId="4D19B005">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D1B5CC7">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年化收益率：6-12%</w:t>
      </w:r>
    </w:p>
    <w:p w14:paraId="3D6AAAAE">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最大回撤：10-20%</w:t>
      </w:r>
    </w:p>
    <w:p w14:paraId="79097C2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2E4F4D6F">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优缺点：永续运行，不错过任何波动；资金效率较低</w:t>
      </w:r>
    </w:p>
    <w:p w14:paraId="405ED2F9">
      <w:pPr>
        <w:pStyle w:val="3"/>
      </w:pPr>
      <w:r>
        <w:t>策略114. 条件触发网格策略</w:t>
      </w:r>
    </w:p>
    <w:p w14:paraId="35E3DCE8">
      <w:pPr>
        <w:pStyle w:val="11"/>
        <w:rPr>
          <w:rFonts w:ascii="Times New Roman" w:hAnsi="Times New Roman" w:eastAsia="宋体" w:cs="Times New Roman"/>
          <w:sz w:val="24"/>
          <w:szCs w:val="24"/>
        </w:rPr>
      </w:pPr>
      <w:r>
        <w:rPr>
          <w:rFonts w:ascii="Times New Roman" w:hAnsi="Times New Roman" w:eastAsia="宋体" w:cs="Times New Roman"/>
          <w:sz w:val="24"/>
          <w:szCs w:val="24"/>
        </w:rPr>
        <w:t>分类：网格交易</w:t>
      </w:r>
    </w:p>
    <w:p w14:paraId="54147FCF">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核心思想：只在特定市场条件下启动网格交易</w:t>
      </w:r>
    </w:p>
    <w:p w14:paraId="043A3AD0">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交易逻辑：网格策略在震荡市最有效。通过技术指标（如ADX&lt;20、布林带收窄）识别震荡市环境，仅在震荡市中开启网格，趋势市中暂停。</w:t>
      </w:r>
    </w:p>
    <w:p w14:paraId="5160A1E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9750E48">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买入信号：ADX&lt;20（非趋势市）时启动等比网格</w:t>
      </w:r>
    </w:p>
    <w:p w14:paraId="63E783B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卖出信号：ADX&gt;25时暂停网格，平掉所有网格仓位</w:t>
      </w:r>
    </w:p>
    <w:p w14:paraId="6DD0A3AA">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仓位管理：震荡市正常网格仓位</w:t>
      </w:r>
    </w:p>
    <w:p w14:paraId="2EFE89B0">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关键参数：ADX阈值=20/25，网格间距=3%</w:t>
      </w:r>
    </w:p>
    <w:p w14:paraId="7BC07B1E">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0B5494F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478C11DE">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765A81E0">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最大回撤：6-12%</w:t>
      </w:r>
    </w:p>
    <w:p w14:paraId="6171510E">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夏普比率：0.8-1.2</w:t>
      </w:r>
    </w:p>
    <w:p w14:paraId="6A8B5FA5">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优缺点：有效避免趋势市损失；ADX判断有滞后</w:t>
      </w:r>
    </w:p>
    <w:p w14:paraId="1FC3B06E">
      <w:pPr>
        <w:pStyle w:val="3"/>
      </w:pPr>
      <w:r>
        <w:t>策略115. 移动网格策略</w:t>
      </w:r>
    </w:p>
    <w:p w14:paraId="2151F07F">
      <w:pPr>
        <w:pStyle w:val="11"/>
        <w:rPr>
          <w:rFonts w:ascii="Times New Roman" w:hAnsi="Times New Roman" w:eastAsia="宋体" w:cs="Times New Roman"/>
          <w:sz w:val="24"/>
          <w:szCs w:val="24"/>
        </w:rPr>
      </w:pPr>
      <w:r>
        <w:rPr>
          <w:rFonts w:ascii="Times New Roman" w:hAnsi="Times New Roman" w:eastAsia="宋体" w:cs="Times New Roman"/>
          <w:sz w:val="24"/>
          <w:szCs w:val="24"/>
        </w:rPr>
        <w:t>分类：网格交易</w:t>
      </w:r>
    </w:p>
    <w:p w14:paraId="3C17A40F">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核心思想：网格中心随价格移动，始终围绕当前价格设置网格</w:t>
      </w:r>
    </w:p>
    <w:p w14:paraId="37E8149C">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交易逻辑：固定网格可能因价格大幅偏离而失效。移动网格每日以收盘价为中心重新设置网格范围，确保网格始终在有效区域。</w:t>
      </w:r>
    </w:p>
    <w:p w14:paraId="545602C0">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33603A8">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买入信号：以20日均线为中心，上下各设10格</w:t>
      </w:r>
    </w:p>
    <w:p w14:paraId="60610D9B">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卖出信号：按网格规则触发</w:t>
      </w:r>
    </w:p>
    <w:p w14:paraId="217202E6">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仓位管理：标准网格仓位</w:t>
      </w:r>
    </w:p>
    <w:p w14:paraId="443E7235">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关键参数：中心线=20日均线，网格间距=2%</w:t>
      </w:r>
    </w:p>
    <w:p w14:paraId="0D01FBD2">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61F17D9E">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78CA884">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304246DB">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552F1A56">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31E263A7">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优缺点：网格始终有效；频繁重置增加复杂度</w:t>
      </w:r>
    </w:p>
    <w:p w14:paraId="4A4C6729">
      <w:pPr>
        <w:pStyle w:val="3"/>
      </w:pPr>
      <w:r>
        <w:t>策略116. 斐波那契网格策略</w:t>
      </w:r>
    </w:p>
    <w:p w14:paraId="1A74949B">
      <w:pPr>
        <w:pStyle w:val="11"/>
        <w:rPr>
          <w:rFonts w:ascii="Times New Roman" w:hAnsi="Times New Roman" w:eastAsia="宋体" w:cs="Times New Roman"/>
          <w:sz w:val="24"/>
          <w:szCs w:val="24"/>
        </w:rPr>
      </w:pPr>
      <w:r>
        <w:rPr>
          <w:rFonts w:ascii="Times New Roman" w:hAnsi="Times New Roman" w:eastAsia="宋体" w:cs="Times New Roman"/>
          <w:sz w:val="24"/>
          <w:szCs w:val="24"/>
        </w:rPr>
        <w:t>分类：网格交易</w:t>
      </w:r>
    </w:p>
    <w:p w14:paraId="744B851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核心思想：网格间距按斐波那契比率设置</w:t>
      </w:r>
    </w:p>
    <w:p w14:paraId="381E5165">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交易逻辑：斐波那契回撤位（23.6%、38.2%、50%、61.8%）是市场公认的支撑/阻力位。将网格设置在这些关键位置，能更好地捕捉价格在支撑阻力位附近的反弹。</w:t>
      </w:r>
    </w:p>
    <w:p w14:paraId="6A5CC89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41A864A">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买入信号：在近期高低点间的斐波那契回撤位设置买入网格</w:t>
      </w:r>
    </w:p>
    <w:p w14:paraId="6B34FA93">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卖出信号：价格反弹至上一级斐波那契位</w:t>
      </w:r>
    </w:p>
    <w:p w14:paraId="527D5DAD">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仓位管理：越接近61.8%回撤位仓位越重</w:t>
      </w:r>
    </w:p>
    <w:p w14:paraId="68F85984">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关键参数：斐波那契比率=23.6%, 38.2%, 50%, 61.8%</w:t>
      </w:r>
    </w:p>
    <w:p w14:paraId="329E015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6FD55263">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5986C1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602950F3">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37D6548D">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61D0E249">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优缺点：网格设在关键价位，命中率高；需要识别高低点，有一定主观性</w:t>
      </w:r>
    </w:p>
    <w:p w14:paraId="51BDD870">
      <w:pPr>
        <w:pStyle w:val="3"/>
      </w:pPr>
      <w:r>
        <w:t>策略117. 分仓递增网格策略</w:t>
      </w:r>
    </w:p>
    <w:p w14:paraId="26B9FEC7">
      <w:pPr>
        <w:pStyle w:val="11"/>
        <w:rPr>
          <w:rFonts w:ascii="Times New Roman" w:hAnsi="Times New Roman" w:eastAsia="宋体" w:cs="Times New Roman"/>
          <w:sz w:val="24"/>
          <w:szCs w:val="24"/>
        </w:rPr>
      </w:pPr>
      <w:r>
        <w:rPr>
          <w:rFonts w:ascii="Times New Roman" w:hAnsi="Times New Roman" w:eastAsia="宋体" w:cs="Times New Roman"/>
          <w:sz w:val="24"/>
          <w:szCs w:val="24"/>
        </w:rPr>
        <w:t>分类：网格交易</w:t>
      </w:r>
    </w:p>
    <w:p w14:paraId="1AC18F92">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核心思想：越跌买越多，每格买入金额递增</w:t>
      </w:r>
    </w:p>
    <w:p w14:paraId="5C44FD9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交易逻辑：底部区域每格买入更多金额，使得平均成本快速下降。类似金字塔建仓法与网格的结合。当价格回升时，大仓位部分盈利更丰厚。</w:t>
      </w:r>
    </w:p>
    <w:p w14:paraId="0CD1931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ABEADFA">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买入信号：第1格买1份，第2格买2份，第3格买3份...</w:t>
      </w:r>
    </w:p>
    <w:p w14:paraId="2575DFAC">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卖出信号：每上涨一格卖出该格买入量</w:t>
      </w:r>
    </w:p>
    <w:p w14:paraId="6C8D5A5C">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仓位管理：递增买入，递减卖出</w:t>
      </w:r>
    </w:p>
    <w:p w14:paraId="3F80DC71">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关键参数：递增系数=1，网格间距=3%</w:t>
      </w:r>
    </w:p>
    <w:p w14:paraId="140710FB">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适用ETF：核心宽基ETF</w:t>
      </w:r>
    </w:p>
    <w:p w14:paraId="48EDBDB6">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9E6598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年化收益率：9-16%</w:t>
      </w:r>
    </w:p>
    <w:p w14:paraId="0B6AF9A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最大回撤：10-20%</w:t>
      </w:r>
    </w:p>
    <w:p w14:paraId="6452199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2C651BB1">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优缺点：底部加仓提高回本速度；极端下跌时资金需求巨大</w:t>
      </w:r>
    </w:p>
    <w:p w14:paraId="6AE25219">
      <w:pPr>
        <w:pStyle w:val="3"/>
      </w:pPr>
      <w:r>
        <w:t>策略118. 时间触发网格策略</w:t>
      </w:r>
    </w:p>
    <w:p w14:paraId="3D6A7C87">
      <w:pPr>
        <w:pStyle w:val="11"/>
        <w:rPr>
          <w:rFonts w:ascii="Times New Roman" w:hAnsi="Times New Roman" w:eastAsia="宋体" w:cs="Times New Roman"/>
          <w:sz w:val="24"/>
          <w:szCs w:val="24"/>
        </w:rPr>
      </w:pPr>
      <w:r>
        <w:rPr>
          <w:rFonts w:ascii="Times New Roman" w:hAnsi="Times New Roman" w:eastAsia="宋体" w:cs="Times New Roman"/>
          <w:sz w:val="24"/>
          <w:szCs w:val="24"/>
        </w:rPr>
        <w:t>分类：网格交易</w:t>
      </w:r>
    </w:p>
    <w:p w14:paraId="17D86436">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核心思想：结合时间维度，持仓超过N天未触发卖出则强制平仓</w:t>
      </w:r>
    </w:p>
    <w:p w14:paraId="21E78C0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交易逻辑：网格持仓可能长期不被触发卖出格。加入时间止损，持仓超过30天未盈利则平仓，释放资金用于新的网格交易。</w:t>
      </w:r>
    </w:p>
    <w:p w14:paraId="1A473E34">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39D3B11">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买入信号：标准网格买入</w:t>
      </w:r>
    </w:p>
    <w:p w14:paraId="48AED907">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卖出信号：网格触发卖出 或 持仓超过30天强制平仓</w:t>
      </w:r>
    </w:p>
    <w:p w14:paraId="32F5BD63">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仓位管理：标准网格仓位</w:t>
      </w:r>
    </w:p>
    <w:p w14:paraId="12B986E4">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关键参数：时间止损=30天</w:t>
      </w:r>
    </w:p>
    <w:p w14:paraId="13802C3F">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2368C89A">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CFCC761">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年化收益率：7-13%</w:t>
      </w:r>
    </w:p>
    <w:p w14:paraId="41845AED">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3EA219A3">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5D4C2460">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优缺点：避免资金长期冻结；可能在反弹前被强制平仓</w:t>
      </w:r>
    </w:p>
    <w:p w14:paraId="2E37CD20">
      <w:pPr>
        <w:pStyle w:val="3"/>
      </w:pPr>
      <w:r>
        <w:t>策略119. 网格+定投组合策略</w:t>
      </w:r>
    </w:p>
    <w:p w14:paraId="45040C64">
      <w:pPr>
        <w:pStyle w:val="11"/>
        <w:rPr>
          <w:rFonts w:ascii="Times New Roman" w:hAnsi="Times New Roman" w:eastAsia="宋体" w:cs="Times New Roman"/>
          <w:sz w:val="24"/>
          <w:szCs w:val="24"/>
        </w:rPr>
      </w:pPr>
      <w:r>
        <w:rPr>
          <w:rFonts w:ascii="Times New Roman" w:hAnsi="Times New Roman" w:eastAsia="宋体" w:cs="Times New Roman"/>
          <w:sz w:val="24"/>
          <w:szCs w:val="24"/>
        </w:rPr>
        <w:t>分类：网格交易</w:t>
      </w:r>
    </w:p>
    <w:p w14:paraId="0B372E4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核心思想：底仓用定投建立，浮仓用网格交易</w:t>
      </w:r>
    </w:p>
    <w:p w14:paraId="1BA7429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交易逻辑：将资金分为两部分：60%用于定投建立长期底仓，40%用于网格交易赚取波动收益。底仓提供长期收益基础，网格部分增加额外收益。</w:t>
      </w:r>
    </w:p>
    <w:p w14:paraId="7D814BF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5E479A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买入信号：每月定投60%资金；剩余40%执行网格交易</w:t>
      </w:r>
    </w:p>
    <w:p w14:paraId="4ABC3E46">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卖出信号：网格部分按规则买卖，底仓长期持有</w:t>
      </w:r>
    </w:p>
    <w:p w14:paraId="1F2C1C8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仓位管理：底仓60%+网格仓40%</w:t>
      </w:r>
    </w:p>
    <w:p w14:paraId="20671D3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关键参数：底仓比例=60%，网格间距=3%</w:t>
      </w:r>
    </w:p>
    <w:p w14:paraId="180A1D68">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07F74E2D">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DAD0B7B">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2C9D2C7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08895776">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08DE235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优缺点：兼顾长期和短期收益；管理两套策略较复杂</w:t>
      </w:r>
    </w:p>
    <w:p w14:paraId="62188449">
      <w:pPr>
        <w:pStyle w:val="3"/>
      </w:pPr>
      <w:r>
        <w:t>策略120. 网格止损策略</w:t>
      </w:r>
    </w:p>
    <w:p w14:paraId="490F7498">
      <w:pPr>
        <w:pStyle w:val="11"/>
        <w:rPr>
          <w:rFonts w:ascii="Times New Roman" w:hAnsi="Times New Roman" w:eastAsia="宋体" w:cs="Times New Roman"/>
          <w:sz w:val="24"/>
          <w:szCs w:val="24"/>
        </w:rPr>
      </w:pPr>
      <w:r>
        <w:rPr>
          <w:rFonts w:ascii="Times New Roman" w:hAnsi="Times New Roman" w:eastAsia="宋体" w:cs="Times New Roman"/>
          <w:sz w:val="24"/>
          <w:szCs w:val="24"/>
        </w:rPr>
        <w:t>分类：网格交易</w:t>
      </w:r>
    </w:p>
    <w:p w14:paraId="5B8413B1">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核心思想：网格交易加入总体止损线，防止极端下跌的致命损失</w:t>
      </w:r>
    </w:p>
    <w:p w14:paraId="5D615C5D">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交易逻辑：网格策略最大风险是单边暴跌导致满仓被套。设置总账户止损线（如亏损15%），触及后清仓所有网格仓位。保命比赚钱更重要。</w:t>
      </w:r>
    </w:p>
    <w:p w14:paraId="49F5629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0D72358">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买入信号：标准网格买入</w:t>
      </w:r>
    </w:p>
    <w:p w14:paraId="2A6A2B6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卖出信号：网格触发卖出 或 总亏损&gt;15%强制全部清仓</w:t>
      </w:r>
    </w:p>
    <w:p w14:paraId="25F30D1C">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仓位管理：标准网格仓位+总止损</w:t>
      </w:r>
    </w:p>
    <w:p w14:paraId="7D15D70E">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关键参数：网格间距=3%，总止损=-15%</w:t>
      </w:r>
    </w:p>
    <w:p w14:paraId="3A08FDC8">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1ECBFE3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94E8A63">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年化收益率：7-13%</w:t>
      </w:r>
    </w:p>
    <w:p w14:paraId="0203DFC0">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最大回撤：10-15%（止损限制）</w:t>
      </w:r>
    </w:p>
    <w:p w14:paraId="681DA76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0F1AFB9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优缺点：有效控制极端风险；止损后可能错过反弹</w:t>
      </w:r>
    </w:p>
    <w:p w14:paraId="02B85B73">
      <w:pPr>
        <w:pStyle w:val="2"/>
        <w:numPr>
          <w:ilvl w:val="0"/>
          <w:numId w:val="1"/>
        </w:numPr>
        <w:ind w:left="0" w:leftChars="0" w:firstLine="0" w:firstLineChars="0"/>
        <w:rPr>
          <w:b w:val="0"/>
          <w:bdr w:val="none" w:sz="0" w:space="0"/>
        </w:rPr>
      </w:pPr>
      <w:r>
        <w:t>定投增强类策略（策略121-135）</w:t>
      </w:r>
    </w:p>
    <w:p w14:paraId="7DC09150">
      <w:pPr>
        <w:pStyle w:val="3"/>
      </w:pPr>
      <w:r>
        <w:t>策略121. 经典定额定投策略</w:t>
      </w:r>
    </w:p>
    <w:p w14:paraId="63F00B7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分类：定投增强</w:t>
      </w:r>
    </w:p>
    <w:p w14:paraId="21CE8C8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核心思想：每月固定日期投入固定金额，长期摊低成本</w:t>
      </w:r>
    </w:p>
    <w:p w14:paraId="4DB13A97">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交易逻辑：定投利用"时间分散"效应，在不同价位分批买入，自然实现高位少买、低位多买。长期来看平均成本低于平均价格（算术均值&gt;调和均值）。</w:t>
      </w:r>
    </w:p>
    <w:p w14:paraId="57EE5829">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5250AC8">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买入信号：每月固定日（如每月15日）买入固定金额</w:t>
      </w:r>
    </w:p>
    <w:p w14:paraId="57B9C553">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卖出信号：达到目标收益率（如30%）时止盈</w:t>
      </w:r>
    </w:p>
    <w:p w14:paraId="4759DFFC">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仓位管理：每月固定金额</w:t>
      </w:r>
    </w:p>
    <w:p w14:paraId="12AC0DD1">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关键参数：定投金额=固定，频率=月，止盈=30%</w:t>
      </w:r>
    </w:p>
    <w:p w14:paraId="34722EC6">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适用ETF：沪深300ETF、中证500ETF</w:t>
      </w:r>
    </w:p>
    <w:p w14:paraId="65F43E11">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8AFCBA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年化收益率：6-10%</w:t>
      </w:r>
    </w:p>
    <w:p w14:paraId="10D19E93">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最大回撤：15-30%（浮亏）</w:t>
      </w:r>
    </w:p>
    <w:p w14:paraId="02E37B58">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夏普比率：0.4-0.7</w:t>
      </w:r>
    </w:p>
    <w:p w14:paraId="2FACACF4">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优缺点：最简单的投资策略，无需择时；牛市中收益不及一次性买入</w:t>
      </w:r>
    </w:p>
    <w:p w14:paraId="782826F8">
      <w:pPr>
        <w:pStyle w:val="3"/>
      </w:pPr>
      <w:r>
        <w:t>策略122. PE估值定投策略</w:t>
      </w:r>
    </w:p>
    <w:p w14:paraId="2EE11E19">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分类：定投增强</w:t>
      </w:r>
    </w:p>
    <w:p w14:paraId="6D5DF023">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核心思想：根据PE百分位调整定投金额，低估多投、高估少投或不投</w:t>
      </w:r>
    </w:p>
    <w:p w14:paraId="4249C001">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交易逻辑：PE百分位反映当前估值相对历史的位置。PE百分位低说明市场便宜，加大投入获取更多低价筹码；PE百分位高说明市场贵，减少投入避免高位积累。</w:t>
      </w:r>
    </w:p>
    <w:p w14:paraId="2A445C5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4C73F4F">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买入信号：PE百分位&lt;30%时定投2倍金额，30-70%定投1倍，&gt;70%停止定投</w:t>
      </w:r>
    </w:p>
    <w:p w14:paraId="0D08FC53">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卖出信号：PE百分位&gt;80%时止盈</w:t>
      </w:r>
    </w:p>
    <w:p w14:paraId="21DD0717">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仓位管理：估值驱动金额调整</w:t>
      </w:r>
    </w:p>
    <w:p w14:paraId="62D5E17B">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关键参数：PE百分位统计=5年，基准定投金额=1000元</w:t>
      </w:r>
    </w:p>
    <w:p w14:paraId="096637D1">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适用ETF：沪深300ETF、中证500ETF</w:t>
      </w:r>
    </w:p>
    <w:p w14:paraId="50F379D0">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3BEDDC6">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3F8840A9">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最大回撤：12-25%</w:t>
      </w:r>
    </w:p>
    <w:p w14:paraId="58DB8170">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71C26F9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优缺点：低估多买高估少买，逻辑清晰；PE百分位适用性因指数而异</w:t>
      </w:r>
    </w:p>
    <w:p w14:paraId="3B4C69AC">
      <w:pPr>
        <w:pStyle w:val="3"/>
      </w:pPr>
      <w:r>
        <w:t>策略123. PB估值定投策略</w:t>
      </w:r>
    </w:p>
    <w:p w14:paraId="26AC61A3">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分类：定投增强</w:t>
      </w:r>
    </w:p>
    <w:p w14:paraId="58C8EF0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核心思想：根据PB百分位调整定投金额</w:t>
      </w:r>
    </w:p>
    <w:p w14:paraId="0A707B6D">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交易逻辑：PB对重资产行业（银行、地产、钢铁）更有效。PB&lt;1（破净）时说明股价低于净资产，安全边际极高。</w:t>
      </w:r>
    </w:p>
    <w:p w14:paraId="30E891EB">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FA3FE30">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买入信号：PB百分位&lt;20%定投3倍，20-50%定投2倍，50-80%定投1倍，&gt;80%停投</w:t>
      </w:r>
    </w:p>
    <w:p w14:paraId="5495C47E">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卖出信号：PB百分位&gt;80%止盈</w:t>
      </w:r>
    </w:p>
    <w:p w14:paraId="4C767A3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仓位管理：按PB百分位分档</w:t>
      </w:r>
    </w:p>
    <w:p w14:paraId="5544504C">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关键参数：PB百分位统计=5年</w:t>
      </w:r>
    </w:p>
    <w:p w14:paraId="5FAB124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适用ETF：银行ETF、地产ETF、沪深300ETF</w:t>
      </w:r>
    </w:p>
    <w:p w14:paraId="56B737F1">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072C538">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7580DFEB">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1F2136B6">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4D7A2F32">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优缺点：破净时安全边际高；成长型行业PB参考意义有限</w:t>
      </w:r>
    </w:p>
    <w:p w14:paraId="41BBC515">
      <w:pPr>
        <w:pStyle w:val="3"/>
      </w:pPr>
      <w:r>
        <w:t>策略124. 均线偏离定投策略</w:t>
      </w:r>
    </w:p>
    <w:p w14:paraId="64AD4B75">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分类：定投增强</w:t>
      </w:r>
    </w:p>
    <w:p w14:paraId="79859DD8">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核心思想：价格偏离均线越远定投金额越大</w:t>
      </w:r>
    </w:p>
    <w:p w14:paraId="2B15B90A">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交易逻辑：价格大幅低于均线时是"便宜"的时候，应该多买。偏离度=（均线-价格）/均线*100%。偏离度越大，价格越低于均值，买入越多。</w:t>
      </w:r>
    </w:p>
    <w:p w14:paraId="22AB4B57">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2B16C0E">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买入信号：定投金额=基准金额*（1+偏离度/5%），偏离度&gt;0时加倍</w:t>
      </w:r>
    </w:p>
    <w:p w14:paraId="7165E215">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卖出信号：价格回到均线以上10%时止盈</w:t>
      </w:r>
    </w:p>
    <w:p w14:paraId="31D2EE0A">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仓位管理：偏离度驱动</w:t>
      </w:r>
    </w:p>
    <w:p w14:paraId="6D49C82D">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关键参数：均线=250日（年线），偏离度系数=每5%加倍</w:t>
      </w:r>
    </w:p>
    <w:p w14:paraId="2F72037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6B52D260">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98CA4DC">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年化收益率：9-15%</w:t>
      </w:r>
    </w:p>
    <w:p w14:paraId="3DC4F3E2">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12A360D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7F82694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优缺点：自动在低位加码；熊市中偏离度可能持续扩大</w:t>
      </w:r>
    </w:p>
    <w:p w14:paraId="401EA4ED">
      <w:pPr>
        <w:pStyle w:val="3"/>
      </w:pPr>
      <w:r>
        <w:t>策略125. 波动率定投策略</w:t>
      </w:r>
    </w:p>
    <w:p w14:paraId="44F1396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分类：定投增强</w:t>
      </w:r>
    </w:p>
    <w:p w14:paraId="14480982">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核心思想：高波动率时增加定投金额，低波动率时减少</w:t>
      </w:r>
    </w:p>
    <w:p w14:paraId="3D0E81DC">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交易逻辑：高波动率通常出现在市场恐慌和下跌时期，此时加大投入能买到更便宜的筹码。波动率本身是恐慌程度的代理指标。</w:t>
      </w:r>
    </w:p>
    <w:p w14:paraId="65750AA8">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E2593B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买入信号：定投金额=基准金额*(当前波动率/历史平均波动率)</w:t>
      </w:r>
    </w:p>
    <w:p w14:paraId="12F179DB">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卖出信号：波动率降至历史低位且盈利&gt;20%时止盈</w:t>
      </w:r>
    </w:p>
    <w:p w14:paraId="4F9CF32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仓位管理：波动率越高投入越多</w:t>
      </w:r>
    </w:p>
    <w:p w14:paraId="6D1EC6F8">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关键参数：波动率=20日历史波动率</w:t>
      </w:r>
    </w:p>
    <w:p w14:paraId="05E36793">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3E457B3A">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9C82B68">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年化收益率：9-15%</w:t>
      </w:r>
    </w:p>
    <w:p w14:paraId="2C999B97">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最大回撤：12-25%</w:t>
      </w:r>
    </w:p>
    <w:p w14:paraId="5088D663">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31947E38">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优缺点：恐慌时自动加码，逆向思维；需要忍受短期大额投入的心理压力</w:t>
      </w:r>
    </w:p>
    <w:p w14:paraId="0C2BF53C">
      <w:pPr>
        <w:pStyle w:val="3"/>
      </w:pPr>
      <w:r>
        <w:t>策略126. 金字塔定投策略</w:t>
      </w:r>
    </w:p>
    <w:p w14:paraId="4726D819">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分类：定投增强</w:t>
      </w:r>
    </w:p>
    <w:p w14:paraId="7532D499">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核心思想：价格越低定投金额越大，形成金字塔式建仓</w:t>
      </w:r>
    </w:p>
    <w:p w14:paraId="7B7A41A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交易逻辑：与均线偏离定投类似，但更直接地以价格绝对位置为依据。将价格分为多个区间，每下一个区间定投金额翻倍。最终大部分筹码集中在低价区间。</w:t>
      </w:r>
    </w:p>
    <w:p w14:paraId="3A43CFCA">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6EE2941">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买入信号：价格在年线以上定投1份，年线-10%定投2份，-20%定投4份，-30%定投8份</w:t>
      </w:r>
    </w:p>
    <w:p w14:paraId="1AB851F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卖出信号：价格回到年线以上20%止盈</w:t>
      </w:r>
    </w:p>
    <w:p w14:paraId="64C2663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仓位管理：金字塔式递增</w:t>
      </w:r>
    </w:p>
    <w:p w14:paraId="3C07807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关键参数：年线为基准，每跌10%金额翻倍</w:t>
      </w:r>
    </w:p>
    <w:p w14:paraId="0A8F55F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适用ETF：核心宽基ETF</w:t>
      </w:r>
    </w:p>
    <w:p w14:paraId="297963DD">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379459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年化收益率：10-18%</w:t>
      </w:r>
    </w:p>
    <w:p w14:paraId="7E87360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最大回撤：15-30%（浮亏）</w:t>
      </w:r>
    </w:p>
    <w:p w14:paraId="65D7F720">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3B1BD4DB">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优缺点：底部重仓利润最大化；极端行情资金需求巨大</w:t>
      </w:r>
    </w:p>
    <w:p w14:paraId="4EE39E9B">
      <w:pPr>
        <w:pStyle w:val="3"/>
      </w:pPr>
      <w:r>
        <w:t>策略127. 微笑曲线定投策略</w:t>
      </w:r>
    </w:p>
    <w:p w14:paraId="30F9F854">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分类：定投增强</w:t>
      </w:r>
    </w:p>
    <w:p w14:paraId="2DAB825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核心思想：定投的收益曲线呈微笑形状，先跌后涨时收益最佳</w:t>
      </w:r>
    </w:p>
    <w:p w14:paraId="6091D3E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交易逻辑：定投在下跌期间积累低成本筹码，反弹时这些筹码全部盈利。"微笑曲线"策略的关键是坚持定投不中断，并在盈利达到目标时止盈。止盈后重新开始新一轮定投。</w:t>
      </w:r>
    </w:p>
    <w:p w14:paraId="220CE327">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5665441">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买入信号：无论涨跌每月定投</w:t>
      </w:r>
    </w:p>
    <w:p w14:paraId="4D49F673">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卖出信号：累计收益率达到20-30%时止盈全部卖出，重新开始</w:t>
      </w:r>
    </w:p>
    <w:p w14:paraId="7853B603">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仓位管理：固定金额定投</w:t>
      </w:r>
    </w:p>
    <w:p w14:paraId="44E6A9D4">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关键参数：止盈阈值=20-30%</w:t>
      </w:r>
    </w:p>
    <w:p w14:paraId="1AD07B70">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适用ETF：中证500ETF、创业板ETF（高波动品种微笑曲线更频繁）</w:t>
      </w:r>
    </w:p>
    <w:p w14:paraId="4AFD3832">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0497087">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年化收益率：8-15%</w:t>
      </w:r>
    </w:p>
    <w:p w14:paraId="73372862">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最大回撤：15-25%（过程中浮亏）</w:t>
      </w:r>
    </w:p>
    <w:p w14:paraId="6D17569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42E174D8">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优缺点：止盈机制锁定利润；止盈后可能踏空继续上涨的行情</w:t>
      </w:r>
    </w:p>
    <w:p w14:paraId="4B9FEBBB">
      <w:pPr>
        <w:pStyle w:val="3"/>
      </w:pPr>
      <w:r>
        <w:t>策略128. 目标市值定投策略</w:t>
      </w:r>
    </w:p>
    <w:p w14:paraId="4E69A2A4">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分类：定投增强</w:t>
      </w:r>
    </w:p>
    <w:p w14:paraId="52A6B604">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核心思想：设定每月目标持仓市值，不足则买入补足</w:t>
      </w:r>
    </w:p>
    <w:p w14:paraId="0261DC28">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交易逻辑：每月目标市值=月份数*基准金额。如果当前持仓市值低于目标，买入差额；如果高于目标，卖出多余部分。自动实现跌多买多、涨多卖多。</w:t>
      </w:r>
    </w:p>
    <w:p w14:paraId="3CD7770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570981A">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买入信号：当前市值&lt;目标市值时买入差额</w:t>
      </w:r>
    </w:p>
    <w:p w14:paraId="6906CD9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卖出信号：当前市值&gt;目标市值时卖出多余部分</w:t>
      </w:r>
    </w:p>
    <w:p w14:paraId="493EA22C">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仓位管理：目标市值=N月*1000元（N为定投月数）</w:t>
      </w:r>
    </w:p>
    <w:p w14:paraId="2225BB2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关键参数：每月目标增量=1000元</w:t>
      </w:r>
    </w:p>
    <w:p w14:paraId="19B54FE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02FCB29A">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3FD0821">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年化收益率：9-15%</w:t>
      </w:r>
    </w:p>
    <w:p w14:paraId="5D361DFC">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40EAFE6C">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034BA16B">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优缺点：自动化高抛低吸；大跌时单月买入金额可能非常大</w:t>
      </w:r>
    </w:p>
    <w:p w14:paraId="33943D9D">
      <w:pPr>
        <w:pStyle w:val="3"/>
      </w:pPr>
      <w:r>
        <w:t>策略129. 动态再平衡定投策略</w:t>
      </w:r>
    </w:p>
    <w:p w14:paraId="76B8437D">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分类：定投增强</w:t>
      </w:r>
    </w:p>
    <w:p w14:paraId="67A1019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核心思想：定投多个ETF，定期再平衡至目标比例</w:t>
      </w:r>
    </w:p>
    <w:p w14:paraId="59F58C17">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交易逻辑：对多个ETF（如股票+债券）进行定投，每季度再平衡至目标比例（如60:40）。再平衡自动卖出涨多的、买入跌多的，实现纪律化的资产配置调整。</w:t>
      </w:r>
    </w:p>
    <w:p w14:paraId="1A3554A6">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FA87C0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买入信号：每月分别定投股票ETF和债券ETF</w:t>
      </w:r>
    </w:p>
    <w:p w14:paraId="7D2701CA">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卖出信号：季度末再平衡，偏离目标比例&gt;5%时调整</w:t>
      </w:r>
    </w:p>
    <w:p w14:paraId="1762F7EA">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仓位管理：目标比例=股票60%+债券40%</w:t>
      </w:r>
    </w:p>
    <w:p w14:paraId="7F4E20DC">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关键参数：再平衡频率=季度，偏离阈值=5%</w:t>
      </w:r>
    </w:p>
    <w:p w14:paraId="0FBDD232">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适用ETF：沪深300ETF+国债ETF</w:t>
      </w:r>
    </w:p>
    <w:p w14:paraId="5E74DF95">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4644B2AB">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年化收益率：7-12%</w:t>
      </w:r>
    </w:p>
    <w:p w14:paraId="3CB4BD72">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70DC1C5C">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39838ED8">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优缺点：风险分散，波动平滑；收益不如纯股票定投</w:t>
      </w:r>
    </w:p>
    <w:p w14:paraId="406125BC">
      <w:pPr>
        <w:pStyle w:val="3"/>
      </w:pPr>
      <w:r>
        <w:t>策略130. 慧定投（智能定投）策略</w:t>
      </w:r>
    </w:p>
    <w:p w14:paraId="019676B5">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分类：定投增强</w:t>
      </w:r>
    </w:p>
    <w:p w14:paraId="0833A89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核心思想：综合估值和均线偏离双因子调整定投金额</w:t>
      </w:r>
    </w:p>
    <w:p w14:paraId="3E5267B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交易逻辑：结合PE百分位和均线偏离率两个维度，双因子共同判断市场"贵贱"。两个因子都说便宜时大幅加码，都说贵时大幅减码。</w:t>
      </w:r>
    </w:p>
    <w:p w14:paraId="0376D23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56AFE6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买入信号：调整系数=0.5PE百分位系数+0.5均线偏离系数，定投金额=基准*调整系数</w:t>
      </w:r>
    </w:p>
    <w:p w14:paraId="2D3E1C0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卖出信号：双因子都提示高估时止盈</w:t>
      </w:r>
    </w:p>
    <w:p w14:paraId="15CB732F">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仓位管理：双因子动态调整</w:t>
      </w:r>
    </w:p>
    <w:p w14:paraId="228ACA9F">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关键参数：PE百分位+250日均线偏离率</w:t>
      </w:r>
    </w:p>
    <w:p w14:paraId="1DE94B38">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3F9D35E0">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E2414A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年化收益率：9-16%</w:t>
      </w:r>
    </w:p>
    <w:p w14:paraId="5965493B">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最大回撤：10-20%</w:t>
      </w:r>
    </w:p>
    <w:p w14:paraId="4338BBDA">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夏普比率：0.6-1.1</w:t>
      </w:r>
    </w:p>
    <w:p w14:paraId="58430AF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优缺点：双因子判断更准确；计算较复杂</w:t>
      </w:r>
    </w:p>
    <w:p w14:paraId="0CF0A84F">
      <w:pPr>
        <w:pStyle w:val="3"/>
      </w:pPr>
      <w:r>
        <w:t>策略131. 股息再投资定投策略</w:t>
      </w:r>
    </w:p>
    <w:p w14:paraId="42FA0AA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分类：定投增强</w:t>
      </w:r>
    </w:p>
    <w:p w14:paraId="621969E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核心思想：将ETF分红自动再投资，增强复利效应</w:t>
      </w:r>
    </w:p>
    <w:p w14:paraId="72B35125">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交易逻辑：分红再投资在低价时能买入更多份额，长期复利效应显著。特别是红利ETF，高股息率使再投资效果更明显。</w:t>
      </w:r>
    </w:p>
    <w:p w14:paraId="43B1AA48">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CB4DD35">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买入信号：每月定投+分红自动再投资</w:t>
      </w:r>
    </w:p>
    <w:p w14:paraId="494C718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卖出信号：长期持有，达到退休目标时止盈</w:t>
      </w:r>
    </w:p>
    <w:p w14:paraId="015B82BD">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仓位管理：定投+分红再投</w:t>
      </w:r>
    </w:p>
    <w:p w14:paraId="7A809CA7">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关键参数：定投金额+分红再投</w:t>
      </w:r>
    </w:p>
    <w:p w14:paraId="312E8BEB">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适用ETF：红利ETF、中证红利ETF</w:t>
      </w:r>
    </w:p>
    <w:p w14:paraId="1B193AD1">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812D741">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55EAC51D">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5D2B0C5D">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0807883B">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优缺点：复利效应强大；需要长期坚持</w:t>
      </w:r>
    </w:p>
    <w:p w14:paraId="38B71A8A">
      <w:pPr>
        <w:pStyle w:val="3"/>
      </w:pPr>
      <w:r>
        <w:t>策略132. 逆向情绪定投策略</w:t>
      </w:r>
    </w:p>
    <w:p w14:paraId="6250EC2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分类：定投增强</w:t>
      </w:r>
    </w:p>
    <w:p w14:paraId="189F04E8">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核心思想：市场恐慌时加倍定投，市场贪婪时减少定投</w:t>
      </w:r>
    </w:p>
    <w:p w14:paraId="6312CAFC">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交易逻辑：巴菲特名言"别人恐惧时我贪婪"的量化实现。用市场情绪指标（如换手率、涨跌比、融资余额增速）量化恐惧/贪婪程度。</w:t>
      </w:r>
    </w:p>
    <w:p w14:paraId="42B44A20">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B8B374C">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买入信号：恐慌指数&gt;70时定投3倍，中性时1倍，贪婪指数&gt;70时0.5倍</w:t>
      </w:r>
    </w:p>
    <w:p w14:paraId="23EFC095">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卖出信号：极度贪婪时止盈</w:t>
      </w:r>
    </w:p>
    <w:p w14:paraId="41D095B1">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仓位管理：情绪驱动金额调整</w:t>
      </w:r>
    </w:p>
    <w:p w14:paraId="428A769A">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关键参数：恐慌贪婪指数（综合多指标构建）</w:t>
      </w:r>
    </w:p>
    <w:p w14:paraId="3E911D3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23907CA9">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A5E8EFD">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3C5A7B4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3D5A7046">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7A201E7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优缺点：逆向思维，底部重仓；情绪指标构建有主观性</w:t>
      </w:r>
    </w:p>
    <w:p w14:paraId="0C02B05B">
      <w:pPr>
        <w:pStyle w:val="3"/>
      </w:pPr>
      <w:r>
        <w:t>策略133. 周定投策略</w:t>
      </w:r>
    </w:p>
    <w:p w14:paraId="38C7B83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分类：定投增强</w:t>
      </w:r>
    </w:p>
    <w:p w14:paraId="4D623F5A">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核心思想：将月定投拆分为4次周定投，更分散地摊低成本</w:t>
      </w:r>
    </w:p>
    <w:p w14:paraId="5BF8832D">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交易逻辑：周定投比月定投频率更高，在同等时间内能更精细地分散买入价格。研究表明在高波动市场中，周定投的成本摊薄效果略优于月定投。</w:t>
      </w:r>
    </w:p>
    <w:p w14:paraId="3812F8F6">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6DEBC50">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买入信号：每周固定日买入月定投金额的1/4</w:t>
      </w:r>
    </w:p>
    <w:p w14:paraId="52570D5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卖出信号：同月定投止盈策略</w:t>
      </w:r>
    </w:p>
    <w:p w14:paraId="740AAFD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仓位管理：周定投金额=月定投/4</w:t>
      </w:r>
    </w:p>
    <w:p w14:paraId="611EFF75">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关键参数：频率=每周</w:t>
      </w:r>
    </w:p>
    <w:p w14:paraId="611EB97C">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3D8F8311">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06E6A9C">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年化收益率：6-11%</w:t>
      </w:r>
    </w:p>
    <w:p w14:paraId="418B6642">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最大回撤：14-28%</w:t>
      </w:r>
    </w:p>
    <w:p w14:paraId="0C53FB8F">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夏普比率：0.4-0.7</w:t>
      </w:r>
    </w:p>
    <w:p w14:paraId="57EC09A4">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优缺点：成本摊薄更精细；交易次数增加，操作更频繁</w:t>
      </w:r>
    </w:p>
    <w:p w14:paraId="3E9C3394">
      <w:pPr>
        <w:pStyle w:val="3"/>
      </w:pPr>
      <w:r>
        <w:t>策略134. 定投+网格增强策略</w:t>
      </w:r>
    </w:p>
    <w:p w14:paraId="3167BF78">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分类：定投增强</w:t>
      </w:r>
    </w:p>
    <w:p w14:paraId="3F02851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核心思想：底仓用定投积累，同时在定投仓位上叠加网格交易</w:t>
      </w:r>
    </w:p>
    <w:p w14:paraId="266BFCB6">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交易逻辑：定投部分积累长期底仓，网格部分在底仓基础上做波段增强。当定投积累到一定份额后，用部分份额做网格交易赚取额外波动收益。</w:t>
      </w:r>
    </w:p>
    <w:p w14:paraId="32B1DB6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D1B154F">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买入信号：每月定投+网格买入</w:t>
      </w:r>
    </w:p>
    <w:p w14:paraId="621F9B58">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卖出信号：网格卖出（底仓不卖）</w:t>
      </w:r>
    </w:p>
    <w:p w14:paraId="61183317">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仓位管理：底仓（定投）70%+网格仓30%</w:t>
      </w:r>
    </w:p>
    <w:p w14:paraId="4633A8F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关键参数：定投金额+网格间距=3%</w:t>
      </w:r>
    </w:p>
    <w:p w14:paraId="22B23E7F">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28FB0EF7">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2763FC6">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年化收益率：9-15%</w:t>
      </w:r>
    </w:p>
    <w:p w14:paraId="02264B5E">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最大回撤：10-20%</w:t>
      </w:r>
    </w:p>
    <w:p w14:paraId="6458CA33">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3A54B3A9">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优缺点：长短期策略结合；管理复杂度增加</w:t>
      </w:r>
    </w:p>
    <w:p w14:paraId="33565CD7">
      <w:pPr>
        <w:pStyle w:val="3"/>
      </w:pPr>
      <w:r>
        <w:t>策略135. 指数温度计定投策略</w:t>
      </w:r>
    </w:p>
    <w:p w14:paraId="0BF68DC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分类：定投增强</w:t>
      </w:r>
    </w:p>
    <w:p w14:paraId="0941E7F8">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核心思想：将市场估值量化为"温度"（0-100度），温度越低投入越多</w:t>
      </w:r>
    </w:p>
    <w:p w14:paraId="0BBD95C9">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交易逻辑：指数温度=PE百分位50%+PB百分位30%+股息率百分位倒数*20%。温度低代表市场冷清（便宜），温度高代表市场火热（贵）。据此调整定投金额。</w:t>
      </w:r>
    </w:p>
    <w:p w14:paraId="2CAB8204">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C64CED7">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买入信号：温度&lt;20度投3倍，20-40度投2倍，40-60度投1倍，60-80度投0.5倍，&gt;80度停投</w:t>
      </w:r>
    </w:p>
    <w:p w14:paraId="31640DDA">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卖出信号：温度&gt;85度止盈</w:t>
      </w:r>
    </w:p>
    <w:p w14:paraId="20CD9943">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仓位管理：温度驱动金额</w:t>
      </w:r>
    </w:p>
    <w:p w14:paraId="124A68DD">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关键参数：温度计算公式（PE+PB+股息率综合）</w:t>
      </w:r>
    </w:p>
    <w:p w14:paraId="1D51B30F">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3D2C4860">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CC1CEB5">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1006258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最大回撤：10-20%</w:t>
      </w:r>
    </w:p>
    <w:p w14:paraId="2F744E7E">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0EAFC2B8">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优缺点：综合估值更全面；温度计算需要多个数据源</w:t>
      </w:r>
    </w:p>
    <w:p w14:paraId="7CE7D757">
      <w:pPr>
        <w:pStyle w:val="2"/>
        <w:numPr>
          <w:ilvl w:val="0"/>
          <w:numId w:val="1"/>
        </w:numPr>
        <w:ind w:left="0" w:leftChars="0" w:firstLine="0" w:firstLineChars="0"/>
        <w:rPr>
          <w:b w:val="0"/>
          <w:bdr w:val="none" w:sz="0" w:space="0"/>
        </w:rPr>
      </w:pPr>
      <w:r>
        <w:t>波动率策略类（策略136-150）</w:t>
      </w:r>
    </w:p>
    <w:p w14:paraId="66B79C88">
      <w:pPr>
        <w:pStyle w:val="3"/>
      </w:pPr>
      <w:r>
        <w:t>策略136. 波动率突破策略</w:t>
      </w:r>
    </w:p>
    <w:p w14:paraId="49B9A4C6">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分类：波动率策略</w:t>
      </w:r>
    </w:p>
    <w:p w14:paraId="1B885F8A">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核心思想：波动率从低位突然放大时跟随突破方向入场</w:t>
      </w:r>
    </w:p>
    <w:p w14:paraId="00A4647A">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交易逻辑：低波动率是市场蓄势的表现，波动率突然放大意味着大行情启动。类似弹簧被压缩后释放，波动率越低蓄势时间越长，突破后行情越大。</w:t>
      </w:r>
    </w:p>
    <w:p w14:paraId="482B1AF9">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A2096DC">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买入信号：20日历史波动率从近60日最低水平放大超过50%，且价格向上突破</w:t>
      </w:r>
    </w:p>
    <w:p w14:paraId="6C0C88E3">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卖出信号：波动率再次回落或价格跌破突破起点</w:t>
      </w:r>
    </w:p>
    <w:p w14:paraId="22AEA80E">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仓位管理：突破时建仓50%，确认后加至满仓</w:t>
      </w:r>
    </w:p>
    <w:p w14:paraId="479BBA92">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关键参数：波动率窗口=20日，放大阈值=50%</w:t>
      </w:r>
    </w:p>
    <w:p w14:paraId="0D6BF1A7">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6D3324B4">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762D625">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年化收益率：12-20%</w:t>
      </w:r>
    </w:p>
    <w:p w14:paraId="31690753">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49AF4036">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6CD0B601">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优缺点：能捕捉大行情起点；假突破时损失较大</w:t>
      </w:r>
    </w:p>
    <w:p w14:paraId="5486E4A8">
      <w:pPr>
        <w:pStyle w:val="3"/>
      </w:pPr>
      <w:r>
        <w:t>策略137. 波动率收缩策略（Squeeze）</w:t>
      </w:r>
    </w:p>
    <w:p w14:paraId="7963CEF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分类：波动率策略</w:t>
      </w:r>
    </w:p>
    <w:p w14:paraId="40A48BE7">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核心思想：布林带收进Keltner通道内部时为"挤压"状态，预示大行情</w:t>
      </w:r>
    </w:p>
    <w:p w14:paraId="69CBC998">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交易逻辑：John Carter的TTM Squeeze指标。当布林带宽度小于Keltner通道宽度时，市场处于极低波动"挤压"状态。一旦布林带重新扩张到Keltner通道外，大行情启动。</w:t>
      </w:r>
    </w:p>
    <w:p w14:paraId="08461C91">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ED27049">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买入信号：Squeeze释放（布林带突破Keltner通道）且动量柱状图为正</w:t>
      </w:r>
    </w:p>
    <w:p w14:paraId="134AE3C4">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卖出信号：动量柱状图由正转负 或 新的Squeeze形成</w:t>
      </w:r>
    </w:p>
    <w:p w14:paraId="7740F2F1">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仓位管理：Squeeze释放时满仓</w:t>
      </w:r>
    </w:p>
    <w:p w14:paraId="485B0EE7">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关键参数：BB(20,2), Keltner(20,1.5*ATR)</w:t>
      </w:r>
    </w:p>
    <w:p w14:paraId="1A7040E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7B792AE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A300AB3">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年化收益率：14-22%</w:t>
      </w:r>
    </w:p>
    <w:p w14:paraId="5D092FE9">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6697D14C">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夏普比率：0.8-1.3</w:t>
      </w:r>
    </w:p>
    <w:p w14:paraId="1322E18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优缺点：高胜率捕捉大行情；Squeeze可能持续很长时间</w:t>
      </w:r>
    </w:p>
    <w:p w14:paraId="25BBE375">
      <w:pPr>
        <w:pStyle w:val="3"/>
      </w:pPr>
      <w:r>
        <w:t>策略138. VIX均值回归策略</w:t>
      </w:r>
    </w:p>
    <w:p w14:paraId="41C89FD3">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分类：波动率策略</w:t>
      </w:r>
    </w:p>
    <w:p w14:paraId="5AC78ACA">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核心思想：VIX（恐慌指数）飙升后均值回归，做空波动率获利</w:t>
      </w:r>
    </w:p>
    <w:p w14:paraId="1B79292E">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交易逻辑：VIX有强烈的均值回归特性，历史均值约18-20。VIX飙升至30以上后通常快速回落。在VIX高点做空VIX相关ETF（如SVXY）或在VIX回落时买入股票ETF。</w:t>
      </w:r>
    </w:p>
    <w:p w14:paraId="28681E2A">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C05C270">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买入信号：VIX&gt;30时买入股票ETF（或做空VIX ETF）</w:t>
      </w:r>
    </w:p>
    <w:p w14:paraId="04D9A983">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卖出信号：VIX回落至20以下</w:t>
      </w:r>
    </w:p>
    <w:p w14:paraId="44D2BF88">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仓位管理：VIX越高仓位越大</w:t>
      </w:r>
    </w:p>
    <w:p w14:paraId="0ECE77C0">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关键参数：VIX入场阈值=30，出场=20</w:t>
      </w:r>
    </w:p>
    <w:p w14:paraId="6D8AA93F">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适用ETF：标普500ETF、SVXY（做空VIX ETF）</w:t>
      </w:r>
    </w:p>
    <w:p w14:paraId="489C3FA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C6268D7">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年化收益率：12-20%</w:t>
      </w:r>
    </w:p>
    <w:p w14:paraId="222C3C8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最大回撤：15-30%</w:t>
      </w:r>
    </w:p>
    <w:p w14:paraId="1F84CB4C">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07E76FB3">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优缺点：VIX均值回归特性强；极端恐慌时VIX可能持续走高</w:t>
      </w:r>
    </w:p>
    <w:p w14:paraId="70B1E524">
      <w:pPr>
        <w:pStyle w:val="3"/>
      </w:pPr>
      <w:r>
        <w:t>策略139. 波动率锥策略</w:t>
      </w:r>
    </w:p>
    <w:p w14:paraId="7BB74A95">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分类：波动率策略</w:t>
      </w:r>
    </w:p>
    <w:p w14:paraId="24035DE7">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核心思想：用波动率锥判断当前波动率处于历史什么分位，据此交易</w:t>
      </w:r>
    </w:p>
    <w:p w14:paraId="17DF0E43">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交易逻辑：波动率锥展示不同时间窗口（5日/10日/20日/60日等）的波动率分布。当短期波动率处于锥形的极低区域时，预示波动率即将放大；处于极高区域时，预示将回落。</w:t>
      </w:r>
    </w:p>
    <w:p w14:paraId="4D0EA79B">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CF1975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买入信号：短期波动率处于锥形的10%分位以下（即将放大），配合方向判断入场</w:t>
      </w:r>
    </w:p>
    <w:p w14:paraId="1AE64EA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卖出信号：波动率达到锥形的90%分位（已充分放大）</w:t>
      </w:r>
    </w:p>
    <w:p w14:paraId="51918FD6">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仓位管理：按波动率分位调整</w:t>
      </w:r>
    </w:p>
    <w:p w14:paraId="1ACF2945">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关键参数：波动率锥统计周期=2年</w:t>
      </w:r>
    </w:p>
    <w:p w14:paraId="6A38216E">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5CC6F570">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97DD336">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36566CD9">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36845D2E">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2FC3A306">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优缺点：多时间框架分析波动率；计算复杂，需要大量历史数据</w:t>
      </w:r>
    </w:p>
    <w:p w14:paraId="7B8200CD">
      <w:pPr>
        <w:pStyle w:val="3"/>
      </w:pPr>
      <w:r>
        <w:t>策略140. 隐含波动率vs历史波动率策略</w:t>
      </w:r>
    </w:p>
    <w:p w14:paraId="61856515">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分类：波动率策略</w:t>
      </w:r>
    </w:p>
    <w:p w14:paraId="2653812B">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核心思想：当隐含波动率远高于历史波动率时做空波动率</w:t>
      </w:r>
    </w:p>
    <w:p w14:paraId="5558B342">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交易逻辑：隐含波动率（IV）反映市场预期，历史波动率（HV）反映实际波动。IV通常高于HV（波动率风险溢价）。当IV/HV比值极高时，说明市场过度恐慌，做空波动率或买入标的获利。</w:t>
      </w:r>
    </w:p>
    <w:p w14:paraId="53FE3840">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59FDD0C">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买入信号：IV/HV&gt;1.5时买入标的ETF（预期波动率过高，价格被低估）</w:t>
      </w:r>
    </w:p>
    <w:p w14:paraId="7AB98C8A">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卖出信号：IV/HV&lt;1.0</w:t>
      </w:r>
    </w:p>
    <w:p w14:paraId="07527B3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仓位管理：IV/HV越高仓位越大</w:t>
      </w:r>
    </w:p>
    <w:p w14:paraId="049AC62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关键参数：IV来源=期权隐含波动率，HV=20日历史波动率</w:t>
      </w:r>
    </w:p>
    <w:p w14:paraId="53EA1376">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适用ETF：有对应期权的ETF（50ETF、300ETF）</w:t>
      </w:r>
    </w:p>
    <w:p w14:paraId="700B584C">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9514721">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6D07AC98">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17DDDF59">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4B48878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优缺点：利用波动率风险溢价；需要期权数据，适用范围有限</w:t>
      </w:r>
    </w:p>
    <w:p w14:paraId="3EA5DBFE">
      <w:pPr>
        <w:pStyle w:val="3"/>
      </w:pPr>
      <w:r>
        <w:t>策略141. 波动率均值回归策略</w:t>
      </w:r>
    </w:p>
    <w:p w14:paraId="3F125426">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分类：波动率策略</w:t>
      </w:r>
    </w:p>
    <w:p w14:paraId="33B029CA">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核心思想：波动率偏离历史均值后回归，据此构建交易策略</w:t>
      </w:r>
    </w:p>
    <w:p w14:paraId="2E71811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交易逻辑：波动率本身有均值回归特性。高波动率后倾向于下降（市场恢复平静），低波动率后倾向于上升（市场酝酿变动）。据此调整仓位和策略选择。</w:t>
      </w:r>
    </w:p>
    <w:p w14:paraId="32DE91C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1A9CE7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买入信号：20日波动率&gt;60日波动率均值的1.5倍时（高波动，预期回落）买入股票ETF</w:t>
      </w:r>
    </w:p>
    <w:p w14:paraId="455B0773">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卖出信号：波动率回到均值附近</w:t>
      </w:r>
    </w:p>
    <w:p w14:paraId="13F472F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仓位管理：波动率越高入场仓位越重</w:t>
      </w:r>
    </w:p>
    <w:p w14:paraId="35F8C9B1">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关键参数：短期波动率=20日，长期均值=60日</w:t>
      </w:r>
    </w:p>
    <w:p w14:paraId="7C11584F">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7ED7BACE">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B408E9D">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4CB9D795">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2286FB1A">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456507F2">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优缺点：波动率均值回归特性稳定；极端市场中波动率可能不回归</w:t>
      </w:r>
    </w:p>
    <w:p w14:paraId="061B5877">
      <w:pPr>
        <w:pStyle w:val="3"/>
      </w:pPr>
      <w:r>
        <w:t>策略142. 波动率目标策略</w:t>
      </w:r>
    </w:p>
    <w:p w14:paraId="52CDCFD6">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分类：波动率策略</w:t>
      </w:r>
    </w:p>
    <w:p w14:paraId="24C53E05">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核心思想：动态调整仓位使组合波动率保持在目标水平</w:t>
      </w:r>
    </w:p>
    <w:p w14:paraId="5E0ECC61">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交易逻辑：设定目标波动率（如10%），当市场波动率低时加仓（增加暴露），波动率高时减仓（降低暴露）。使组合风险水平始终稳定。</w:t>
      </w:r>
    </w:p>
    <w:p w14:paraId="6B37EB01">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CC998A5">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买入信号：仓位=目标波动率/当前波动率*100%</w:t>
      </w:r>
    </w:p>
    <w:p w14:paraId="380795DC">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卖出信号：持续调整仓位</w:t>
      </w:r>
    </w:p>
    <w:p w14:paraId="105928A8">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仓位管理：波动率高减仓，波动率低加仓</w:t>
      </w:r>
    </w:p>
    <w:p w14:paraId="313ADC22">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关键参数：目标波动率=10%，当前波动率=20日历史波动率</w:t>
      </w:r>
    </w:p>
    <w:p w14:paraId="24F98AF1">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4451DC82">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D210CC7">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年化收益率：8-13%</w:t>
      </w:r>
    </w:p>
    <w:p w14:paraId="674EED0B">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最大回撤：8-14%</w:t>
      </w:r>
    </w:p>
    <w:p w14:paraId="799F83E4">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45AAD9D5">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优缺点：风险水平稳定；频繁调仓增加交易成本</w:t>
      </w:r>
    </w:p>
    <w:p w14:paraId="71610F9C">
      <w:pPr>
        <w:pStyle w:val="3"/>
      </w:pPr>
      <w:r>
        <w:t>策略143. 波动率偏度策略</w:t>
      </w:r>
    </w:p>
    <w:p w14:paraId="21F0D59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分类：波动率策略</w:t>
      </w:r>
    </w:p>
    <w:p w14:paraId="3990C4C3">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核心思想：利用期权隐含波动率的偏度（Skew）判断市场情绪</w:t>
      </w:r>
    </w:p>
    <w:p w14:paraId="5EBC49B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交易逻辑：波动率偏度反映市场对上涨和下跌的不对称预期。偏度过高说明市场过度担忧下跌（买看跌期权推高下方IV），实际下跌概率可能没那么高，可逆向买入。</w:t>
      </w:r>
    </w:p>
    <w:p w14:paraId="35ACE8C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9249CC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买入信号：波动率偏度（25Delta Put IV - 25Delta Call IV）&gt;历史均值+2标准差</w:t>
      </w:r>
    </w:p>
    <w:p w14:paraId="50E0D751">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卖出信号：偏度回归均值</w:t>
      </w:r>
    </w:p>
    <w:p w14:paraId="05B9AE0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仓位管理：偏度越极端仓位越大</w:t>
      </w:r>
    </w:p>
    <w:p w14:paraId="4B745E7E">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关键参数：偏度计算基于期权数据</w:t>
      </w:r>
    </w:p>
    <w:p w14:paraId="50B47BBB">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适用ETF：有期权的ETF（50ETF、300ETF）</w:t>
      </w:r>
    </w:p>
    <w:p w14:paraId="0F8B8B44">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5FD1A16">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0A6F6788">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7E996E2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6C3D8D23">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优缺点：利用期权市场的信息优势；需要期权数据，策略实现复杂</w:t>
      </w:r>
    </w:p>
    <w:p w14:paraId="73CB78AB">
      <w:pPr>
        <w:pStyle w:val="3"/>
      </w:pPr>
      <w:r>
        <w:t>策略144. Gamma Scalping策略（简化版）</w:t>
      </w:r>
    </w:p>
    <w:p w14:paraId="62F60051">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分类：波动率策略</w:t>
      </w:r>
    </w:p>
    <w:p w14:paraId="2383B498">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核心思想：买入ETF期权获取Gamma暴露，通过Delta对冲赚取波动收益</w:t>
      </w:r>
    </w:p>
    <w:p w14:paraId="791BFC66">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交易逻辑：买入跨式期权（同时买看涨和看跌），获得Gamma暴露。当标的大幅波动时盈利，通过动态Delta对冲锁定利润。简化版可在低波动时买入宽跨式，等待波动放大获利。</w:t>
      </w:r>
    </w:p>
    <w:p w14:paraId="1FE1E8B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C3560EA">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买入信号：波动率处于历史低位时买入跨式/宽跨式期权</w:t>
      </w:r>
    </w:p>
    <w:p w14:paraId="3D66AB7B">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卖出信号：波动率放大至目标水平或到期</w:t>
      </w:r>
    </w:p>
    <w:p w14:paraId="6C663F2E">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仓位管理：每次投入总资金的5-10%</w:t>
      </w:r>
    </w:p>
    <w:p w14:paraId="26B01759">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关键参数：期权到期月份=近月，行权价=平值附近</w:t>
      </w:r>
    </w:p>
    <w:p w14:paraId="5FCF0334">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适用ETF：50ETF、300ETF（有期权）</w:t>
      </w:r>
    </w:p>
    <w:p w14:paraId="342C4989">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5AB69C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年化收益率：10-20%</w:t>
      </w:r>
    </w:p>
    <w:p w14:paraId="089E3E48">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2446B5DD">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7587FC2F">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优缺点：低波动买入高波动获利，不需要判断方向；期权时间价值衰减是主要风险</w:t>
      </w:r>
    </w:p>
    <w:p w14:paraId="4447D109">
      <w:pPr>
        <w:pStyle w:val="3"/>
      </w:pPr>
      <w:r>
        <w:t>策略145. 波动率期限结构策略</w:t>
      </w:r>
    </w:p>
    <w:p w14:paraId="48DD6F2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分类：波动率策略</w:t>
      </w:r>
    </w:p>
    <w:p w14:paraId="0505A3C1">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核心思想：利用VIX期货期限结构（Contango/Backwardation）进行交易</w:t>
      </w:r>
    </w:p>
    <w:p w14:paraId="2B2B50B1">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交易逻辑：正常情况下VIX期货呈Contango（远月&gt;近月），做空短期VIX获取展期收益。当结构翻转为Backwardation（近月&gt;远月），说明市场极度恐慌，应反向操作。</w:t>
      </w:r>
    </w:p>
    <w:p w14:paraId="286F90A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0976B8A">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买入信号：VIX期限结构为Contango时做空VIX短期ETF（或持有反向VIX ETF）</w:t>
      </w:r>
    </w:p>
    <w:p w14:paraId="33894CF3">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卖出信号：期限结构转为Backwardation时平仓</w:t>
      </w:r>
    </w:p>
    <w:p w14:paraId="59445F58">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仓位管理：Contango越陡仓位越大</w:t>
      </w:r>
    </w:p>
    <w:p w14:paraId="77F45A92">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关键参数：VIX期限结构=近月/远月期货价格比</w:t>
      </w:r>
    </w:p>
    <w:p w14:paraId="1E259BD3">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适用ETF：SVXY、VXX等VIX相关ETF</w:t>
      </w:r>
    </w:p>
    <w:p w14:paraId="77CBA2E9">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C974336">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年化收益率：15-30%</w:t>
      </w:r>
    </w:p>
    <w:p w14:paraId="77DD648B">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最大回撤：20-50%</w:t>
      </w:r>
    </w:p>
    <w:p w14:paraId="01375DF4">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夏普比率：0.5-0.8</w:t>
      </w:r>
    </w:p>
    <w:p w14:paraId="10953669">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优缺点：长期收益高（VIX Contango收益）；尾部风险极大（如2018年2月波动率末日）</w:t>
      </w:r>
    </w:p>
    <w:p w14:paraId="35630B7C">
      <w:pPr>
        <w:pStyle w:val="3"/>
      </w:pPr>
      <w:r>
        <w:t>策略146. ATR通道波动率策略</w:t>
      </w:r>
    </w:p>
    <w:p w14:paraId="332FDE71">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分类：波动率策略</w:t>
      </w:r>
    </w:p>
    <w:p w14:paraId="472ED753">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核心思想：用ATR构建价格通道，通道收窄后等待突破</w:t>
      </w:r>
    </w:p>
    <w:p w14:paraId="3AEEB86C">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交易逻辑：ATR反映真实波幅。ATR持续下降说明波动率在收缩，市场即将选择方向。当ATR开始回升且价格突破通道时跟随。</w:t>
      </w:r>
    </w:p>
    <w:p w14:paraId="28E407D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AD7D5CE">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买入信号：ATR(14)降至近60日最低后开始回升，且价格突破上通道</w:t>
      </w:r>
    </w:p>
    <w:p w14:paraId="77F5059F">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卖出信号：ATR再次下降且价格跌破中轨</w:t>
      </w:r>
    </w:p>
    <w:p w14:paraId="5B0F1609">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仓位管理：ATR回升幅度越大仓位越重</w:t>
      </w:r>
    </w:p>
    <w:p w14:paraId="57D89D3B">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关键参数：ATR周期=14，通道=EMA20±2*ATR</w:t>
      </w:r>
    </w:p>
    <w:p w14:paraId="3F0710AF">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3ECCB934">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4EDC103">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2ACDDE74">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23813CC8">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747229F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优缺点：ATR收缩后突破信号质量高；等待期长</w:t>
      </w:r>
    </w:p>
    <w:p w14:paraId="10DDB536">
      <w:pPr>
        <w:pStyle w:val="3"/>
      </w:pPr>
      <w:r>
        <w:t>策略147. 波动率风险溢价收割策略</w:t>
      </w:r>
    </w:p>
    <w:p w14:paraId="646148EC">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分类：波动率策略</w:t>
      </w:r>
    </w:p>
    <w:p w14:paraId="26D65E04">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核心思想：系统性地卖出期权收取波动率风险溢价</w:t>
      </w:r>
    </w:p>
    <w:p w14:paraId="0045F025">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交易逻辑：长期来看隐含波动率&gt;已实现波动率（波动率风险溢价为正）。通过卖出ETF期权（如卖出虚值看跌期权）系统性收割这个溢价。</w:t>
      </w:r>
    </w:p>
    <w:p w14:paraId="1EF1A44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BA72798">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买入信号：每月卖出1个月到期的虚值看跌期权（行权价=当前价95%）</w:t>
      </w:r>
    </w:p>
    <w:p w14:paraId="4A04A591">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卖出信号：到期自动了结，被行权则持有ETF</w:t>
      </w:r>
    </w:p>
    <w:p w14:paraId="76582D2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仓位管理：保证金占用不超过总资金的30%</w:t>
      </w:r>
    </w:p>
    <w:p w14:paraId="7796124E">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关键参数：虚值程度=5%OTM，到期=1个月</w:t>
      </w:r>
    </w:p>
    <w:p w14:paraId="51E32D33">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适用ETF：50ETF、300ETF</w:t>
      </w:r>
    </w:p>
    <w:p w14:paraId="098D0D57">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48C857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年化收益率：8-15%</w:t>
      </w:r>
    </w:p>
    <w:p w14:paraId="4248370D">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32369165">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66226477">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优缺点：长期正期望值；极端下跌时亏损巨大</w:t>
      </w:r>
    </w:p>
    <w:p w14:paraId="29EAE8EE">
      <w:pPr>
        <w:pStyle w:val="3"/>
      </w:pPr>
      <w:r>
        <w:t>策略148. 波动率聚类策略</w:t>
      </w:r>
    </w:p>
    <w:p w14:paraId="18668597">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分类：波动率策略</w:t>
      </w:r>
    </w:p>
    <w:p w14:paraId="5BC80DB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核心思想：利用波动率聚类效应（高波动后续高波动，低波动后续低波动）交易</w:t>
      </w:r>
    </w:p>
    <w:p w14:paraId="3A82BF4D">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交易逻辑：GARCH模型证实波动率有聚类特性。今天波动大，明天大概率也大。据此在低波动后期待波动放大建仓，在高波动持续中保持仓位。</w:t>
      </w:r>
    </w:p>
    <w:p w14:paraId="55EC7308">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3935C8A">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买入信号：波动率从低水平开始连续3天上升，配合方向信号入场</w:t>
      </w:r>
    </w:p>
    <w:p w14:paraId="0A82ABCA">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卖出信号：波动率连续3天下降</w:t>
      </w:r>
    </w:p>
    <w:p w14:paraId="66E211C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仓位管理：波动率上升期间持有</w:t>
      </w:r>
    </w:p>
    <w:p w14:paraId="501FE30B">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关键参数：波动率=日内真实波幅</w:t>
      </w:r>
    </w:p>
    <w:p w14:paraId="478408FE">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76C43D7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87EE899">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707A2D4B">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6F053CA4">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7F02D30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优缺点：利用了波动率可预测特性；方向判断仍然是难点</w:t>
      </w:r>
    </w:p>
    <w:p w14:paraId="1AD645A6">
      <w:pPr>
        <w:pStyle w:val="3"/>
      </w:pPr>
      <w:r>
        <w:t>策略149. 低波动异常策略</w:t>
      </w:r>
    </w:p>
    <w:p w14:paraId="6D36D33F">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分类：波动率策略</w:t>
      </w:r>
    </w:p>
    <w:p w14:paraId="43A722F8">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核心思想：长期持有低波动ETF，利用低波动异常获取超额收益</w:t>
      </w:r>
    </w:p>
    <w:p w14:paraId="1560D153">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交易逻辑：学术研究发现低波动资产的长期风险调整后收益反而高于高波动资产（低波动异常/低波动因子）。这与传统金融理论矛盾但实证有效。</w:t>
      </w:r>
    </w:p>
    <w:p w14:paraId="1FDDE914">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08BD00F">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买入信号：在ETF池中选择过去60日波动率最低的3只ETF持有</w:t>
      </w:r>
    </w:p>
    <w:p w14:paraId="5A5EA97A">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卖出信号：月度调仓，波动率排名变化时切换</w:t>
      </w:r>
    </w:p>
    <w:p w14:paraId="21322D0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w:t>
      </w:r>
    </w:p>
    <w:p w14:paraId="69B6FF3C">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关键参数：波动率计算窗口=60日</w:t>
      </w:r>
    </w:p>
    <w:p w14:paraId="67EC6EC6">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w:t>
      </w:r>
    </w:p>
    <w:p w14:paraId="43B7125F">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47EE8A96">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1FAD4093">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2A38FA4F">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夏普比率：0.8-1.3</w:t>
      </w:r>
    </w:p>
    <w:p w14:paraId="2925E51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优缺点：回撤小，夏普比率高；绝对收益不如高波动品种</w:t>
      </w:r>
    </w:p>
    <w:p w14:paraId="73EB189F">
      <w:pPr>
        <w:pStyle w:val="3"/>
      </w:pPr>
      <w:r>
        <w:t>策略150. 波动率择时策略</w:t>
      </w:r>
    </w:p>
    <w:p w14:paraId="26CF9A25">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分类：波动率策略</w:t>
      </w:r>
    </w:p>
    <w:p w14:paraId="045EAAF7">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核心思想：低波动率时加仓股票ETF，高波动率时减仓转向债券</w:t>
      </w:r>
    </w:p>
    <w:p w14:paraId="04F6BAD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交易逻辑：高波动率通常对应市场下跌和恐慌。通过波动率阈值控制仓位，低波动率时市场平稳适合持有股票，高波动率时市场动荡适合持有债券。</w:t>
      </w:r>
    </w:p>
    <w:p w14:paraId="310F44D9">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21B4354">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买入信号：20日波动率&lt;15%时满仓股票ETF</w:t>
      </w:r>
    </w:p>
    <w:p w14:paraId="317B601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卖出信号：20日波动率&gt;25%时全部切换为债券ETF</w:t>
      </w:r>
    </w:p>
    <w:p w14:paraId="64AA113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仓位管理：波动率在15-25%之间线性调整股债比例</w:t>
      </w:r>
    </w:p>
    <w:p w14:paraId="6AB8D27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关键参数：低波动阈值=15%，高波动阈值=25%</w:t>
      </w:r>
    </w:p>
    <w:p w14:paraId="24C45693">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适用ETF：沪深300ETF、国债ETF</w:t>
      </w:r>
    </w:p>
    <w:p w14:paraId="46C9A259">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FFFB9C7">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年化收益率：9-14%</w:t>
      </w:r>
    </w:p>
    <w:p w14:paraId="6799DF18">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最大回撤：8-14%</w:t>
      </w:r>
    </w:p>
    <w:p w14:paraId="6736277C">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夏普比率：0.8-1.2</w:t>
      </w:r>
    </w:p>
    <w:p w14:paraId="3C079118">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优缺点：有效控制回撤；可能在波动率阈值附近频繁切换</w:t>
      </w:r>
    </w:p>
    <w:p w14:paraId="1265A538">
      <w:pPr>
        <w:pStyle w:val="2"/>
        <w:numPr>
          <w:ilvl w:val="0"/>
          <w:numId w:val="1"/>
        </w:numPr>
        <w:ind w:left="0" w:leftChars="0" w:firstLine="0" w:firstLineChars="0"/>
        <w:rPr>
          <w:b w:val="0"/>
          <w:bdr w:val="none" w:sz="0" w:space="0"/>
        </w:rPr>
      </w:pPr>
      <w:r>
        <w:t>择时策略类（策略151-170）</w:t>
      </w:r>
    </w:p>
    <w:p w14:paraId="23326CA4">
      <w:pPr>
        <w:pStyle w:val="3"/>
      </w:pPr>
      <w:r>
        <w:t>策略151. KDJ择时策略</w:t>
      </w:r>
    </w:p>
    <w:p w14:paraId="5C96DE8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6BD5CE23">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核心思想：KDJ金叉/死叉判断短期买卖时机</w:t>
      </w:r>
    </w:p>
    <w:p w14:paraId="11DABE52">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交易逻辑：KDJ对价格变化非常灵敏，K线上穿D线（金叉）且J值由低位回升时是买入时机。适合捕捉短期反弹和回调。</w:t>
      </w:r>
    </w:p>
    <w:p w14:paraId="52617A0A">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4B8E428">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买入信号：K上穿D（金叉）且J&lt;20（从超卖区回升）</w:t>
      </w:r>
    </w:p>
    <w:p w14:paraId="42335BC6">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卖出信号：K下穿D（死叉）且J&gt;80</w:t>
      </w:r>
    </w:p>
    <w:p w14:paraId="4F8083C1">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仓位管理：J值越低仓位越重</w:t>
      </w:r>
    </w:p>
    <w:p w14:paraId="6D0C0358">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关键参数：KDJ(9,3,3)</w:t>
      </w:r>
    </w:p>
    <w:p w14:paraId="2B9E4AA7">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7E4027B1">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6F188FB">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496F539E">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67FBE50F">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3ADEB644">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优缺点：灵敏度高，适合短线；假信号多</w:t>
      </w:r>
    </w:p>
    <w:p w14:paraId="6C82E271">
      <w:pPr>
        <w:pStyle w:val="3"/>
      </w:pPr>
      <w:r>
        <w:t>策略152. WR（威廉指标）择时策略</w:t>
      </w:r>
    </w:p>
    <w:p w14:paraId="77BF62B4">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33135565">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核心思想：WR进入超买超卖区后反转时入场</w:t>
      </w:r>
    </w:p>
    <w:p w14:paraId="2B9B5822">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交易逻辑：WR与RSI类似但更灵敏。WR&lt;-80为超卖区，&gt;-20为超买区。从超卖区回升的第一时间入场能捕捉短期反弹。</w:t>
      </w:r>
    </w:p>
    <w:p w14:paraId="3D624123">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0B0E2BF">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买入信号：WR(14)从&lt;-80回升至&gt;-80</w:t>
      </w:r>
    </w:p>
    <w:p w14:paraId="5CB4B580">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卖出信号：WR(14)从&gt;-20回落至&lt;-20</w:t>
      </w:r>
    </w:p>
    <w:p w14:paraId="0D3C170A">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仓位管理：固定仓位</w:t>
      </w:r>
    </w:p>
    <w:p w14:paraId="22A4E5CC">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关键参数：WR周期=14</w:t>
      </w:r>
    </w:p>
    <w:p w14:paraId="10DEA843">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2B3F9A7D">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3B731EE">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年化收益率：7-13%</w:t>
      </w:r>
    </w:p>
    <w:p w14:paraId="1830DAED">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22F81B5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夏普比率：0.5-0.8</w:t>
      </w:r>
    </w:p>
    <w:p w14:paraId="05AE3499">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优缺点：信号频繁，适合活跃交易者；需要配合趋势过滤</w:t>
      </w:r>
    </w:p>
    <w:p w14:paraId="213815A9">
      <w:pPr>
        <w:pStyle w:val="3"/>
      </w:pPr>
      <w:r>
        <w:t>策略153. CCI择时策略</w:t>
      </w:r>
    </w:p>
    <w:p w14:paraId="5EE4ADB8">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4BFB62FB">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核心思想：CCI穿越+100/-100关键位时入场</w:t>
      </w:r>
    </w:p>
    <w:p w14:paraId="49110A5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交易逻辑：CCI突破+100表示价格进入超强势区，趋势可能延续；跌破-100后回升表示超卖后反弹。CCI对异常波动特别敏感。</w:t>
      </w:r>
    </w:p>
    <w:p w14:paraId="66E09D66">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04091BE">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买入信号：CCI(20)从下方突破-100（超卖反弹）或突破+100（强势突破）</w:t>
      </w:r>
    </w:p>
    <w:p w14:paraId="56C48A1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卖出信号：CCI从上方跌破+100 或 跌破-100</w:t>
      </w:r>
    </w:p>
    <w:p w14:paraId="20196A7A">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仓位管理：根据CCI方向分辨策略类型</w:t>
      </w:r>
    </w:p>
    <w:p w14:paraId="36CF73DE">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关键参数：CCI周期=20</w:t>
      </w:r>
    </w:p>
    <w:p w14:paraId="1A48FE22">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38C38BED">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871899F">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3BAF61C4">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4F6ADA2A">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1FFA237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优缺点：能识别异常波动中的机会；信号不如RSI直观</w:t>
      </w:r>
    </w:p>
    <w:p w14:paraId="06606A0C">
      <w:pPr>
        <w:pStyle w:val="3"/>
      </w:pPr>
      <w:r>
        <w:t>策略154. 量价关系择时策略</w:t>
      </w:r>
    </w:p>
    <w:p w14:paraId="4163717D">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79B7FC58">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核心思想：量价配合判断趋势健康度和转折点</w:t>
      </w:r>
    </w:p>
    <w:p w14:paraId="3068419C">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交易逻辑：量增价涨为健康上涨，量缩价涨为上涨乏力，量增价跌为恐慌抛售（可能见底），量缩价跌为阴跌（趋势延续）。量价关系是最基础的市场分析维度。</w:t>
      </w:r>
    </w:p>
    <w:p w14:paraId="67495647">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DEF57B5">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买入信号：量增价涨（成交量&gt;20日均量1.5倍且收阳）持续3日</w:t>
      </w:r>
    </w:p>
    <w:p w14:paraId="652A8EBB">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卖出信号：量增价跌（放量下跌）或量缩价涨（缩量上涨3日后）</w:t>
      </w:r>
    </w:p>
    <w:p w14:paraId="4D704203">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仓位管理：量价配合好满仓</w:t>
      </w:r>
    </w:p>
    <w:p w14:paraId="517EDE5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关键参数：量比阈值=1.5</w:t>
      </w:r>
    </w:p>
    <w:p w14:paraId="6CCF7754">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适用ETF：宽基ETF、行业ETF</w:t>
      </w:r>
    </w:p>
    <w:p w14:paraId="2EDB1315">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648965B">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5B96BDB7">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39733C78">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3D194CE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优缺点：量价分析是市场分析基础；量化实现有一定难度</w:t>
      </w:r>
    </w:p>
    <w:p w14:paraId="2F0420F9">
      <w:pPr>
        <w:pStyle w:val="3"/>
      </w:pPr>
      <w:r>
        <w:t>策略155. 市场情绪择时策略</w:t>
      </w:r>
    </w:p>
    <w:p w14:paraId="50665C76">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1C7B7881">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核心思想：构建市场情绪指数，极端恐慌时买入，极端贪婪时卖出</w:t>
      </w:r>
    </w:p>
    <w:p w14:paraId="49423BDC">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交易逻辑：综合涨跌比、换手率、融资余额、波动率等指标构建情绪指数。极端恐慌时（情绪指数&lt;20）市场大概率被低估，买入；极端贪婪时（&gt;80）大概率被高估，卖出。</w:t>
      </w:r>
    </w:p>
    <w:p w14:paraId="43E8D8B3">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12335FC">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买入信号：情绪指数&lt;20（极端恐慌）</w:t>
      </w:r>
    </w:p>
    <w:p w14:paraId="1A68C9F8">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卖出信号：情绪指数&gt;80（极端贪婪）</w:t>
      </w:r>
    </w:p>
    <w:p w14:paraId="0B35E009">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仓位管理：情绪越极端仓位越大</w:t>
      </w:r>
    </w:p>
    <w:p w14:paraId="48C19100">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关键参数：情绪指数=综合多指标</w:t>
      </w:r>
    </w:p>
    <w:p w14:paraId="45E79D1B">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002B3DAC">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F26C557">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288CD91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35BC0CA8">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0E4FA256">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优缺点：逆向交易，底部重仓；情绪指数构建有主观性</w:t>
      </w:r>
    </w:p>
    <w:p w14:paraId="75035F43">
      <w:pPr>
        <w:pStyle w:val="3"/>
      </w:pPr>
      <w:r>
        <w:t>策略156. 宏观择时策略</w:t>
      </w:r>
    </w:p>
    <w:p w14:paraId="631F880F">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7DB5830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核心思想：根据宏观经济指标（PMI、社融、M2等）判断市场大方向</w:t>
      </w:r>
    </w:p>
    <w:p w14:paraId="409D063E">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交易逻辑：股市是经济的晴雨表。PMI&gt;50扩张区说明经济向好利好股市，社融增速回升说明流动性改善利好股市。宏观指标虽然滞后但对大方向判断可靠。</w:t>
      </w:r>
    </w:p>
    <w:p w14:paraId="5606F58A">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DFA50D4">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买入信号：PMI&gt;50 且 社融增速回升 且 M2增速&gt;GDP增速</w:t>
      </w:r>
    </w:p>
    <w:p w14:paraId="0C15E224">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卖出信号：PMI&lt;49 或 社融增速持续下降3个月</w:t>
      </w:r>
    </w:p>
    <w:p w14:paraId="786308A9">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仓位管理：宏观指标全面向好满仓，部分向好半仓</w:t>
      </w:r>
    </w:p>
    <w:p w14:paraId="687A2E90">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关键参数：PMI、社融增速、M2增速</w:t>
      </w:r>
    </w:p>
    <w:p w14:paraId="105B049B">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79A156FE">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66361C5">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2FC161ED">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0F673439">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63C656F3">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优缺点：大方向判断可靠；宏观数据滞后1-2个月</w:t>
      </w:r>
    </w:p>
    <w:p w14:paraId="58A197A6">
      <w:pPr>
        <w:pStyle w:val="3"/>
      </w:pPr>
      <w:r>
        <w:t>策略157. 资金流择时策略</w:t>
      </w:r>
    </w:p>
    <w:p w14:paraId="7CDA3BCB">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154E6DB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核心思想：跟踪全市场资金流向判断大盘方向</w:t>
      </w:r>
    </w:p>
    <w:p w14:paraId="3860ED9D">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交易逻辑：主力资金持续净流入说明大资金在布局，大盘有上涨动力。资金流是价格变化的因，先有资金流入后有价格上涨。</w:t>
      </w:r>
    </w:p>
    <w:p w14:paraId="16D50C21">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046F0EB">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买入信号：全市场主力资金连续5日净流入</w:t>
      </w:r>
    </w:p>
    <w:p w14:paraId="2CEF224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卖出信号：主力资金连续3日净流出</w:t>
      </w:r>
    </w:p>
    <w:p w14:paraId="0724DF5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仓位管理：资金流入越多仓位越重</w:t>
      </w:r>
    </w:p>
    <w:p w14:paraId="5BACD814">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关键参数：主力资金统计周期=5日</w:t>
      </w:r>
    </w:p>
    <w:p w14:paraId="2B85FEC4">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4781B2C2">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D51FD52">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2F9033B7">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2832FB55">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6AE22BAF">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优缺点：领先于价格；资金流数据口径不统一</w:t>
      </w:r>
    </w:p>
    <w:p w14:paraId="22A689AE">
      <w:pPr>
        <w:pStyle w:val="3"/>
      </w:pPr>
      <w:r>
        <w:t>策略158. 北向资金择时策略</w:t>
      </w:r>
    </w:p>
    <w:p w14:paraId="0A5DF633">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4F90AE07">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核心思想：北向资金大幅流入时跟随买入A股ETF</w:t>
      </w:r>
    </w:p>
    <w:p w14:paraId="6AB76F6C">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交易逻辑：北向资金（沪深股通）代表外资配置A股的方向。外资通常基于基本面和估值投资，其大幅流入往往预示市场底部或趋势启动。</w:t>
      </w:r>
    </w:p>
    <w:p w14:paraId="5AE5975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F486A89">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买入信号：北向资金单日净流入&gt;100亿 或 连续5日净流入&gt;50亿/日</w:t>
      </w:r>
    </w:p>
    <w:p w14:paraId="18DB3DB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卖出信号：北向资金单日净流出&gt;100亿 或 连续3日净流出</w:t>
      </w:r>
    </w:p>
    <w:p w14:paraId="70DE35F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仓位管理：按净流入规模调整仓位</w:t>
      </w:r>
    </w:p>
    <w:p w14:paraId="191DDBDD">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关键参数：净流入阈值=100亿/日</w:t>
      </w:r>
    </w:p>
    <w:p w14:paraId="73E05EEC">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适用ETF：沪深300ETF、上证50ETF</w:t>
      </w:r>
    </w:p>
    <w:p w14:paraId="509D98C3">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59AD2C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77DE02A3">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704C6084">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6201B9C7">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优缺点：跟随聪明钱；北向资金日度波动大，需要过滤噪音</w:t>
      </w:r>
    </w:p>
    <w:p w14:paraId="1C866E16">
      <w:pPr>
        <w:pStyle w:val="3"/>
      </w:pPr>
      <w:r>
        <w:t>策略159. 融资融券余额择时策略</w:t>
      </w:r>
    </w:p>
    <w:p w14:paraId="1EA7A48F">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4D2D2B83">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核心思想：融资余额增减反映杠杆资金方向</w:t>
      </w:r>
    </w:p>
    <w:p w14:paraId="446EC2D9">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交易逻辑：融资余额持续增加说明杠杆资金看多，市场可能继续上涨。融资余额快速下降说明杠杆去化，市场可能下跌。融券余额增加说明做空力量增强。</w:t>
      </w:r>
    </w:p>
    <w:p w14:paraId="539CF293">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C6F0C4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买入信号：融资余额20日增速&gt;5%且融资买入额占成交比&gt;10%</w:t>
      </w:r>
    </w:p>
    <w:p w14:paraId="3339D26C">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卖出信号：融资余额20日增速&lt;-3%</w:t>
      </w:r>
    </w:p>
    <w:p w14:paraId="0F2B863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仓位管理：融资余额增速越快仓位越大</w:t>
      </w:r>
    </w:p>
    <w:p w14:paraId="05EEFE7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关键参数：融资余额增速统计=20日</w:t>
      </w:r>
    </w:p>
    <w:p w14:paraId="3595F3E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401A43E4">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9C055A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5CA331B7">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0AE343BF">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7EB807D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优缺点：杠杆资金方向指示性强；极端情况下杠杆可能加速崩溃</w:t>
      </w:r>
    </w:p>
    <w:p w14:paraId="3D0000DE">
      <w:pPr>
        <w:pStyle w:val="3"/>
      </w:pPr>
      <w:r>
        <w:t>策略160. 技术形态择时——头肩底策略</w:t>
      </w:r>
    </w:p>
    <w:p w14:paraId="52B7D821">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55F76F7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核心思想：识别头肩底形态突破颈线位时买入</w:t>
      </w:r>
    </w:p>
    <w:p w14:paraId="0327AE1D">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交易逻辑：头肩底是经典的底部反转形态，由左肩、头部、右肩组成。颈线突破确认反转。形态学目标位=头部到颈线的距离。</w:t>
      </w:r>
    </w:p>
    <w:p w14:paraId="6309D24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1A6402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买入信号：头肩底形态完成，价格放量突破颈线</w:t>
      </w:r>
    </w:p>
    <w:p w14:paraId="2487BAAC">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卖出信号：达到目标位（颈线+头颈距离）或跌回颈线下方止损</w:t>
      </w:r>
    </w:p>
    <w:p w14:paraId="63FB8ED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仓位管理：突破颈线时建仓60%，回踩不破加仓</w:t>
      </w:r>
    </w:p>
    <w:p w14:paraId="3EEC1EEC">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关键参数：形态识别+颈线突破</w:t>
      </w:r>
    </w:p>
    <w:p w14:paraId="15B1B198">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0A4B2AD9">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35947F6">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年化收益率：12-20%</w:t>
      </w:r>
    </w:p>
    <w:p w14:paraId="3A81188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1AADEFBB">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5D60F43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优缺点：经典反转形态，目标位明确；形态识别自动化难度大</w:t>
      </w:r>
    </w:p>
    <w:p w14:paraId="4315EA7B">
      <w:pPr>
        <w:pStyle w:val="3"/>
      </w:pPr>
      <w:r>
        <w:t>策略161. 技术形态择时——双底策略</w:t>
      </w:r>
    </w:p>
    <w:p w14:paraId="4904B556">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5DC2C02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核心思想：识别W底（双底）形态突破颈线买入</w:t>
      </w:r>
    </w:p>
    <w:p w14:paraId="52308D88">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交易逻辑：双底说明价格两次在同一位置获得支撑，底部确认后突破颈线开始上涨。第二个底不破第一个底是关键确认条件。</w:t>
      </w:r>
    </w:p>
    <w:p w14:paraId="2D145346">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BD60D2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买入信号：价格形成双底且突破颈线，第二底不低于第一底</w:t>
      </w:r>
    </w:p>
    <w:p w14:paraId="6D863D7B">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卖出信号：达到目标位或跌破第二底止损</w:t>
      </w:r>
    </w:p>
    <w:p w14:paraId="6F20D9A1">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仓位管理：突破时建仓</w:t>
      </w:r>
    </w:p>
    <w:p w14:paraId="7227B62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关键参数：双底间距&gt;20日，颈线突破确认</w:t>
      </w:r>
    </w:p>
    <w:p w14:paraId="53C5825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52618F67">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ACB951D">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年化收益率：10-18%</w:t>
      </w:r>
    </w:p>
    <w:p w14:paraId="113DC99E">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24F580A5">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486BDB1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优缺点：底部形态可靠性高；等待形态完成时间长</w:t>
      </w:r>
    </w:p>
    <w:p w14:paraId="20000824">
      <w:pPr>
        <w:pStyle w:val="3"/>
      </w:pPr>
      <w:r>
        <w:t>策略162. 缺口择时策略</w:t>
      </w:r>
    </w:p>
    <w:p w14:paraId="7539D28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219114F5">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核心思想：根据不同类型缺口（突破/持续/衰竭）制定交易计划</w:t>
      </w:r>
    </w:p>
    <w:p w14:paraId="2FE61F72">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交易逻辑：突破缺口出现在趋势起点，说明供需关系剧变；持续缺口出现在趋势中段，确认趋势；衰竭缺口出现在趋势末端。识别缺口类型进行相应交易。</w:t>
      </w:r>
    </w:p>
    <w:p w14:paraId="347223EE">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F8B4275">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买入信号：放量向上突破缺口（突破缺口）出现，不回补</w:t>
      </w:r>
    </w:p>
    <w:p w14:paraId="09A624B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卖出信号：衰竭缺口出现（高位放量跳空后缩量）</w:t>
      </w:r>
    </w:p>
    <w:p w14:paraId="1C8A0DE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仓位管理：突破缺口满仓，持续缺口持有</w:t>
      </w:r>
    </w:p>
    <w:p w14:paraId="6BE5DC6D">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关键参数：缺口幅度&gt;1%，成交量&gt;均量2倍</w:t>
      </w:r>
    </w:p>
    <w:p w14:paraId="32F66390">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6E2A04F8">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FA59536">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670767CD">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211BE5F5">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76E6A67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优缺点：缺口信号明确；区分缺口类型需要经验</w:t>
      </w:r>
    </w:p>
    <w:p w14:paraId="3B388F4C">
      <w:pPr>
        <w:pStyle w:val="3"/>
      </w:pPr>
      <w:r>
        <w:t>策略163. 涨跌停板择时策略</w:t>
      </w:r>
    </w:p>
    <w:p w14:paraId="4DCBEFD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1AC91DB7">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核心思想：ETF成分股涨停/跌停比例异常时判断市场极端情绪</w:t>
      </w:r>
    </w:p>
    <w:p w14:paraId="435C4B27">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交易逻辑：当市场跌停股数量达到极端（如&gt;100只）时说明恐慌情绪到极致，反弹概率大增。涨停股极多可能是亢奋顶部。</w:t>
      </w:r>
    </w:p>
    <w:p w14:paraId="73BBC091">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CD44197">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买入信号：全市场跌停股&gt;100只且连续2日</w:t>
      </w:r>
    </w:p>
    <w:p w14:paraId="792F251F">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卖出信号：全市场涨停股&gt;100只或持有10日</w:t>
      </w:r>
    </w:p>
    <w:p w14:paraId="09800AE7">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仓位管理：跌停越多仓位越大</w:t>
      </w:r>
    </w:p>
    <w:p w14:paraId="01C158C5">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关键参数：跌停阈值=100只</w:t>
      </w:r>
    </w:p>
    <w:p w14:paraId="000C2357">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13E64987">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528F83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年化收益率：15-25%</w:t>
      </w:r>
    </w:p>
    <w:p w14:paraId="63EEC903">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最大回撤：10-20%</w:t>
      </w:r>
    </w:p>
    <w:p w14:paraId="6F9BD710">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7A96E39F">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优缺点：极端信号胜率高；出现频率极低</w:t>
      </w:r>
    </w:p>
    <w:p w14:paraId="6DE95FCB">
      <w:pPr>
        <w:pStyle w:val="3"/>
      </w:pPr>
      <w:r>
        <w:t>策略164. 新高新低指数择时策略</w:t>
      </w:r>
    </w:p>
    <w:p w14:paraId="4F7F9351">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46B8C706">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核心思想：市场中创新高与创新低股票的比例反映市场广度</w:t>
      </w:r>
    </w:p>
    <w:p w14:paraId="1780F0E7">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交易逻辑：新高股票占比高说明上涨广泛（市场健康），新低股票占比高说明下跌广泛。大盘上涨但新高占比下降是背离信号，预示上涨不可持续。</w:t>
      </w:r>
    </w:p>
    <w:p w14:paraId="4514A35B">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82DA82F">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买入信号：52周新高股票数/新低股票数&gt;5</w:t>
      </w:r>
    </w:p>
    <w:p w14:paraId="2E02C4D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卖出信号：比值&lt;1</w:t>
      </w:r>
    </w:p>
    <w:p w14:paraId="1C5B2C9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仓位管理：比值越高仓位越大</w:t>
      </w:r>
    </w:p>
    <w:p w14:paraId="6928FB99">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关键参数：新高新低统计周期=52周</w:t>
      </w:r>
    </w:p>
    <w:p w14:paraId="6744A4B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153EBFCC">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5B30043">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616FFACF">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6F703686">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013FC1E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优缺点：市场广度是可靠的领先指标；数据处理量大</w:t>
      </w:r>
    </w:p>
    <w:p w14:paraId="64C13F0B">
      <w:pPr>
        <w:pStyle w:val="3"/>
      </w:pPr>
      <w:r>
        <w:t>策略165. 多指标综合择时策略</w:t>
      </w:r>
    </w:p>
    <w:p w14:paraId="4D5355BE">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69B0FED7">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核心思想：综合技术、情绪、资金、宏观多维指标构建择时模型</w:t>
      </w:r>
    </w:p>
    <w:p w14:paraId="26483416">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交易逻辑：单一指标都有局限性。综合技术（均线、MACD）、情绪（换手率、VIX）、资金（北向、融资）、宏观（PMI、社融）四个维度，用评分体系做出全面判断。</w:t>
      </w:r>
    </w:p>
    <w:p w14:paraId="717F297B">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C38F374">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买入信号：综合得分&gt;70（满分100）</w:t>
      </w:r>
    </w:p>
    <w:p w14:paraId="70EF5B7A">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卖出信号：综合得分&lt;30</w:t>
      </w:r>
    </w:p>
    <w:p w14:paraId="0A601B2E">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仓位管理：得分50-70半仓，&gt;70满仓，&lt;50空仓</w:t>
      </w:r>
    </w:p>
    <w:p w14:paraId="178D423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关键参数：四维评分模型</w:t>
      </w:r>
    </w:p>
    <w:p w14:paraId="278BDA27">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1B5F60E9">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47E79E7B">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77411FD6">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1F09D39C">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夏普比率：0.8-1.3</w:t>
      </w:r>
    </w:p>
    <w:p w14:paraId="5D102307">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优缺点：全面判断，胜率高；模型复杂，过拟合风险</w:t>
      </w:r>
    </w:p>
    <w:p w14:paraId="1DF09234">
      <w:pPr>
        <w:pStyle w:val="3"/>
      </w:pPr>
      <w:r>
        <w:t>策略166. 期权PCR择时策略</w:t>
      </w:r>
    </w:p>
    <w:p w14:paraId="5E9AFA13">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5683F97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核心思想：看跌/看涨期权成交量比率（PCR）反映市场情绪极端</w:t>
      </w:r>
    </w:p>
    <w:p w14:paraId="595A782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交易逻辑：PCR&gt;1说明看跌期权成交量大于看涨期权，市场恐慌。极端PCR值往往是反向指标——过度恐慌时反而是底部。</w:t>
      </w:r>
    </w:p>
    <w:p w14:paraId="525BF906">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22E28E7">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买入信号：PCR&gt;1.5（极端恐慌，逆向买入）</w:t>
      </w:r>
    </w:p>
    <w:p w14:paraId="7D63D400">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卖出信号：PCR&lt;0.5（极端乐观，逆向卖出）</w:t>
      </w:r>
    </w:p>
    <w:p w14:paraId="38E2B913">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仓位管理：PCR越极端仓位越大</w:t>
      </w:r>
    </w:p>
    <w:p w14:paraId="13F315F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关键参数：PCR计算基于50ETF/300ETF期权</w:t>
      </w:r>
    </w:p>
    <w:p w14:paraId="6F0BE9E6">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适用ETF：50ETF、300ETF</w:t>
      </w:r>
    </w:p>
    <w:p w14:paraId="520DC6A9">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085788E">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36AB8519">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7A35A9E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08FAA1A3">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优缺点：期权市场提供领先信息；需要期权数据</w:t>
      </w:r>
    </w:p>
    <w:p w14:paraId="2ADA8C37">
      <w:pPr>
        <w:pStyle w:val="3"/>
      </w:pPr>
      <w:r>
        <w:t>策略167. 成交量异动择时策略</w:t>
      </w:r>
    </w:p>
    <w:p w14:paraId="71080BA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1AB0E18F">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核心思想：成交量突然异常放大时判断为重要转折信号</w:t>
      </w:r>
    </w:p>
    <w:p w14:paraId="0EC7CCBC">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交易逻辑：成交量异常放大（如超过20日均量3倍以上）说明市场出现重大分歧或突发事件。底部放量是底部确认信号，顶部放量是顶部信号。</w:t>
      </w:r>
    </w:p>
    <w:p w14:paraId="7B5278E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66A114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买入信号：成交量&gt;20日均量3倍 且 价格在近60日低点附近 且 收阳线</w:t>
      </w:r>
    </w:p>
    <w:p w14:paraId="23BB09E4">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卖出信号：成交量&gt;20日均量3倍 且 价格在近60日高点附近 且 收阴线</w:t>
      </w:r>
    </w:p>
    <w:p w14:paraId="029EC98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仓位管理：底部放量满仓</w:t>
      </w:r>
    </w:p>
    <w:p w14:paraId="2C93D584">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关键参数：量比阈值=3倍</w:t>
      </w:r>
    </w:p>
    <w:p w14:paraId="78DC9F77">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079A8E05">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ECE7F68">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19AC78B0">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1A66AF9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073FEB1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优缺点：放量信号强烈；需要区分底部放量和下跌中继放量</w:t>
      </w:r>
    </w:p>
    <w:p w14:paraId="164DFCE7">
      <w:pPr>
        <w:pStyle w:val="3"/>
      </w:pPr>
      <w:r>
        <w:t>策略168. 筹码峰择时策略</w:t>
      </w:r>
    </w:p>
    <w:p w14:paraId="690BD77D">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289FDAEB">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核心思想：分析筹码分布，在密集区间突破时入场</w:t>
      </w:r>
    </w:p>
    <w:p w14:paraId="5A8D1BD1">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交易逻辑：筹码密集区是大量投资者的成本区域，具有强支撑/阻力作用。价格突破上方筹码密集区说明卖压释放完毕，上涨空间打开。</w:t>
      </w:r>
    </w:p>
    <w:p w14:paraId="43345FA7">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174EA11">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买入信号：价格放量突破上方筹码密集区</w:t>
      </w:r>
    </w:p>
    <w:p w14:paraId="03AB111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卖出信号：价格回落至筹码密集区下方</w:t>
      </w:r>
    </w:p>
    <w:p w14:paraId="5B23B1E6">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仓位管理：突破时建仓</w:t>
      </w:r>
    </w:p>
    <w:p w14:paraId="5F55829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关键参数：筹码分布分析</w:t>
      </w:r>
    </w:p>
    <w:p w14:paraId="15C24ADF">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适用ETF：各类ETF</w:t>
      </w:r>
    </w:p>
    <w:p w14:paraId="4E2E2FB6">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6EA4771">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43D21E26">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4D4AD85F">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5F9B67C7">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优缺点：筹码分析提供独特视角；筹码数据获取和计算复杂</w:t>
      </w:r>
    </w:p>
    <w:p w14:paraId="5AD49274">
      <w:pPr>
        <w:pStyle w:val="3"/>
      </w:pPr>
      <w:r>
        <w:t>策略169. 涨跌比率（ADR）择时策略</w:t>
      </w:r>
    </w:p>
    <w:p w14:paraId="46D286C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6F156A27">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核心思想：利用市场涨跌股票比率判断市场强弱</w:t>
      </w:r>
    </w:p>
    <w:p w14:paraId="4D878DFA">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交易逻辑：ADR=N日内上涨家数总和/下跌家数总和。ADR&gt;1说明市场偏强，ADR&lt;0.5说明市场极弱（超卖）。ADR是市场广度的直接衡量。</w:t>
      </w:r>
    </w:p>
    <w:p w14:paraId="5EC5D06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9E1699C">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买入信号：10日ADR&lt;0.5后回升至0.7以上</w:t>
      </w:r>
    </w:p>
    <w:p w14:paraId="4016253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卖出信号：10日ADR&gt;2后回落至1.5以下</w:t>
      </w:r>
    </w:p>
    <w:p w14:paraId="5DAC3A17">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仓位管理：ADR越低买入仓位越大</w:t>
      </w:r>
    </w:p>
    <w:p w14:paraId="515E8ECB">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关键参数：ADR计算周期=10日</w:t>
      </w:r>
    </w:p>
    <w:p w14:paraId="5811743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4A3FD093">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1FADAE6">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4D674BEF">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最大回撤：12-20%</w:t>
      </w:r>
    </w:p>
    <w:p w14:paraId="02AC62E4">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674CFB37">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优缺点：市场广度指标可靠；仅反映市场整体不反映具体ETF</w:t>
      </w:r>
    </w:p>
    <w:p w14:paraId="21DD3B5F">
      <w:pPr>
        <w:pStyle w:val="3"/>
      </w:pPr>
      <w:r>
        <w:t>策略170. 月线级别择时策略</w:t>
      </w:r>
    </w:p>
    <w:p w14:paraId="58A56234">
      <w:pPr>
        <w:pStyle w:val="11"/>
        <w:rPr>
          <w:rFonts w:ascii="Times New Roman" w:hAnsi="Times New Roman" w:eastAsia="宋体" w:cs="Times New Roman"/>
          <w:sz w:val="24"/>
          <w:szCs w:val="24"/>
        </w:rPr>
      </w:pPr>
      <w:r>
        <w:rPr>
          <w:rFonts w:ascii="Times New Roman" w:hAnsi="Times New Roman" w:eastAsia="宋体" w:cs="Times New Roman"/>
          <w:sz w:val="24"/>
          <w:szCs w:val="24"/>
        </w:rPr>
        <w:t>分类：择时策略</w:t>
      </w:r>
    </w:p>
    <w:p w14:paraId="277E86A0">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核心思想：用月线KDJ/MACD等指标判断大级别买卖点</w:t>
      </w:r>
    </w:p>
    <w:p w14:paraId="37FC4E39">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交易逻辑：月线级别的技术指标过滤了所有短期噪音，只反映大趋势。月线MACD金叉通常是大级别牛市起点，死叉是熊市起点。交易频率极低但方向准确率高。</w:t>
      </w:r>
    </w:p>
    <w:p w14:paraId="3298F03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694EC28">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买入信号：月线MACD金叉 或 月线KDJ金叉且J值从&lt;0回升</w:t>
      </w:r>
    </w:p>
    <w:p w14:paraId="05D8F6B6">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卖出信号：月线MACD死叉</w:t>
      </w:r>
    </w:p>
    <w:p w14:paraId="3845320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仓位管理：月线信号确认后满仓</w:t>
      </w:r>
    </w:p>
    <w:p w14:paraId="45666C40">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关键参数：月线MACD(12,26,9)、KDJ(9,3,3)</w:t>
      </w:r>
    </w:p>
    <w:p w14:paraId="1948859F">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536BF001">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A3AA27F">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17CF8674">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最大回撤：10-20%</w:t>
      </w:r>
    </w:p>
    <w:p w14:paraId="7D7217CA">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11882D0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优缺点：大级别趋势判断准确；信号极少，年均1-2次</w:t>
      </w:r>
    </w:p>
    <w:p w14:paraId="11A46A5D">
      <w:pPr>
        <w:pStyle w:val="2"/>
        <w:numPr>
          <w:ilvl w:val="0"/>
          <w:numId w:val="1"/>
        </w:numPr>
        <w:ind w:left="0" w:leftChars="0" w:firstLine="0" w:firstLineChars="0"/>
        <w:rPr>
          <w:b w:val="0"/>
          <w:bdr w:val="none" w:sz="0" w:space="0"/>
        </w:rPr>
      </w:pPr>
      <w:r>
        <w:t>套利策略类（策略171-180）</w:t>
      </w:r>
    </w:p>
    <w:p w14:paraId="58CE5F7B">
      <w:pPr>
        <w:pStyle w:val="3"/>
      </w:pPr>
      <w:r>
        <w:t>策略171. ETF折溢价套利策略</w:t>
      </w:r>
    </w:p>
    <w:p w14:paraId="56F52378">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分类：套利策略</w:t>
      </w:r>
    </w:p>
    <w:p w14:paraId="23D9765B">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核心思想：利用ETF二级市场价格与一级市场净值的偏差进行套利</w:t>
      </w:r>
    </w:p>
    <w:p w14:paraId="0FB37345">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交易逻辑：ETF可在一级市场按净值申购赎回，也可在二级市场按市价买卖。当二级市场价格&gt;净值（溢价）时，申购ETF后卖出获利；价格&lt;净值（折价）时，买入ETF后赎回获利。</w:t>
      </w:r>
    </w:p>
    <w:p w14:paraId="6994FB3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5A8895E">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买入信号：溢价率&gt;0.5%时申购ETF卖出套利；折价率&gt;0.5%时买入ETF赎回套利</w:t>
      </w:r>
    </w:p>
    <w:p w14:paraId="1B044421">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卖出信号：套利完成即平仓</w:t>
      </w:r>
    </w:p>
    <w:p w14:paraId="3E59778A">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仓位管理：按套利空间大小决定资金量</w:t>
      </w:r>
    </w:p>
    <w:p w14:paraId="442C5ADA">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关键参数：折溢价阈值=0.5%（需覆盖交易成本）</w:t>
      </w:r>
    </w:p>
    <w:p w14:paraId="0D87AC9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适用ETF：宽基ETF（流动性好）</w:t>
      </w:r>
    </w:p>
    <w:p w14:paraId="7C2C4174">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C2EA85C">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年化收益率：3-8%</w:t>
      </w:r>
    </w:p>
    <w:p w14:paraId="53F496DC">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最大回撤：1-3%</w:t>
      </w:r>
    </w:p>
    <w:p w14:paraId="2B21F469">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夏普比率：2.0-5.0</w:t>
      </w:r>
    </w:p>
    <w:p w14:paraId="5AF98825">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优缺点：接近无风险收益，夏普极高；需要大资金（申购赎回门槛高），机会少</w:t>
      </w:r>
    </w:p>
    <w:p w14:paraId="76983BE0">
      <w:pPr>
        <w:pStyle w:val="3"/>
      </w:pPr>
      <w:r>
        <w:t>策略172. LOF套利策略</w:t>
      </w:r>
    </w:p>
    <w:p w14:paraId="3A952449">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分类：套利策略</w:t>
      </w:r>
    </w:p>
    <w:p w14:paraId="58891E0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核心思想：利用LOF基金场内价格与净值的偏差进行套利</w:t>
      </w:r>
    </w:p>
    <w:p w14:paraId="34BC93C1">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交易逻辑：LOF基金既可场内交易也可场外申赎。溢价时场外申购转场内卖出，折价时场内买入转场外赎回。与ETF套利类似但申赎时间更长（T+2或更长）。</w:t>
      </w:r>
    </w:p>
    <w:p w14:paraId="03F97A8E">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125B006">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买入信号：溢价&gt;1.5%时申购转入卖出；折价&gt;1.5%时买入转出赎回</w:t>
      </w:r>
    </w:p>
    <w:p w14:paraId="31B19767">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卖出信号：套利完成</w:t>
      </w:r>
    </w:p>
    <w:p w14:paraId="0CF608AC">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仓位管理：小资金即可参与</w:t>
      </w:r>
    </w:p>
    <w:p w14:paraId="202C853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关键参数：折溢价阈值=1.5%（覆盖更长时间的价格波动风险）</w:t>
      </w:r>
    </w:p>
    <w:p w14:paraId="60544B20">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适用ETF：LOF基金（如嘉实300LOF等）</w:t>
      </w:r>
    </w:p>
    <w:p w14:paraId="35C10B31">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82EE675">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年化收益率：3-8%</w:t>
      </w:r>
    </w:p>
    <w:p w14:paraId="024576B0">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最大回撤：2-5%</w:t>
      </w:r>
    </w:p>
    <w:p w14:paraId="2C02106F">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夏普比率：1.5-3.0</w:t>
      </w:r>
    </w:p>
    <w:p w14:paraId="4602B09A">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优缺点：门槛低，小资金可参与；转托管时间长，承担价格波动风险</w:t>
      </w:r>
    </w:p>
    <w:p w14:paraId="67024056">
      <w:pPr>
        <w:pStyle w:val="3"/>
      </w:pPr>
      <w:r>
        <w:t>策略173. 期现套利策略</w:t>
      </w:r>
    </w:p>
    <w:p w14:paraId="7DA0CDB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分类：套利策略</w:t>
      </w:r>
    </w:p>
    <w:p w14:paraId="59D568F1">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核心思想：利用股指期货与ETF现货之间的基差进行套利</w:t>
      </w:r>
    </w:p>
    <w:p w14:paraId="1601DEA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交易逻辑：股指期货价格理论上等于现货价格加上持有成本。当期货溢价过大时，做空期货做多ETF现货；期货折价过大时，做多期货做空ETF。等基差收敛获利。</w:t>
      </w:r>
    </w:p>
    <w:p w14:paraId="640888F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D361F09">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买入信号：期货年化溢价率&gt;6%时做空期货做多沪深300ETF</w:t>
      </w:r>
    </w:p>
    <w:p w14:paraId="6AE7710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卖出信号：基差收敛至合理范围（&lt;2%）或到期交割</w:t>
      </w:r>
    </w:p>
    <w:p w14:paraId="2C8DCC0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仓位管理：期现头寸等值对冲</w:t>
      </w:r>
    </w:p>
    <w:p w14:paraId="7710A4A8">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关键参数：年化基差阈值=6%</w:t>
      </w:r>
    </w:p>
    <w:p w14:paraId="71DCB64F">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适用ETF：沪深300ETF配合IF期货、中证500ETF配合IC期货</w:t>
      </w:r>
    </w:p>
    <w:p w14:paraId="5FB51083">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FEAF785">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年化收益率：4-10%</w:t>
      </w:r>
    </w:p>
    <w:p w14:paraId="2144FD25">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最大回撤：1-3%</w:t>
      </w:r>
    </w:p>
    <w:p w14:paraId="3C8369C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夏普比率：2.0-5.0</w:t>
      </w:r>
    </w:p>
    <w:p w14:paraId="40B505CF">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优缺点：风险极低，收益稳定；需要期货账户，保证金占用大</w:t>
      </w:r>
    </w:p>
    <w:p w14:paraId="73FF3FBE">
      <w:pPr>
        <w:pStyle w:val="3"/>
      </w:pPr>
      <w:r>
        <w:t>策略174. 跨市场ETF套利策略</w:t>
      </w:r>
    </w:p>
    <w:p w14:paraId="3A55C4E8">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分类：套利策略</w:t>
      </w:r>
    </w:p>
    <w:p w14:paraId="44862FC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核心思想：同一标的在不同市场的ETF存在价差时套利</w:t>
      </w:r>
    </w:p>
    <w:p w14:paraId="0663AACA">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交易逻辑：如同一指数在上交所和深交所可能有不同ETF产品，价格可能有微小差异。或者跨境ETF（如港股ETF）与其追踪标的存在价差。</w:t>
      </w:r>
    </w:p>
    <w:p w14:paraId="5AD781C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6BEF62B">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买入信号：两地ETF价差&gt;0.3%时买入低价方卖出高价方</w:t>
      </w:r>
    </w:p>
    <w:p w14:paraId="2FE8080C">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卖出信号：价差收敛</w:t>
      </w:r>
    </w:p>
    <w:p w14:paraId="7C3E05CB">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仓位管理：等金额配对</w:t>
      </w:r>
    </w:p>
    <w:p w14:paraId="06563D5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关键参数：价差阈值=0.3%</w:t>
      </w:r>
    </w:p>
    <w:p w14:paraId="6D933C2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适用ETF：跨市场ETF对</w:t>
      </w:r>
    </w:p>
    <w:p w14:paraId="14F6ED1C">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9A8877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年化收益率：2-6%</w:t>
      </w:r>
    </w:p>
    <w:p w14:paraId="2AE079E0">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w:t>
      </w:r>
    </w:p>
    <w:p w14:paraId="5866225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夏普比率：2.0-4.0</w:t>
      </w:r>
    </w:p>
    <w:p w14:paraId="0667EE8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优缺点：低风险；套利空间极小，需要高频交易能力</w:t>
      </w:r>
    </w:p>
    <w:p w14:paraId="726FF4E0">
      <w:pPr>
        <w:pStyle w:val="3"/>
      </w:pPr>
      <w:r>
        <w:t>策略175. 统计套利策略</w:t>
      </w:r>
    </w:p>
    <w:p w14:paraId="2578B8C3">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分类：套利策略</w:t>
      </w:r>
    </w:p>
    <w:p w14:paraId="1C109350">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核心思想：利用两个高相关ETF的历史统计关系，价差偏离时套利</w:t>
      </w:r>
    </w:p>
    <w:p w14:paraId="15BA1747">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交易逻辑：选择协整的ETF对（如消费ETF和医药ETF），计算价差的Z-Score。Z-Score偏离均值超过2个标准差时建立配对头寸，等待回归。</w:t>
      </w:r>
    </w:p>
    <w:p w14:paraId="2559BC43">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10F7999">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买入信号：价差Z-Score&lt;-2时做多价差（买入弱势卖出强势）</w:t>
      </w:r>
    </w:p>
    <w:p w14:paraId="063AF5DF">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卖出信号：Z-Score回到0附近平仓</w:t>
      </w:r>
    </w:p>
    <w:p w14:paraId="3B51CB49">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仓位管理：等金额配对</w:t>
      </w:r>
    </w:p>
    <w:p w14:paraId="4625DD6B">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关键参数：协整窗口=120日，Z-Score阈值=2</w:t>
      </w:r>
    </w:p>
    <w:p w14:paraId="06D34D78">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适用ETF：高相关ETF对</w:t>
      </w:r>
    </w:p>
    <w:p w14:paraId="5F0584C7">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5D3EF4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年化收益率：6-12%</w:t>
      </w:r>
    </w:p>
    <w:p w14:paraId="062C8F5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最大回撤：3-8%</w:t>
      </w:r>
    </w:p>
    <w:p w14:paraId="0B097870">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夏普比率：1.0-2.0</w:t>
      </w:r>
    </w:p>
    <w:p w14:paraId="1F384CB4">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优缺点：市场中性，回撤小；协整关系可能断裂</w:t>
      </w:r>
    </w:p>
    <w:p w14:paraId="69A4CDA8">
      <w:pPr>
        <w:pStyle w:val="3"/>
      </w:pPr>
      <w:r>
        <w:t>策略176. 事件套利策略</w:t>
      </w:r>
    </w:p>
    <w:p w14:paraId="72F78A9E">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分类：套利策略</w:t>
      </w:r>
    </w:p>
    <w:p w14:paraId="20CBB172">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核心思想：利用指数调整、分红、合并等事件导致的价格异常套利</w:t>
      </w:r>
    </w:p>
    <w:p w14:paraId="46186881">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交易逻辑：指数成分股调整时，被纳入成分股的股票会被指数基金被动买入推高价格，被剔除的会被卖出压低价格。提前买入即将纳入的股票/ETF获利。</w:t>
      </w:r>
    </w:p>
    <w:p w14:paraId="3A8B1F0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98CBFF1">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买入信号：指数调整公告后买入即将被纳入的相关ETF</w:t>
      </w:r>
    </w:p>
    <w:p w14:paraId="7E201AD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卖出信号：调整生效后1-5日卖出</w:t>
      </w:r>
    </w:p>
    <w:p w14:paraId="26AB9DB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仓位管理：固定仓位</w:t>
      </w:r>
    </w:p>
    <w:p w14:paraId="3A4B2ECA">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关键参数：指数调整时间表</w:t>
      </w:r>
    </w:p>
    <w:p w14:paraId="435AB4E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适用ETF：即将被纳入新指数的行业/主题ETF</w:t>
      </w:r>
    </w:p>
    <w:p w14:paraId="2AC60233">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CA9A09E">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年化收益率：5-12%</w:t>
      </w:r>
    </w:p>
    <w:p w14:paraId="549BE357">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最大回撤：3-8%</w:t>
      </w:r>
    </w:p>
    <w:p w14:paraId="1E4C930D">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夏普比率：0.8-1.5</w:t>
      </w:r>
    </w:p>
    <w:p w14:paraId="50BE7416">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优缺点：事件驱动，逻辑清晰；机会有限，需要密切跟踪指数调整</w:t>
      </w:r>
    </w:p>
    <w:p w14:paraId="5F9A1387">
      <w:pPr>
        <w:pStyle w:val="3"/>
      </w:pPr>
      <w:r>
        <w:t>策略177. T+0 ETF日内套利策略</w:t>
      </w:r>
    </w:p>
    <w:p w14:paraId="24D58DAF">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分类：套利策略</w:t>
      </w:r>
    </w:p>
    <w:p w14:paraId="6B413D63">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核心思想：利用ETF T+0申赎机制进行日内套利</w:t>
      </w:r>
    </w:p>
    <w:p w14:paraId="2C3852DC">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交易逻辑：ETF支持T+0申购赎回。日内通过IOPV（参考净值）与市价的偏差快速套利。需要高速交易系统和低延迟数据。</w:t>
      </w:r>
    </w:p>
    <w:p w14:paraId="6EE4B381">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9E3C106">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买入信号：实时溢价率&gt;0.3%时申购并立即卖出</w:t>
      </w:r>
    </w:p>
    <w:p w14:paraId="65FD35C5">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卖出信号：套利完成</w:t>
      </w:r>
    </w:p>
    <w:p w14:paraId="3F25B191">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仓位管理：快进快出</w:t>
      </w:r>
    </w:p>
    <w:p w14:paraId="3F041892">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关键参数：IOPV实时监控，延迟&lt;100ms</w:t>
      </w:r>
    </w:p>
    <w:p w14:paraId="5DFF79E0">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适用ETF：高流动性宽基ETF</w:t>
      </w:r>
    </w:p>
    <w:p w14:paraId="120D7DE3">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D67E117">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年化收益率：3-8%</w:t>
      </w:r>
    </w:p>
    <w:p w14:paraId="19D7E295">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最大回撤：0.5-1%</w:t>
      </w:r>
    </w:p>
    <w:p w14:paraId="3EA5427D">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夏普比率：3.0-8.0</w:t>
      </w:r>
    </w:p>
    <w:p w14:paraId="6015B2F5">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优缺点：几乎无风险；需要专业系统，散户难以参与</w:t>
      </w:r>
    </w:p>
    <w:p w14:paraId="25024FD5">
      <w:pPr>
        <w:pStyle w:val="3"/>
      </w:pPr>
      <w:r>
        <w:t>策略178. ETF配对轮动套利策略</w:t>
      </w:r>
    </w:p>
    <w:p w14:paraId="4BF4B221">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分类：套利策略</w:t>
      </w:r>
    </w:p>
    <w:p w14:paraId="6ECB2371">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核心思想：在两个高相关但不完全相同的ETF间轮动获取超额收益</w:t>
      </w:r>
    </w:p>
    <w:p w14:paraId="45E30F8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交易逻辑：如沪深300ETF和中证A500ETF高度相关但不完全相同。计算两者的相对强弱，持续持有相对更强的一只。比纯配对套利更灵活。</w:t>
      </w:r>
    </w:p>
    <w:p w14:paraId="03F21BD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469483A">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买入信号：持有两者中5日收益率更高的ETF</w:t>
      </w:r>
    </w:p>
    <w:p w14:paraId="34B589F7">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卖出信号：另一只ETF5日收益率超过当前持有的，则切换</w:t>
      </w:r>
    </w:p>
    <w:p w14:paraId="3D50E336">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仓位管理：全仓持有更强者</w:t>
      </w:r>
    </w:p>
    <w:p w14:paraId="7FAE3B7E">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关键参数：比较周期=5日</w:t>
      </w:r>
    </w:p>
    <w:p w14:paraId="3C01E859">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适用ETF：高相关ETF对</w:t>
      </w:r>
    </w:p>
    <w:p w14:paraId="724F3BAA">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281614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44F8DC18">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341AB13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31C684F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优缺点：交易简单；频繁切换增加交易成本</w:t>
      </w:r>
    </w:p>
    <w:p w14:paraId="2B26918C">
      <w:pPr>
        <w:pStyle w:val="3"/>
      </w:pPr>
      <w:r>
        <w:t>策略179. 可转债ETF套利策略</w:t>
      </w:r>
    </w:p>
    <w:p w14:paraId="43BB4A9C">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分类：套利策略</w:t>
      </w:r>
    </w:p>
    <w:p w14:paraId="1739C236">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核心思想：利用可转债ETF与正股ETF之间的关系套利</w:t>
      </w:r>
    </w:p>
    <w:p w14:paraId="07D404D7">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交易逻辑：可转债与正股有明确的价格关系（转股价值）。当可转债ETF相对正股ETF折价过多时买入可转债ETF，溢价过多时切换为正股ETF。</w:t>
      </w:r>
    </w:p>
    <w:p w14:paraId="58676705">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6F032FB">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买入信号：可转债ETF转股溢价率&lt;5%时买入</w:t>
      </w:r>
    </w:p>
    <w:p w14:paraId="32BAECBE">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卖出信号：转股溢价率&gt;15%时切换为正股ETF</w:t>
      </w:r>
    </w:p>
    <w:p w14:paraId="3F85E119">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仓位管理：在两者间动态切换</w:t>
      </w:r>
    </w:p>
    <w:p w14:paraId="5AF2E7E7">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关键参数：转股溢价率阈值=5%/15%</w:t>
      </w:r>
    </w:p>
    <w:p w14:paraId="780CEE4B">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适用ETF：可转债ETF、对应正股ETF</w:t>
      </w:r>
    </w:p>
    <w:p w14:paraId="510C01D9">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2D9F7AF">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年化收益率：6-12%</w:t>
      </w:r>
    </w:p>
    <w:p w14:paraId="2CCF26C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最大回撤：5-12%</w:t>
      </w:r>
    </w:p>
    <w:p w14:paraId="6E5AE10B">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54490208">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优缺点：可转债下有保底特性；可转债ETF品种有限</w:t>
      </w:r>
    </w:p>
    <w:p w14:paraId="24945E94">
      <w:pPr>
        <w:pStyle w:val="3"/>
      </w:pPr>
      <w:r>
        <w:t>策略180. QDII ETF折溢价套利策略</w:t>
      </w:r>
    </w:p>
    <w:p w14:paraId="697C62E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分类：套利策略</w:t>
      </w:r>
    </w:p>
    <w:p w14:paraId="583A0130">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核心思想：跨境QDII ETF因额度限制常出现大幅溢价，利用溢价回归套利</w:t>
      </w:r>
    </w:p>
    <w:p w14:paraId="3B3EE946">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交易逻辑：QDII ETF（如纳斯达克100ETF）因为QDII额度紧张，二级市场溢价有时超过5%。溢价不可持续，终会回归。可在溢价极端时卖出，溢价收窄时买回。</w:t>
      </w:r>
    </w:p>
    <w:p w14:paraId="3F2C50D6">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3561C5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买入信号：溢价率缩小至&lt;2%时买入</w:t>
      </w:r>
    </w:p>
    <w:p w14:paraId="00CB720A">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卖出信号：溢价率&gt;5%时卖出（或做空配对对冲）</w:t>
      </w:r>
    </w:p>
    <w:p w14:paraId="2BD0FF9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仓位管理：溢价越大卖出仓位越重</w:t>
      </w:r>
    </w:p>
    <w:p w14:paraId="5E6D0E37">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关键参数：溢价率阈值=2%/5%</w:t>
      </w:r>
    </w:p>
    <w:p w14:paraId="213F901C">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适用ETF：纳斯达克100ETF、标普500ETF等QDII ETF</w:t>
      </w:r>
    </w:p>
    <w:p w14:paraId="4C161FB8">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2751F5D">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年化收益率：5-10%</w:t>
      </w:r>
    </w:p>
    <w:p w14:paraId="0662F8CE">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最大回撤：5-10%</w:t>
      </w:r>
    </w:p>
    <w:p w14:paraId="2DE462A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30E3B523">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优缺点：QDII溢价现象普遍；溢价可能持续很长时间</w:t>
      </w:r>
    </w:p>
    <w:p w14:paraId="61A41F07">
      <w:pPr>
        <w:pStyle w:val="2"/>
        <w:numPr>
          <w:ilvl w:val="0"/>
          <w:numId w:val="1"/>
        </w:numPr>
        <w:ind w:left="0" w:leftChars="0" w:firstLine="0" w:firstLineChars="0"/>
        <w:rPr>
          <w:b w:val="0"/>
          <w:bdr w:val="none" w:sz="0" w:space="0"/>
        </w:rPr>
      </w:pPr>
      <w:r>
        <w:t>因子策略类（策略181-195）</w:t>
      </w:r>
    </w:p>
    <w:p w14:paraId="5E272692">
      <w:pPr>
        <w:pStyle w:val="3"/>
      </w:pPr>
      <w:r>
        <w:t>策略181. 价值因子ETF策略</w:t>
      </w:r>
    </w:p>
    <w:p w14:paraId="30200BBB">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分类：因子策略</w:t>
      </w:r>
    </w:p>
    <w:p w14:paraId="54028B33">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核心思想：长期持有低PE/PB的价值型ETF</w:t>
      </w:r>
    </w:p>
    <w:p w14:paraId="4F379229">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交易逻辑：价值因子是最经典的投资因子。低估值资产长期跑赢高估值资产（Fama-French三因子模型）。投资价值因子ETF可系统性地获取价值溢价。</w:t>
      </w:r>
    </w:p>
    <w:p w14:paraId="6D6A151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7C00015">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买入信号：选择PE百分位&lt;30%的宽基/行业ETF</w:t>
      </w:r>
    </w:p>
    <w:p w14:paraId="749027F4">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卖出信号：PE百分位&gt;70%时卖出</w:t>
      </w:r>
    </w:p>
    <w:p w14:paraId="76B76724">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仓位管理：按估值百分位分配仓位</w:t>
      </w:r>
    </w:p>
    <w:p w14:paraId="580D43B2">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关键参数：PE百分位统计周期=5年</w:t>
      </w:r>
    </w:p>
    <w:p w14:paraId="69932022">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适用ETF：300价值ETF、中证价值ETF</w:t>
      </w:r>
    </w:p>
    <w:p w14:paraId="636029E0">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218385D3">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2DA4FCB7">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60F8E4F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3B17C3B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优缺点：长期有效，安全边际高；价值陷阱风险，低估可能持续</w:t>
      </w:r>
    </w:p>
    <w:p w14:paraId="0C11F70C">
      <w:pPr>
        <w:pStyle w:val="3"/>
      </w:pPr>
      <w:r>
        <w:t>策略182. 质量因子策略</w:t>
      </w:r>
    </w:p>
    <w:p w14:paraId="55C22C5D">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分类：因子策略</w:t>
      </w:r>
    </w:p>
    <w:p w14:paraId="58DF8452">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核心思想：投资高ROE、低负债、高利润率的优质公司ETF</w:t>
      </w:r>
    </w:p>
    <w:p w14:paraId="2BE21C9A">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交易逻辑：质量因子选择财务质量最好的公司。高ROE说明盈利能力强，低负债说明风险低，高利润率说明护城河深。质量因子在熊市中防御性强。</w:t>
      </w:r>
    </w:p>
    <w:p w14:paraId="787F0266">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EC5822C">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买入信号：长期持有质量因子ETF</w:t>
      </w:r>
    </w:p>
    <w:p w14:paraId="26E5F4F4">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卖出信号：ETF跟踪的质量指数质量评分下降时审视</w:t>
      </w:r>
    </w:p>
    <w:p w14:paraId="29F86F8E">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仓位管理：作为核心配置长期持有</w:t>
      </w:r>
    </w:p>
    <w:p w14:paraId="3E7EC29E">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关键参数：ROE&gt;15%，资产负债率&lt;50%</w:t>
      </w:r>
    </w:p>
    <w:p w14:paraId="021D5986">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适用ETF：MSCI中国A股质量ETF、沪深300质量ETF</w:t>
      </w:r>
    </w:p>
    <w:p w14:paraId="1BCF9A91">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41F35C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23E50559">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6FBCFD1E">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7CCAABB2">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优缺点：熊市防御性强，长期收益稳定；牛市弹性不如高Beta资产</w:t>
      </w:r>
    </w:p>
    <w:p w14:paraId="6FBAB57A">
      <w:pPr>
        <w:pStyle w:val="3"/>
      </w:pPr>
      <w:r>
        <w:t>策略183. 低波动因子策略</w:t>
      </w:r>
    </w:p>
    <w:p w14:paraId="346C06B4">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分类：因子策略</w:t>
      </w:r>
    </w:p>
    <w:p w14:paraId="2DF2AD1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核心思想：投资低波动因子ETF，获取低波动异常溢价</w:t>
      </w:r>
    </w:p>
    <w:p w14:paraId="4C285D06">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交易逻辑：低波动异常是金融学中最稳定的异象之一。低波动资产的风险调整后收益高于高波动资产。长期持有低波动ETF能获得更高的夏普比率。</w:t>
      </w:r>
    </w:p>
    <w:p w14:paraId="0CBB569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196B6B1">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买入信号：长期持有低波动/最小波动ETF</w:t>
      </w:r>
    </w:p>
    <w:p w14:paraId="77B5A125">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卖出信号：定期审视因子有效性</w:t>
      </w:r>
    </w:p>
    <w:p w14:paraId="6182893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仓位管理：核心配置</w:t>
      </w:r>
    </w:p>
    <w:p w14:paraId="491E2BFB">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关键参数：波动率排名后30%的股票组成的指数</w:t>
      </w:r>
    </w:p>
    <w:p w14:paraId="625841EC">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适用ETF：中证500低波ETF、沪深300低波ETF</w:t>
      </w:r>
    </w:p>
    <w:p w14:paraId="0A57BA7A">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273FB44">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7760B7E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49A5B596">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夏普比率：0.8-1.3</w:t>
      </w:r>
    </w:p>
    <w:p w14:paraId="403E49D1">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优缺点：回撤小，适合稳健投资者；极端牛市跑输大盘</w:t>
      </w:r>
    </w:p>
    <w:p w14:paraId="276DD3EE">
      <w:pPr>
        <w:pStyle w:val="3"/>
      </w:pPr>
      <w:r>
        <w:t>策略184. 红利因子策略</w:t>
      </w:r>
    </w:p>
    <w:p w14:paraId="097147A8">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分类：因子策略</w:t>
      </w:r>
    </w:p>
    <w:p w14:paraId="17C373E1">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核心思想：投资高股息率ETF，获取红利因子溢价</w:t>
      </w:r>
    </w:p>
    <w:p w14:paraId="3569D90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交易逻辑：高股息率公司通常现金流充裕、经营稳定。红利因子长期跑赢市场，且提供持续现金流。在利率下行周期，高股息资产的配置价值更高。</w:t>
      </w:r>
    </w:p>
    <w:p w14:paraId="5FEFF8F1">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F67C60F">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买入信号：长期持有红利ETF，股息率&gt;4%时增配</w:t>
      </w:r>
    </w:p>
    <w:p w14:paraId="27ABD497">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卖出信号：股息率&lt;2%时减配（说明股价被高估）</w:t>
      </w:r>
    </w:p>
    <w:p w14:paraId="7169A248">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仓位管理：核心配置+估值调整</w:t>
      </w:r>
    </w:p>
    <w:p w14:paraId="5D2B5CAD">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关键参数：股息率阈值=4%</w:t>
      </w:r>
    </w:p>
    <w:p w14:paraId="11FB938F">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适用ETF：中证红利ETF、上证红利ETF、深证红利ETF</w:t>
      </w:r>
    </w:p>
    <w:p w14:paraId="5996EA3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128642C">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3FD71FDB">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最大回撤：10-20%</w:t>
      </w:r>
    </w:p>
    <w:p w14:paraId="1F9EE69A">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3AFED46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优缺点：持续分红收入，防御性强；高股息可能是增长乏力的信号</w:t>
      </w:r>
    </w:p>
    <w:p w14:paraId="49492625">
      <w:pPr>
        <w:pStyle w:val="3"/>
      </w:pPr>
      <w:r>
        <w:t>策略185. 规模因子策略（小盘因子）</w:t>
      </w:r>
    </w:p>
    <w:p w14:paraId="41316A56">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分类：因子策略</w:t>
      </w:r>
    </w:p>
    <w:p w14:paraId="4F33AEF7">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核心思想：小市值公司长期跑赢大市值公司</w:t>
      </w:r>
    </w:p>
    <w:p w14:paraId="71067408">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交易逻辑：Fama-French三因子之一。小盘股风险更高但长期回报也更高（小盘溢价）。A股市场小盘效应尤其显著。</w:t>
      </w:r>
    </w:p>
    <w:p w14:paraId="7C5C592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793501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买入信号：长期持有小盘ETF（如中证1000ETF）</w:t>
      </w:r>
    </w:p>
    <w:p w14:paraId="48E09668">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卖出信号：小盘/大盘比值趋势反转时调整</w:t>
      </w:r>
    </w:p>
    <w:p w14:paraId="180A4B0C">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仓位管理：小盘配置30-50%</w:t>
      </w:r>
    </w:p>
    <w:p w14:paraId="5B7F62A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关键参数：中证1000代表小盘，沪深300代表大盘</w:t>
      </w:r>
    </w:p>
    <w:p w14:paraId="7E4D21CA">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适用ETF：中证1000ETF、中证2000ETF</w:t>
      </w:r>
    </w:p>
    <w:p w14:paraId="45DC4BBF">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981C80A">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年化收益率：10-18%</w:t>
      </w:r>
    </w:p>
    <w:p w14:paraId="3830519C">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最大回撤：20-35%</w:t>
      </w:r>
    </w:p>
    <w:p w14:paraId="7CA5218F">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夏普比率：0.4-0.8</w:t>
      </w:r>
    </w:p>
    <w:p w14:paraId="0495C340">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优缺点：长期超额收益显著；波动大，回撤深</w:t>
      </w:r>
    </w:p>
    <w:p w14:paraId="42A0DC9C">
      <w:pPr>
        <w:pStyle w:val="3"/>
      </w:pPr>
      <w:r>
        <w:t>策略186. 动量因子ETF策略</w:t>
      </w:r>
    </w:p>
    <w:p w14:paraId="1803D737">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分类：因子策略</w:t>
      </w:r>
    </w:p>
    <w:p w14:paraId="5D3E1BC1">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核心思想：投资动量因子ETF，系统性获取动量溢价</w:t>
      </w:r>
    </w:p>
    <w:p w14:paraId="5776B28A">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交易逻辑：动量因子（过去6-12个月表现好的股票未来继续表现好）是学术上最强大的因子之一。通过持有动量因子ETF被动获取动量溢价。</w:t>
      </w:r>
    </w:p>
    <w:p w14:paraId="6DDBFB78">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0E62943">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买入信号：长期持有动量因子ETF</w:t>
      </w:r>
    </w:p>
    <w:p w14:paraId="4E6FC45F">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卖出信号：动量因子出现崩溃信号（如市场急跌）时减仓</w:t>
      </w:r>
    </w:p>
    <w:p w14:paraId="7D824339">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仓位管理：核心配置+动态调整</w:t>
      </w:r>
    </w:p>
    <w:p w14:paraId="2964A8CD">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关键参数：动量因子指数成分股选择规则</w:t>
      </w:r>
    </w:p>
    <w:p w14:paraId="7FD7676D">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适用ETF：MSCI动量ETF、相关Smart Beta ETF</w:t>
      </w:r>
    </w:p>
    <w:p w14:paraId="65D5A0D7">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12C37E1B">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年化收益率：10-18%</w:t>
      </w:r>
    </w:p>
    <w:p w14:paraId="05455823">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3AA264BB">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68C8810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优缺点：学术验证充分；动量崩溃时回撤大</w:t>
      </w:r>
    </w:p>
    <w:p w14:paraId="62B17875">
      <w:pPr>
        <w:pStyle w:val="3"/>
      </w:pPr>
      <w:r>
        <w:t>策略187. 多因子组合策略</w:t>
      </w:r>
    </w:p>
    <w:p w14:paraId="6F019CE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分类：因子策略</w:t>
      </w:r>
    </w:p>
    <w:p w14:paraId="6F87F9D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核心思想：组合价值+质量+动量+低波动等因子ETF，获取多因子Alpha</w:t>
      </w:r>
    </w:p>
    <w:p w14:paraId="2D221D42">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交易逻辑：不同因子在不同市场环境下表现各异。组合多个低相关因子能平滑收益曲线，降低单一因子失效的风险。类似于因子层面的分散化。</w:t>
      </w:r>
    </w:p>
    <w:p w14:paraId="0967F28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39967489">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买入信号：等权配置价值ETF+质量ETF+动量ETF+红利ETF</w:t>
      </w:r>
    </w:p>
    <w:p w14:paraId="2D62AE5A">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卖出信号：季度再平衡</w:t>
      </w:r>
    </w:p>
    <w:p w14:paraId="733DB116">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仓位管理：各因子ETF等权25%</w:t>
      </w:r>
    </w:p>
    <w:p w14:paraId="7476FE0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关键参数：4个因子ETF组合</w:t>
      </w:r>
    </w:p>
    <w:p w14:paraId="627B559C">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适用ETF：各因子指数ETF</w:t>
      </w:r>
    </w:p>
    <w:p w14:paraId="468FA3D7">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AF72FD8">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7AB85DA3">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0B794C0D">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6EEBB879">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优缺点：因子分散降低风险；管理多个ETF需定期再平衡</w:t>
      </w:r>
    </w:p>
    <w:p w14:paraId="596D252F">
      <w:pPr>
        <w:pStyle w:val="3"/>
      </w:pPr>
      <w:r>
        <w:t>策略188. Smart Beta增强策略</w:t>
      </w:r>
    </w:p>
    <w:p w14:paraId="4C610730">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分类：因子策略</w:t>
      </w:r>
    </w:p>
    <w:p w14:paraId="608720C1">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核心思想：根据因子强度动态调整Smart Beta ETF权重</w:t>
      </w:r>
    </w:p>
    <w:p w14:paraId="7039BEC2">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交易逻辑：不同因子在不同时期有不同表现。通过因子动量（过去表现好的因子继续好）或因子价值（估值低的因子未来好）动态调整各因子ETF权重。</w:t>
      </w:r>
    </w:p>
    <w:p w14:paraId="78CD21C3">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7E02F737">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买入信号：过去6个月表现最好的2个因子ETF获得更高权重</w:t>
      </w:r>
    </w:p>
    <w:p w14:paraId="519B4D4E">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卖出信号：季度调整权重</w:t>
      </w:r>
    </w:p>
    <w:p w14:paraId="354EF05E">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仓位管理：动态因子权重（最强因子40%，次强30%，其余30%）</w:t>
      </w:r>
    </w:p>
    <w:p w14:paraId="7C023BDB">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关键参数：因子动量回看期=6个月</w:t>
      </w:r>
    </w:p>
    <w:p w14:paraId="26C08E29">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适用ETF：各Smart Beta ETF</w:t>
      </w:r>
    </w:p>
    <w:p w14:paraId="78E8A901">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08D58F4">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2BF16B68">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3932FF71">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27360379">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优缺点：动态调整提升收益；因子轮动判断有难度</w:t>
      </w:r>
    </w:p>
    <w:p w14:paraId="6775FCCD">
      <w:pPr>
        <w:pStyle w:val="3"/>
      </w:pPr>
      <w:r>
        <w:t>策略189. 基本面指数策略</w:t>
      </w:r>
    </w:p>
    <w:p w14:paraId="6167D725">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分类：因子策略</w:t>
      </w:r>
    </w:p>
    <w:p w14:paraId="7B8CDBBF">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核心思想：投资按基本面（营收、利润、分红、净资产）加权的ETF</w:t>
      </w:r>
    </w:p>
    <w:p w14:paraId="54FB3FC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交易逻辑：传统指数按市值加权，会高配被高估的公司。基本面加权按公司真实价值分配权重，自然偏向价值型、避免泡沫。Robert Arnott的基本面指数理论。</w:t>
      </w:r>
    </w:p>
    <w:p w14:paraId="297B0936">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FF2721B">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买入信号：长期持有基本面50ETF或基本面指数ETF</w:t>
      </w:r>
    </w:p>
    <w:p w14:paraId="1534BD7B">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卖出信号：长期持有</w:t>
      </w:r>
    </w:p>
    <w:p w14:paraId="7B57B211">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仓位管理：核心配置</w:t>
      </w:r>
    </w:p>
    <w:p w14:paraId="52FCC380">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关键参数：基本面权重=营收+利润+分红+净资产</w:t>
      </w:r>
    </w:p>
    <w:p w14:paraId="71390C81">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适用ETF：深证基本面60ETF、基本面50ETF</w:t>
      </w:r>
    </w:p>
    <w:p w14:paraId="3E0F7FC2">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AF79AD4">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7BB30CAA">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2402CF8F">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49706343">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优缺点：避免市值加权的高估偏差；跑赢市值加权指数不总是成立</w:t>
      </w:r>
    </w:p>
    <w:p w14:paraId="30F61065">
      <w:pPr>
        <w:pStyle w:val="3"/>
      </w:pPr>
      <w:r>
        <w:t>策略190. 因子择时策略</w:t>
      </w:r>
    </w:p>
    <w:p w14:paraId="3AF31AFD">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分类：因子策略</w:t>
      </w:r>
    </w:p>
    <w:p w14:paraId="0D3A2FAD">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核心思想：根据经济周期和市场环境选择当前最有效的因子</w:t>
      </w:r>
    </w:p>
    <w:p w14:paraId="5FEF27C3">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交易逻辑：价值因子在经济复苏期表现好，动量因子在趋势市表现好，低波动因子在震荡市表现好。据此进行因子择时轮动。</w:t>
      </w:r>
    </w:p>
    <w:p w14:paraId="481B83B0">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41B8DCF">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买入信号：经济复苏时配置价值因子ETF，经济过热时配置动量ETF，衰退时配置低波动/红利ETF</w:t>
      </w:r>
    </w:p>
    <w:p w14:paraId="2DC27A3A">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卖出信号：经济周期转换时切换</w:t>
      </w:r>
    </w:p>
    <w:p w14:paraId="328E7970">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仓位管理：当前最优因子获最高权重</w:t>
      </w:r>
    </w:p>
    <w:p w14:paraId="1000C23D">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关键参数：经济周期判断+因子映射</w:t>
      </w:r>
    </w:p>
    <w:p w14:paraId="4AAF1865">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适用ETF：各因子ETF</w:t>
      </w:r>
    </w:p>
    <w:p w14:paraId="6E5D829F">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55E4CA1">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5313C260">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76C9A2C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2C3E3F9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优缺点：理论基础强；经济周期判断有滞后</w:t>
      </w:r>
    </w:p>
    <w:p w14:paraId="68BE4E5D">
      <w:pPr>
        <w:pStyle w:val="3"/>
      </w:pPr>
      <w:r>
        <w:t>策略191. ESG因子策略</w:t>
      </w:r>
    </w:p>
    <w:p w14:paraId="038B263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分类：因子策略</w:t>
      </w:r>
    </w:p>
    <w:p w14:paraId="7A38FE1C">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核心思想：投资ESG评分高的ETF，获取ESG溢价</w:t>
      </w:r>
    </w:p>
    <w:p w14:paraId="4139B7B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交易逻辑：ESG（环境、社会、治理）评分高的公司通常治理更好、风险更低。越来越多资金流向ESG资产，推动ESG因子产生正超额收益。</w:t>
      </w:r>
    </w:p>
    <w:p w14:paraId="797BB414">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FADDDCD">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买入信号：长期持有ESG ETF</w:t>
      </w:r>
    </w:p>
    <w:p w14:paraId="6ADA3BDB">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卖出信号：长期持有</w:t>
      </w:r>
    </w:p>
    <w:p w14:paraId="2114B41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仓位管理：核心配置</w:t>
      </w:r>
    </w:p>
    <w:p w14:paraId="4CD43AE0">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关键参数：ESG评分标准</w:t>
      </w:r>
    </w:p>
    <w:p w14:paraId="6E355DE0">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适用ETF：MSCI中国ESG ETF、沪深300 ESG ETF</w:t>
      </w:r>
    </w:p>
    <w:p w14:paraId="51B1E109">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7F5E8BF">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2BA34A5E">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最大回撤：12-22%</w:t>
      </w:r>
    </w:p>
    <w:p w14:paraId="5F1762F7">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31593F1E">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优缺点：符合长期趋势，政策支持；ESG评分标准不统一</w:t>
      </w:r>
    </w:p>
    <w:p w14:paraId="1C03DB36">
      <w:pPr>
        <w:pStyle w:val="3"/>
      </w:pPr>
      <w:r>
        <w:t>策略192. 盈利增长因子策略</w:t>
      </w:r>
    </w:p>
    <w:p w14:paraId="1E151BE6">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分类：因子策略</w:t>
      </w:r>
    </w:p>
    <w:p w14:paraId="6EC272B5">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核心思想：投资盈利增速最高的行业/风格ETF</w:t>
      </w:r>
    </w:p>
    <w:p w14:paraId="036DF26F">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交易逻辑：盈利增长是股价上涨的根本驱动力。选择盈利增速最快的行业ETF，享受盈利驱动的价格上涨。</w:t>
      </w:r>
    </w:p>
    <w:p w14:paraId="35DA0E88">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03DBFE7">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买入信号：选择过去4个季度净利润同比增速排名前3的行业ETF</w:t>
      </w:r>
    </w:p>
    <w:p w14:paraId="02F5D94C">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卖出信号：盈利增速下降至行业中位数以下</w:t>
      </w:r>
    </w:p>
    <w:p w14:paraId="413D5AC8">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w:t>
      </w:r>
    </w:p>
    <w:p w14:paraId="6512C2F9">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关键参数：盈利增速排名，季度更新</w:t>
      </w:r>
    </w:p>
    <w:p w14:paraId="1E5F63BE">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w:t>
      </w:r>
    </w:p>
    <w:p w14:paraId="2C8A70EB">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7FD7204C">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220C040C">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4AF2D61A">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4F53CF10">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优缺点：基本面驱动；财报数据滞后</w:t>
      </w:r>
    </w:p>
    <w:p w14:paraId="39CC06D2">
      <w:pPr>
        <w:pStyle w:val="3"/>
      </w:pPr>
      <w:r>
        <w:t>策略193. 反转因子策略（短期）</w:t>
      </w:r>
    </w:p>
    <w:p w14:paraId="5ABD87D7">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分类：因子策略</w:t>
      </w:r>
    </w:p>
    <w:p w14:paraId="323A5506">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核心思想：过去1-4周表现最差的ETF在未来1-2周反弹</w:t>
      </w:r>
    </w:p>
    <w:p w14:paraId="5D94FDD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交易逻辑：短期反转因子是学术上验证的因子。过度反应导致短期跌幅过大的资产倾向于反弹。与动量因子在不同时间框架起作用。</w:t>
      </w:r>
    </w:p>
    <w:p w14:paraId="797EFE77">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1DC4BB8">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买入信号：过去2周收益率最低的3只行业ETF</w:t>
      </w:r>
    </w:p>
    <w:p w14:paraId="2D1A4466">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卖出信号：持有2周后调仓</w:t>
      </w:r>
    </w:p>
    <w:p w14:paraId="60D34F58">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仓位管理：等权配置</w:t>
      </w:r>
    </w:p>
    <w:p w14:paraId="1B8D125D">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关键参数：回看期=2周，持有期=2周</w:t>
      </w:r>
    </w:p>
    <w:p w14:paraId="60D4D080">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适用ETF：行业ETF池</w:t>
      </w:r>
    </w:p>
    <w:p w14:paraId="1FAEC4CF">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49BC572">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5AB07EF4">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最大回撤：15-25%</w:t>
      </w:r>
    </w:p>
    <w:p w14:paraId="5DBFA364">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夏普比率：0.5-0.9</w:t>
      </w:r>
    </w:p>
    <w:p w14:paraId="0557786C">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优缺点：短期反转效应在A股显著；交易频率高</w:t>
      </w:r>
    </w:p>
    <w:p w14:paraId="73B647EC">
      <w:pPr>
        <w:pStyle w:val="3"/>
      </w:pPr>
      <w:r>
        <w:t>策略194. 波动率因子轮动策略</w:t>
      </w:r>
    </w:p>
    <w:p w14:paraId="305E30C8">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分类：因子策略</w:t>
      </w:r>
    </w:p>
    <w:p w14:paraId="5A67EBE4">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核心思想：在高波动和低波动因子ETF间根据市场环境切换</w:t>
      </w:r>
    </w:p>
    <w:p w14:paraId="3F8D3372">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交易逻辑：牛市中高Beta/高波动ETF弹性大，熊市中低波动ETF防御强。根据市场趋势在两者间切换。</w:t>
      </w:r>
    </w:p>
    <w:p w14:paraId="34F746A6">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6A5BC308">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买入信号：大盘&gt;200日均线时持有高波动ETF，&lt;200日均线时持有低波动ETF</w:t>
      </w:r>
    </w:p>
    <w:p w14:paraId="0A119F85">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卖出信号：均线信号切换时调整</w:t>
      </w:r>
    </w:p>
    <w:p w14:paraId="3F8DE456">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仓位管理：全仓切换</w:t>
      </w:r>
    </w:p>
    <w:p w14:paraId="1A39CDD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关键参数：大盘200日均线</w:t>
      </w:r>
    </w:p>
    <w:p w14:paraId="767C51F7">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适用ETF：高波动ETF（创业板）vs 低波动ETF</w:t>
      </w:r>
    </w:p>
    <w:p w14:paraId="0259852C">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4D077D2">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年化收益率：12-18%</w:t>
      </w:r>
    </w:p>
    <w:p w14:paraId="35EB3D1F">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3553F548">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夏普比率：0.7-1.1</w:t>
      </w:r>
    </w:p>
    <w:p w14:paraId="11067810">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优缺点：兼顾牛市进攻和熊市防御；均线附近可能频繁切换</w:t>
      </w:r>
    </w:p>
    <w:p w14:paraId="1B336DB5">
      <w:pPr>
        <w:pStyle w:val="3"/>
      </w:pPr>
      <w:r>
        <w:t>策略195. 因子拥挤度监控策略</w:t>
      </w:r>
    </w:p>
    <w:p w14:paraId="61EEE9BA">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分类：因子策略</w:t>
      </w:r>
    </w:p>
    <w:p w14:paraId="70C91882">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核心思想：监控因子拥挤度，避免过度拥挤的因子</w:t>
      </w:r>
    </w:p>
    <w:p w14:paraId="7CBCCB37">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交易逻辑：当某个因子（如动量）过度拥挤时，因子崩溃风险增大。通过监控因子估值差、换手率等指标判断拥挤度，避开拥挤因子配置冷门因子。</w:t>
      </w:r>
    </w:p>
    <w:p w14:paraId="0D62CA39">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A82F0DB">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买入信号：因子拥挤度评分&lt;50时配置该因子ETF</w:t>
      </w:r>
    </w:p>
    <w:p w14:paraId="66F399D0">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卖出信号：拥挤度&gt;80时减持</w:t>
      </w:r>
    </w:p>
    <w:p w14:paraId="1943627E">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仓位管理：拥挤度反向配置</w:t>
      </w:r>
    </w:p>
    <w:p w14:paraId="1557B540">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关键参数：拥挤度=因子估值差+持仓集中度+成交量</w:t>
      </w:r>
    </w:p>
    <w:p w14:paraId="461041D9">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适用ETF：各因子ETF</w:t>
      </w:r>
    </w:p>
    <w:p w14:paraId="292DC07E">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82333D0">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年化收益率：10-16%</w:t>
      </w:r>
    </w:p>
    <w:p w14:paraId="552E9701">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最大回撤：8-15%</w:t>
      </w:r>
    </w:p>
    <w:p w14:paraId="27BC4CBE">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42820242">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优缺点：避免因子崩溃风险；拥挤度量化有难度</w:t>
      </w:r>
    </w:p>
    <w:p w14:paraId="502586D5">
      <w:pPr>
        <w:pStyle w:val="2"/>
        <w:numPr>
          <w:ilvl w:val="0"/>
          <w:numId w:val="1"/>
        </w:numPr>
        <w:ind w:left="0" w:leftChars="0" w:firstLine="0" w:firstLineChars="0"/>
        <w:rPr>
          <w:b w:val="0"/>
          <w:bdr w:val="none" w:sz="0" w:space="0"/>
        </w:rPr>
      </w:pPr>
      <w:r>
        <w:t>季节性/日历效应类策略（策略196-200）</w:t>
      </w:r>
    </w:p>
    <w:p w14:paraId="13803EF8">
      <w:pPr>
        <w:pStyle w:val="3"/>
      </w:pPr>
      <w:r>
        <w:t>策略196. 月份效应策略（Sell in May）</w:t>
      </w:r>
    </w:p>
    <w:p w14:paraId="55365FAE">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分类：季节性策略</w:t>
      </w:r>
    </w:p>
    <w:p w14:paraId="547C8E47">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核心思想：11月-4月持有股票ETF，5月-10月持有债券ETF</w:t>
      </w:r>
    </w:p>
    <w:p w14:paraId="08BC76E6">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交易逻辑："Sell in May and go away"是全球最著名的日历效应。统计显示11月-4月股市表现显著优于5月-10月。可能与年底资金配置、圣诞消费、年初开门红等因素有关。</w:t>
      </w:r>
    </w:p>
    <w:p w14:paraId="36E791F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48D5BA16">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买入信号：每年11月1日买入股票ETF</w:t>
      </w:r>
    </w:p>
    <w:p w14:paraId="06DD6789">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卖出信号：每年4月30日卖出股票ETF，切换为债券ETF</w:t>
      </w:r>
    </w:p>
    <w:p w14:paraId="771F975B">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仓位管理：全仓切换</w:t>
      </w:r>
    </w:p>
    <w:p w14:paraId="19B66EBD">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关键参数：持有期=11月-4月</w:t>
      </w:r>
    </w:p>
    <w:p w14:paraId="30436CA8">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适用ETF：沪深300ETF、标普500ETF</w:t>
      </w:r>
    </w:p>
    <w:p w14:paraId="043520E5">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395F764C">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w:t>
      </w:r>
    </w:p>
    <w:p w14:paraId="34E0C577">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最大回撤：10-18%</w:t>
      </w:r>
    </w:p>
    <w:p w14:paraId="4F16D4A6">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夏普比率：0.6-1.0</w:t>
      </w:r>
    </w:p>
    <w:p w14:paraId="4A872BC1">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优缺点：简单易执行，历史验证长；某些年份5-10月也有大行情</w:t>
      </w:r>
    </w:p>
    <w:p w14:paraId="55F2E91C">
      <w:pPr>
        <w:pStyle w:val="3"/>
      </w:pPr>
      <w:r>
        <w:t>策略197. 春节效应策略</w:t>
      </w:r>
    </w:p>
    <w:p w14:paraId="041513F7">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分类：季节性策略</w:t>
      </w:r>
    </w:p>
    <w:p w14:paraId="6A1FB441">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核心思想：春节前后A股市场通常表现较好</w:t>
      </w:r>
    </w:p>
    <w:p w14:paraId="140CF7C4">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交易逻辑：A股存在显著的"春节效应"——春节前1-2周到节后1周市场上涨概率高。可能与年终奖入市、政策面维稳、节前资金回流等因素有关。统计显示春节前后10个交易日上涨概率&gt;70%。</w:t>
      </w:r>
    </w:p>
    <w:p w14:paraId="0062CF0D">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5FBA4FB4">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买入信号：春节前10个交易日买入</w:t>
      </w:r>
    </w:p>
    <w:p w14:paraId="7048D9FD">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卖出信号：春节后5个交易日卖出</w:t>
      </w:r>
    </w:p>
    <w:p w14:paraId="353890A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仓位管理：满仓</w:t>
      </w:r>
    </w:p>
    <w:p w14:paraId="4632F6D3">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关键参数：春节日期（每年变化）</w:t>
      </w:r>
    </w:p>
    <w:p w14:paraId="02BED9C1">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04383F5F">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040551C7">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年化收益率：15-25%（年化到全年）</w:t>
      </w:r>
    </w:p>
    <w:p w14:paraId="38221A42">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最大回撤：3-8%</w:t>
      </w:r>
    </w:p>
    <w:p w14:paraId="11423FE0">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夏普比率：1.0-2.0</w:t>
      </w:r>
    </w:p>
    <w:p w14:paraId="489CB465">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优缺点：高胜率，窗口期短；单一效应，年仅一次机会</w:t>
      </w:r>
    </w:p>
    <w:p w14:paraId="7ACA436A">
      <w:pPr>
        <w:pStyle w:val="3"/>
      </w:pPr>
      <w:r>
        <w:t>策略198. 两会效应策略</w:t>
      </w:r>
    </w:p>
    <w:p w14:paraId="1BBF41E5">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分类：季节性策略</w:t>
      </w:r>
    </w:p>
    <w:p w14:paraId="3F9A119E">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核心思想：全国两会前后市场表现有规律</w:t>
      </w:r>
    </w:p>
    <w:p w14:paraId="3D3036EB">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交易逻辑：两会（3月初）前市场通常维稳上涨（政策预期），两会后可能有获利回吐。两会期间公布的产业政策方向指导后续行业轮动。</w:t>
      </w:r>
    </w:p>
    <w:p w14:paraId="0B01F802">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1822A65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买入信号：两会前2周买入宽基ETF</w:t>
      </w:r>
    </w:p>
    <w:p w14:paraId="63501C3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卖出信号：两会结束后1周卖出 或 根据政策方向切换行业ETF</w:t>
      </w:r>
    </w:p>
    <w:p w14:paraId="35300EE2">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仓位管理：满仓</w:t>
      </w:r>
    </w:p>
    <w:p w14:paraId="3AA3682A">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关键参数：两会日期（每年3月初）</w:t>
      </w:r>
    </w:p>
    <w:p w14:paraId="15122006">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 + 政策受益行业ETF</w:t>
      </w:r>
    </w:p>
    <w:p w14:paraId="40D93BD5">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6C5655F8">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年化收益率：12-20%（年化）</w:t>
      </w:r>
    </w:p>
    <w:p w14:paraId="0941FAA6">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最大回撤：3-8%</w:t>
      </w:r>
    </w:p>
    <w:p w14:paraId="1E6BD4D3">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夏普比率：0.8-1.5</w:t>
      </w:r>
    </w:p>
    <w:p w14:paraId="2361CF2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优缺点：政策驱动效应显著；两会后可能获利回吐</w:t>
      </w:r>
    </w:p>
    <w:p w14:paraId="647D65E6">
      <w:pPr>
        <w:pStyle w:val="3"/>
      </w:pPr>
      <w:r>
        <w:t>策略199. 月末/月初效应策略</w:t>
      </w:r>
    </w:p>
    <w:p w14:paraId="20D3CCC2">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分类：季节性策略</w:t>
      </w:r>
    </w:p>
    <w:p w14:paraId="7298F772">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核心思想：月末最后2个交易日和月初前3个交易日市场表现偏强</w:t>
      </w:r>
    </w:p>
    <w:p w14:paraId="12139CCC">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交易逻辑：月末月初效应可能与基金调仓、工资入市、定投资金流入、机构月度考核等因素有关。统计显示月末月初5个交易日的平均收益占全月收益的大部分。</w:t>
      </w:r>
    </w:p>
    <w:p w14:paraId="61AB482C">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2C4790F2">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买入信号：每月倒数第2个交易日收盘前买入</w:t>
      </w:r>
    </w:p>
    <w:p w14:paraId="1D203742">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卖出信号：每月第3个交易日收盘卖出</w:t>
      </w:r>
    </w:p>
    <w:p w14:paraId="659A87CF">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仓位管理：满仓</w:t>
      </w:r>
    </w:p>
    <w:p w14:paraId="21A7240A">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关键参数：月末2日+月初3日</w:t>
      </w:r>
    </w:p>
    <w:p w14:paraId="6F9B6FF9">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适用ETF：宽基ETF</w:t>
      </w:r>
    </w:p>
    <w:p w14:paraId="60C1DD18">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6F78FA6">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年化收益率：8-14%（年化）</w:t>
      </w:r>
    </w:p>
    <w:p w14:paraId="36DE2EA4">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最大回撤：3-8%</w:t>
      </w:r>
    </w:p>
    <w:p w14:paraId="328A149A">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夏普比率：0.7-1.2</w:t>
      </w:r>
    </w:p>
    <w:p w14:paraId="3240863D">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优缺点：持仓时间短，资金利用率高；效应在不同年份稳定性有差异</w:t>
      </w:r>
    </w:p>
    <w:p w14:paraId="52690078">
      <w:pPr>
        <w:pStyle w:val="3"/>
      </w:pPr>
      <w:r>
        <w:t>策略200. 周内效应策略（周一/周五效应）</w:t>
      </w:r>
    </w:p>
    <w:p w14:paraId="5295B694">
      <w:pPr>
        <w:pStyle w:val="11"/>
        <w:rPr>
          <w:rFonts w:ascii="Times New Roman" w:hAnsi="Times New Roman" w:eastAsia="宋体" w:cs="Times New Roman"/>
          <w:sz w:val="24"/>
          <w:szCs w:val="24"/>
        </w:rPr>
      </w:pPr>
      <w:r>
        <w:rPr>
          <w:rFonts w:ascii="Times New Roman" w:hAnsi="Times New Roman" w:eastAsia="宋体" w:cs="Times New Roman"/>
          <w:sz w:val="24"/>
          <w:szCs w:val="24"/>
        </w:rPr>
        <w:t>分类：季节性策略</w:t>
      </w:r>
    </w:p>
    <w:p w14:paraId="4C4B89D2">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核心思想：利用一周内不同交易日的收益率差异进行交易</w:t>
      </w:r>
    </w:p>
    <w:p w14:paraId="0CCE3802">
      <w:pPr>
        <w:pStyle w:val="11"/>
        <w:rPr>
          <w:rFonts w:ascii="Times New Roman" w:hAnsi="Times New Roman" w:eastAsia="宋体" w:cs="Times New Roman"/>
          <w:sz w:val="24"/>
          <w:szCs w:val="24"/>
        </w:rPr>
      </w:pPr>
      <w:r>
        <w:rPr>
          <w:rFonts w:ascii="Times New Roman" w:hAnsi="Times New Roman" w:eastAsia="宋体" w:cs="Times New Roman"/>
          <w:sz w:val="24"/>
          <w:szCs w:val="24"/>
        </w:rPr>
        <w:t>交易逻辑：研究发现A股市场周一收益率偏低（周末信息消化导致抛售）、周五收益率偏高（周末持仓意愿）。周四/周五买入、周一/周二卖出可能获取微小但稳定的收益差。</w:t>
      </w:r>
    </w:p>
    <w:p w14:paraId="783C2A8B">
      <w:pPr>
        <w:pStyle w:val="11"/>
        <w:rPr>
          <w:rFonts w:ascii="Times New Roman" w:hAnsi="Times New Roman" w:eastAsia="宋体" w:cs="Times New Roman"/>
          <w:sz w:val="24"/>
          <w:szCs w:val="24"/>
        </w:rPr>
      </w:pPr>
      <w:r>
        <w:rPr>
          <w:rFonts w:ascii="Times New Roman" w:hAnsi="Times New Roman" w:eastAsia="宋体" w:cs="Times New Roman"/>
          <w:sz w:val="24"/>
          <w:szCs w:val="24"/>
        </w:rPr>
        <w:t>实现方式：</w:t>
      </w:r>
    </w:p>
    <w:p w14:paraId="0E2E97FE">
      <w:pPr>
        <w:pStyle w:val="11"/>
        <w:rPr>
          <w:rFonts w:ascii="Times New Roman" w:hAnsi="Times New Roman" w:eastAsia="宋体" w:cs="Times New Roman"/>
          <w:sz w:val="24"/>
          <w:szCs w:val="24"/>
        </w:rPr>
      </w:pPr>
      <w:r>
        <w:rPr>
          <w:rFonts w:ascii="Times New Roman" w:hAnsi="Times New Roman" w:eastAsia="宋体" w:cs="Times New Roman"/>
          <w:sz w:val="24"/>
          <w:szCs w:val="24"/>
        </w:rPr>
        <w:t>买入信号：每周四收盘前买入</w:t>
      </w:r>
    </w:p>
    <w:p w14:paraId="4B0B671D">
      <w:pPr>
        <w:pStyle w:val="11"/>
        <w:rPr>
          <w:rFonts w:ascii="Times New Roman" w:hAnsi="Times New Roman" w:eastAsia="宋体" w:cs="Times New Roman"/>
          <w:sz w:val="24"/>
          <w:szCs w:val="24"/>
        </w:rPr>
      </w:pPr>
      <w:r>
        <w:rPr>
          <w:rFonts w:ascii="Times New Roman" w:hAnsi="Times New Roman" w:eastAsia="宋体" w:cs="Times New Roman"/>
          <w:sz w:val="24"/>
          <w:szCs w:val="24"/>
        </w:rPr>
        <w:t>卖出信号：每周一或周二卖出</w:t>
      </w:r>
    </w:p>
    <w:p w14:paraId="6841F745">
      <w:pPr>
        <w:pStyle w:val="11"/>
        <w:rPr>
          <w:rFonts w:ascii="Times New Roman" w:hAnsi="Times New Roman" w:eastAsia="宋体" w:cs="Times New Roman"/>
          <w:sz w:val="24"/>
          <w:szCs w:val="24"/>
        </w:rPr>
      </w:pPr>
      <w:r>
        <w:rPr>
          <w:rFonts w:ascii="Times New Roman" w:hAnsi="Times New Roman" w:eastAsia="宋体" w:cs="Times New Roman"/>
          <w:sz w:val="24"/>
          <w:szCs w:val="24"/>
        </w:rPr>
        <w:t>仓位管理：满仓</w:t>
      </w:r>
    </w:p>
    <w:p w14:paraId="4769F746">
      <w:pPr>
        <w:pStyle w:val="11"/>
        <w:rPr>
          <w:rFonts w:ascii="Times New Roman" w:hAnsi="Times New Roman" w:eastAsia="宋体" w:cs="Times New Roman"/>
          <w:sz w:val="24"/>
          <w:szCs w:val="24"/>
        </w:rPr>
      </w:pPr>
      <w:r>
        <w:rPr>
          <w:rFonts w:ascii="Times New Roman" w:hAnsi="Times New Roman" w:eastAsia="宋体" w:cs="Times New Roman"/>
          <w:sz w:val="24"/>
          <w:szCs w:val="24"/>
        </w:rPr>
        <w:t>关键参数：买入=周四，卖出=周一/周二</w:t>
      </w:r>
    </w:p>
    <w:p w14:paraId="2B766FE8">
      <w:pPr>
        <w:pStyle w:val="11"/>
        <w:rPr>
          <w:rFonts w:ascii="Times New Roman" w:hAnsi="Times New Roman" w:eastAsia="宋体" w:cs="Times New Roman"/>
          <w:sz w:val="24"/>
          <w:szCs w:val="24"/>
        </w:rPr>
      </w:pPr>
      <w:r>
        <w:rPr>
          <w:rFonts w:ascii="Times New Roman" w:hAnsi="Times New Roman" w:eastAsia="宋体" w:cs="Times New Roman"/>
          <w:sz w:val="24"/>
          <w:szCs w:val="24"/>
        </w:rPr>
        <w:t>适用ETF：高流动性宽基ETF</w:t>
      </w:r>
    </w:p>
    <w:p w14:paraId="65FD813A">
      <w:pPr>
        <w:pStyle w:val="11"/>
        <w:rPr>
          <w:rFonts w:ascii="Times New Roman" w:hAnsi="Times New Roman" w:eastAsia="宋体" w:cs="Times New Roman"/>
          <w:sz w:val="24"/>
          <w:szCs w:val="24"/>
        </w:rPr>
      </w:pPr>
      <w:r>
        <w:rPr>
          <w:rFonts w:ascii="Times New Roman" w:hAnsi="Times New Roman" w:eastAsia="宋体" w:cs="Times New Roman"/>
          <w:sz w:val="24"/>
          <w:szCs w:val="24"/>
        </w:rPr>
        <w:t>历史表现：</w:t>
      </w:r>
    </w:p>
    <w:p w14:paraId="5639D104">
      <w:pPr>
        <w:pStyle w:val="11"/>
        <w:rPr>
          <w:rFonts w:ascii="Times New Roman" w:hAnsi="Times New Roman" w:eastAsia="宋体" w:cs="Times New Roman"/>
          <w:sz w:val="24"/>
          <w:szCs w:val="24"/>
        </w:rPr>
      </w:pPr>
      <w:r>
        <w:rPr>
          <w:rFonts w:ascii="Times New Roman" w:hAnsi="Times New Roman" w:eastAsia="宋体" w:cs="Times New Roman"/>
          <w:sz w:val="24"/>
          <w:szCs w:val="24"/>
        </w:rPr>
        <w:t>年化收益率：3-8%</w:t>
      </w:r>
    </w:p>
    <w:p w14:paraId="21AE6DB6">
      <w:pPr>
        <w:pStyle w:val="11"/>
        <w:rPr>
          <w:rFonts w:ascii="Times New Roman" w:hAnsi="Times New Roman" w:eastAsia="宋体" w:cs="Times New Roman"/>
          <w:sz w:val="24"/>
          <w:szCs w:val="24"/>
        </w:rPr>
      </w:pPr>
      <w:r>
        <w:rPr>
          <w:rFonts w:ascii="Times New Roman" w:hAnsi="Times New Roman" w:eastAsia="宋体" w:cs="Times New Roman"/>
          <w:sz w:val="24"/>
          <w:szCs w:val="24"/>
        </w:rPr>
        <w:t>最大回撤：5-10%</w:t>
      </w:r>
    </w:p>
    <w:p w14:paraId="43AA02A2">
      <w:pPr>
        <w:pStyle w:val="11"/>
        <w:rPr>
          <w:rFonts w:ascii="Times New Roman" w:hAnsi="Times New Roman" w:eastAsia="宋体" w:cs="Times New Roman"/>
          <w:sz w:val="24"/>
          <w:szCs w:val="24"/>
        </w:rPr>
      </w:pPr>
      <w:r>
        <w:rPr>
          <w:rFonts w:ascii="Times New Roman" w:hAnsi="Times New Roman" w:eastAsia="宋体" w:cs="Times New Roman"/>
          <w:sz w:val="24"/>
          <w:szCs w:val="24"/>
        </w:rPr>
        <w:t>夏普比率：0.4-0.8</w:t>
      </w:r>
    </w:p>
    <w:p w14:paraId="1E3C90CB">
      <w:pPr>
        <w:pStyle w:val="11"/>
        <w:rPr>
          <w:rFonts w:ascii="Times New Roman" w:hAnsi="Times New Roman" w:eastAsia="宋体" w:cs="Times New Roman"/>
          <w:sz w:val="24"/>
          <w:szCs w:val="24"/>
        </w:rPr>
      </w:pPr>
      <w:r>
        <w:rPr>
          <w:rFonts w:ascii="Times New Roman" w:hAnsi="Times New Roman" w:eastAsia="宋体" w:cs="Times New Roman"/>
          <w:sz w:val="24"/>
          <w:szCs w:val="24"/>
        </w:rPr>
        <w:t>优缺点：简单机械化执行；收益较低，交易成本可能侵蚀利润</w:t>
      </w:r>
    </w:p>
    <w:p w14:paraId="58FE8598">
      <w:pPr>
        <w:pStyle w:val="11"/>
        <w:rPr>
          <w:rFonts w:ascii="Times New Roman" w:hAnsi="Times New Roman" w:eastAsia="宋体" w:cs="Times New Roman"/>
          <w:sz w:val="24"/>
          <w:szCs w:val="24"/>
        </w:rPr>
      </w:pPr>
      <w:r>
        <w:rPr>
          <w:rFonts w:ascii="Times New Roman" w:hAnsi="Times New Roman" w:eastAsia="宋体" w:cs="Times New Roman"/>
          <w:sz w:val="24"/>
          <w:szCs w:val="24"/>
        </w:rPr>
        <w:t>策略分类汇总</w:t>
      </w:r>
    </w:p>
    <w:p w14:paraId="7A30806F">
      <w:pPr>
        <w:pStyle w:val="11"/>
        <w:rPr>
          <w:rFonts w:ascii="Times New Roman" w:hAnsi="Times New Roman" w:eastAsia="宋体" w:cs="Times New Roman"/>
          <w:sz w:val="24"/>
          <w:szCs w:val="24"/>
        </w:rPr>
      </w:pPr>
      <w:r>
        <w:rPr>
          <w:rFonts w:ascii="Times New Roman" w:hAnsi="Times New Roman" w:eastAsia="宋体" w:cs="Times New Roman"/>
          <w:sz w:val="24"/>
          <w:szCs w:val="24"/>
        </w:rPr>
        <w:t>类别</w:t>
      </w:r>
      <w:r>
        <w:rPr>
          <w:rFonts w:ascii="Times New Roman" w:hAnsi="Times New Roman" w:eastAsia="宋体" w:cs="Times New Roman"/>
          <w:sz w:val="24"/>
          <w:szCs w:val="24"/>
        </w:rPr>
        <w:tab/>
      </w:r>
      <w:r>
        <w:rPr>
          <w:rFonts w:ascii="Times New Roman" w:hAnsi="Times New Roman" w:eastAsia="宋体" w:cs="Times New Roman"/>
          <w:sz w:val="24"/>
          <w:szCs w:val="24"/>
        </w:rPr>
        <w:t>策略编号</w:t>
      </w:r>
      <w:r>
        <w:rPr>
          <w:rFonts w:ascii="Times New Roman" w:hAnsi="Times New Roman" w:eastAsia="宋体" w:cs="Times New Roman"/>
          <w:sz w:val="24"/>
          <w:szCs w:val="24"/>
        </w:rPr>
        <w:tab/>
      </w:r>
      <w:r>
        <w:rPr>
          <w:rFonts w:ascii="Times New Roman" w:hAnsi="Times New Roman" w:eastAsia="宋体" w:cs="Times New Roman"/>
          <w:sz w:val="24"/>
          <w:szCs w:val="24"/>
        </w:rPr>
        <w:t>数量</w:t>
      </w:r>
    </w:p>
    <w:p w14:paraId="1767CA9D">
      <w:pPr>
        <w:pStyle w:val="11"/>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趋势跟踪类</w:t>
      </w:r>
      <w:r>
        <w:rPr>
          <w:rFonts w:ascii="Times New Roman" w:hAnsi="Times New Roman" w:eastAsia="宋体" w:cs="Times New Roman"/>
          <w:sz w:val="24"/>
          <w:szCs w:val="24"/>
        </w:rPr>
        <w:tab/>
      </w:r>
      <w:r>
        <w:rPr>
          <w:rFonts w:ascii="Times New Roman" w:hAnsi="Times New Roman" w:eastAsia="宋体" w:cs="Times New Roman"/>
          <w:sz w:val="24"/>
          <w:szCs w:val="24"/>
        </w:rPr>
        <w:t>1-33</w:t>
      </w:r>
      <w:r>
        <w:rPr>
          <w:rFonts w:ascii="Times New Roman" w:hAnsi="Times New Roman" w:eastAsia="宋体" w:cs="Times New Roman"/>
          <w:sz w:val="24"/>
          <w:szCs w:val="24"/>
        </w:rPr>
        <w:tab/>
      </w:r>
      <w:r>
        <w:rPr>
          <w:rFonts w:ascii="Times New Roman" w:hAnsi="Times New Roman" w:eastAsia="宋体" w:cs="Times New Roman"/>
          <w:sz w:val="24"/>
          <w:szCs w:val="24"/>
        </w:rPr>
        <w:t>33</w:t>
      </w:r>
    </w:p>
    <w:p w14:paraId="1747F4F7">
      <w:pPr>
        <w:pStyle w:val="11"/>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均值回归类</w:t>
      </w:r>
      <w:r>
        <w:rPr>
          <w:rFonts w:ascii="Times New Roman" w:hAnsi="Times New Roman" w:eastAsia="宋体" w:cs="Times New Roman"/>
          <w:sz w:val="24"/>
          <w:szCs w:val="24"/>
        </w:rPr>
        <w:tab/>
      </w:r>
      <w:r>
        <w:rPr>
          <w:rFonts w:ascii="Times New Roman" w:hAnsi="Times New Roman" w:eastAsia="宋体" w:cs="Times New Roman"/>
          <w:sz w:val="24"/>
          <w:szCs w:val="24"/>
        </w:rPr>
        <w:t>34-55</w:t>
      </w:r>
      <w:r>
        <w:rPr>
          <w:rFonts w:ascii="Times New Roman" w:hAnsi="Times New Roman" w:eastAsia="宋体" w:cs="Times New Roman"/>
          <w:sz w:val="24"/>
          <w:szCs w:val="24"/>
        </w:rPr>
        <w:tab/>
      </w:r>
      <w:r>
        <w:rPr>
          <w:rFonts w:ascii="Times New Roman" w:hAnsi="Times New Roman" w:eastAsia="宋体" w:cs="Times New Roman"/>
          <w:sz w:val="24"/>
          <w:szCs w:val="24"/>
        </w:rPr>
        <w:t>22</w:t>
      </w:r>
    </w:p>
    <w:p w14:paraId="509879AA">
      <w:pPr>
        <w:pStyle w:val="11"/>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动量策略类</w:t>
      </w:r>
      <w:r>
        <w:rPr>
          <w:rFonts w:ascii="Times New Roman" w:hAnsi="Times New Roman" w:eastAsia="宋体" w:cs="Times New Roman"/>
          <w:sz w:val="24"/>
          <w:szCs w:val="24"/>
        </w:rPr>
        <w:tab/>
      </w:r>
      <w:r>
        <w:rPr>
          <w:rFonts w:ascii="Times New Roman" w:hAnsi="Times New Roman" w:eastAsia="宋体" w:cs="Times New Roman"/>
          <w:sz w:val="24"/>
          <w:szCs w:val="24"/>
        </w:rPr>
        <w:t>56-80</w:t>
      </w:r>
      <w:r>
        <w:rPr>
          <w:rFonts w:ascii="Times New Roman" w:hAnsi="Times New Roman" w:eastAsia="宋体" w:cs="Times New Roman"/>
          <w:sz w:val="24"/>
          <w:szCs w:val="24"/>
        </w:rPr>
        <w:tab/>
      </w:r>
      <w:r>
        <w:rPr>
          <w:rFonts w:ascii="Times New Roman" w:hAnsi="Times New Roman" w:eastAsia="宋体" w:cs="Times New Roman"/>
          <w:sz w:val="24"/>
          <w:szCs w:val="24"/>
        </w:rPr>
        <w:t>25</w:t>
      </w:r>
    </w:p>
    <w:p w14:paraId="45717032">
      <w:pPr>
        <w:pStyle w:val="11"/>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轮动策略类</w:t>
      </w:r>
      <w:r>
        <w:rPr>
          <w:rFonts w:ascii="Times New Roman" w:hAnsi="Times New Roman" w:eastAsia="宋体" w:cs="Times New Roman"/>
          <w:sz w:val="24"/>
          <w:szCs w:val="24"/>
        </w:rPr>
        <w:tab/>
      </w:r>
      <w:r>
        <w:rPr>
          <w:rFonts w:ascii="Times New Roman" w:hAnsi="Times New Roman" w:eastAsia="宋体" w:cs="Times New Roman"/>
          <w:sz w:val="24"/>
          <w:szCs w:val="24"/>
        </w:rPr>
        <w:t>81-105</w:t>
      </w:r>
      <w:r>
        <w:rPr>
          <w:rFonts w:ascii="Times New Roman" w:hAnsi="Times New Roman" w:eastAsia="宋体" w:cs="Times New Roman"/>
          <w:sz w:val="24"/>
          <w:szCs w:val="24"/>
        </w:rPr>
        <w:tab/>
      </w:r>
      <w:r>
        <w:rPr>
          <w:rFonts w:ascii="Times New Roman" w:hAnsi="Times New Roman" w:eastAsia="宋体" w:cs="Times New Roman"/>
          <w:sz w:val="24"/>
          <w:szCs w:val="24"/>
        </w:rPr>
        <w:t>25</w:t>
      </w:r>
    </w:p>
    <w:p w14:paraId="05493544">
      <w:pPr>
        <w:pStyle w:val="11"/>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网格交易类</w:t>
      </w:r>
      <w:r>
        <w:rPr>
          <w:rFonts w:ascii="Times New Roman" w:hAnsi="Times New Roman" w:eastAsia="宋体" w:cs="Times New Roman"/>
          <w:sz w:val="24"/>
          <w:szCs w:val="24"/>
        </w:rPr>
        <w:tab/>
      </w:r>
      <w:r>
        <w:rPr>
          <w:rFonts w:ascii="Times New Roman" w:hAnsi="Times New Roman" w:eastAsia="宋体" w:cs="Times New Roman"/>
          <w:sz w:val="24"/>
          <w:szCs w:val="24"/>
        </w:rPr>
        <w:t>106-120</w:t>
      </w:r>
      <w:r>
        <w:rPr>
          <w:rFonts w:ascii="Times New Roman" w:hAnsi="Times New Roman" w:eastAsia="宋体" w:cs="Times New Roman"/>
          <w:sz w:val="24"/>
          <w:szCs w:val="24"/>
        </w:rPr>
        <w:tab/>
      </w:r>
      <w:r>
        <w:rPr>
          <w:rFonts w:ascii="Times New Roman" w:hAnsi="Times New Roman" w:eastAsia="宋体" w:cs="Times New Roman"/>
          <w:sz w:val="24"/>
          <w:szCs w:val="24"/>
        </w:rPr>
        <w:t>15</w:t>
      </w:r>
    </w:p>
    <w:p w14:paraId="6F53DB32">
      <w:pPr>
        <w:pStyle w:val="11"/>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定投增强类</w:t>
      </w:r>
      <w:r>
        <w:rPr>
          <w:rFonts w:ascii="Times New Roman" w:hAnsi="Times New Roman" w:eastAsia="宋体" w:cs="Times New Roman"/>
          <w:sz w:val="24"/>
          <w:szCs w:val="24"/>
        </w:rPr>
        <w:tab/>
      </w:r>
      <w:r>
        <w:rPr>
          <w:rFonts w:ascii="Times New Roman" w:hAnsi="Times New Roman" w:eastAsia="宋体" w:cs="Times New Roman"/>
          <w:sz w:val="24"/>
          <w:szCs w:val="24"/>
        </w:rPr>
        <w:t>121-135</w:t>
      </w:r>
      <w:r>
        <w:rPr>
          <w:rFonts w:ascii="Times New Roman" w:hAnsi="Times New Roman" w:eastAsia="宋体" w:cs="Times New Roman"/>
          <w:sz w:val="24"/>
          <w:szCs w:val="24"/>
        </w:rPr>
        <w:tab/>
      </w:r>
      <w:r>
        <w:rPr>
          <w:rFonts w:ascii="Times New Roman" w:hAnsi="Times New Roman" w:eastAsia="宋体" w:cs="Times New Roman"/>
          <w:sz w:val="24"/>
          <w:szCs w:val="24"/>
        </w:rPr>
        <w:t>15</w:t>
      </w:r>
    </w:p>
    <w:p w14:paraId="51D366C6">
      <w:pPr>
        <w:pStyle w:val="11"/>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波动率策略类</w:t>
      </w:r>
      <w:r>
        <w:rPr>
          <w:rFonts w:ascii="Times New Roman" w:hAnsi="Times New Roman" w:eastAsia="宋体" w:cs="Times New Roman"/>
          <w:sz w:val="24"/>
          <w:szCs w:val="24"/>
        </w:rPr>
        <w:tab/>
      </w:r>
      <w:r>
        <w:rPr>
          <w:rFonts w:ascii="Times New Roman" w:hAnsi="Times New Roman" w:eastAsia="宋体" w:cs="Times New Roman"/>
          <w:sz w:val="24"/>
          <w:szCs w:val="24"/>
        </w:rPr>
        <w:t>136-150</w:t>
      </w:r>
      <w:r>
        <w:rPr>
          <w:rFonts w:ascii="Times New Roman" w:hAnsi="Times New Roman" w:eastAsia="宋体" w:cs="Times New Roman"/>
          <w:sz w:val="24"/>
          <w:szCs w:val="24"/>
        </w:rPr>
        <w:tab/>
      </w:r>
      <w:r>
        <w:rPr>
          <w:rFonts w:ascii="Times New Roman" w:hAnsi="Times New Roman" w:eastAsia="宋体" w:cs="Times New Roman"/>
          <w:sz w:val="24"/>
          <w:szCs w:val="24"/>
        </w:rPr>
        <w:t>15</w:t>
      </w:r>
    </w:p>
    <w:p w14:paraId="4CDE0E53">
      <w:pPr>
        <w:pStyle w:val="11"/>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择时策略类</w:t>
      </w:r>
      <w:r>
        <w:rPr>
          <w:rFonts w:ascii="Times New Roman" w:hAnsi="Times New Roman" w:eastAsia="宋体" w:cs="Times New Roman"/>
          <w:sz w:val="24"/>
          <w:szCs w:val="24"/>
        </w:rPr>
        <w:tab/>
      </w:r>
      <w:r>
        <w:rPr>
          <w:rFonts w:ascii="Times New Roman" w:hAnsi="Times New Roman" w:eastAsia="宋体" w:cs="Times New Roman"/>
          <w:sz w:val="24"/>
          <w:szCs w:val="24"/>
        </w:rPr>
        <w:t>151-170</w:t>
      </w:r>
      <w:r>
        <w:rPr>
          <w:rFonts w:ascii="Times New Roman" w:hAnsi="Times New Roman" w:eastAsia="宋体" w:cs="Times New Roman"/>
          <w:sz w:val="24"/>
          <w:szCs w:val="24"/>
        </w:rPr>
        <w:tab/>
      </w:r>
      <w:r>
        <w:rPr>
          <w:rFonts w:ascii="Times New Roman" w:hAnsi="Times New Roman" w:eastAsia="宋体" w:cs="Times New Roman"/>
          <w:sz w:val="24"/>
          <w:szCs w:val="24"/>
        </w:rPr>
        <w:t>20</w:t>
      </w:r>
    </w:p>
    <w:p w14:paraId="35F2BC09">
      <w:pPr>
        <w:pStyle w:val="11"/>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套利策略类</w:t>
      </w:r>
      <w:r>
        <w:rPr>
          <w:rFonts w:ascii="Times New Roman" w:hAnsi="Times New Roman" w:eastAsia="宋体" w:cs="Times New Roman"/>
          <w:sz w:val="24"/>
          <w:szCs w:val="24"/>
        </w:rPr>
        <w:tab/>
      </w:r>
      <w:r>
        <w:rPr>
          <w:rFonts w:ascii="Times New Roman" w:hAnsi="Times New Roman" w:eastAsia="宋体" w:cs="Times New Roman"/>
          <w:sz w:val="24"/>
          <w:szCs w:val="24"/>
        </w:rPr>
        <w:t>171-180</w:t>
      </w:r>
      <w:r>
        <w:rPr>
          <w:rFonts w:ascii="Times New Roman" w:hAnsi="Times New Roman" w:eastAsia="宋体" w:cs="Times New Roman"/>
          <w:sz w:val="24"/>
          <w:szCs w:val="24"/>
        </w:rPr>
        <w:tab/>
      </w:r>
      <w:r>
        <w:rPr>
          <w:rFonts w:ascii="Times New Roman" w:hAnsi="Times New Roman" w:eastAsia="宋体" w:cs="Times New Roman"/>
          <w:sz w:val="24"/>
          <w:szCs w:val="24"/>
        </w:rPr>
        <w:t>10</w:t>
      </w:r>
    </w:p>
    <w:p w14:paraId="620F58FA">
      <w:pPr>
        <w:pStyle w:val="11"/>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因子策略类</w:t>
      </w:r>
      <w:r>
        <w:rPr>
          <w:rFonts w:ascii="Times New Roman" w:hAnsi="Times New Roman" w:eastAsia="宋体" w:cs="Times New Roman"/>
          <w:sz w:val="24"/>
          <w:szCs w:val="24"/>
        </w:rPr>
        <w:tab/>
      </w:r>
      <w:r>
        <w:rPr>
          <w:rFonts w:ascii="Times New Roman" w:hAnsi="Times New Roman" w:eastAsia="宋体" w:cs="Times New Roman"/>
          <w:sz w:val="24"/>
          <w:szCs w:val="24"/>
        </w:rPr>
        <w:t>181-195</w:t>
      </w:r>
      <w:r>
        <w:rPr>
          <w:rFonts w:ascii="Times New Roman" w:hAnsi="Times New Roman" w:eastAsia="宋体" w:cs="Times New Roman"/>
          <w:sz w:val="24"/>
          <w:szCs w:val="24"/>
        </w:rPr>
        <w:tab/>
      </w:r>
      <w:r>
        <w:rPr>
          <w:rFonts w:ascii="Times New Roman" w:hAnsi="Times New Roman" w:eastAsia="宋体" w:cs="Times New Roman"/>
          <w:sz w:val="24"/>
          <w:szCs w:val="24"/>
        </w:rPr>
        <w:t>15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C11F99"/>
    <w:multiLevelType w:val="singleLevel"/>
    <w:tmpl w:val="08C11F99"/>
    <w:lvl w:ilvl="0" w:tentative="0">
      <w:start w:val="1"/>
      <w:numFmt w:val="upperLetter"/>
      <w:suff w:val="space"/>
      <w:lvlText w:val="%1."/>
      <w:lvlJc w:val="left"/>
      <w:pPr>
        <w:ind w:left="0" w:firstLine="480"/>
      </w:pPr>
      <w:rPr>
        <w:rFonts w:hint="default"/>
      </w:rPr>
    </w:lvl>
  </w:abstractNum>
  <w:abstractNum w:abstractNumId="1">
    <w:nsid w:val="3B2C602C"/>
    <w:multiLevelType w:val="singleLevel"/>
    <w:tmpl w:val="3B2C602C"/>
    <w:lvl w:ilvl="0" w:tentative="0">
      <w:start w:val="1"/>
      <w:numFmt w:val="upperLetter"/>
      <w:suff w:val="space"/>
      <w:lvlText w:val="%1."/>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F379F1"/>
    <w:rsid w:val="0DD54741"/>
    <w:rsid w:val="380C3C8E"/>
    <w:rsid w:val="415D1F4B"/>
    <w:rsid w:val="59F37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123</Pages>
  <Words>0</Words>
  <Characters>0</Characters>
  <Lines>0</Lines>
  <Paragraphs>0</Paragraphs>
  <TotalTime>7</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2026-04-02T06:14:00Z</dcterms:created>
  <dc:creator>三秒</dc:creator>
  <cp:lastModifiedBy>三秒</cp:lastModifiedBy>
  <cp:lastPrinted>2026-04-02T06:22:51Z</cp:lastPrinted>
  <dcterms:modified xsi:type="dcterms:W3CDTF">2026-04-02T06:24:18Z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15577943BD0F428DA4AD3594CD4CD4DB_13</vt:lpwstr>
  </property>
  <property fmtid="{D5CDD505-2E9C-101B-9397-08002B2CF9AE}" pid="4" name="KSOTemplateDocerSaveRecord">
    <vt:lpwstr>eyJoZGlkIjoiZjc2N2EzN2EzOTE1YzM2NTE0MWUwMmRkYzI4N2NmMWEiLCJ1c2VySWQiOiIyODUzNzkxMzkifQ==</vt:lpwstr>
  </property>
</Properties>
</file>