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xiami-智能量化交易系统白皮书"/>
    <w:p>
      <w:pPr>
        <w:pStyle w:val="Heading1"/>
      </w:pPr>
      <w:r>
        <w:t xml:space="preserve">XIAMI 智能量化交易系统白皮书</w:t>
      </w:r>
    </w:p>
    <w:p>
      <w:pPr>
        <w:pStyle w:val="FirstParagraph"/>
      </w:pPr>
      <w:r>
        <w:rPr>
          <w:bCs/>
          <w:b/>
        </w:rPr>
        <w:t xml:space="preserve">项目名称</w:t>
      </w:r>
      <w:r>
        <w:t xml:space="preserve">：XIAMI（XIAOMI AI Intelligent Trading System）</w:t>
      </w:r>
      <w:r>
        <w:t xml:space="preserve"> </w:t>
      </w:r>
      <w:r>
        <w:rPr>
          <w:bCs/>
          <w:b/>
        </w:rPr>
        <w:t xml:space="preserve">版本</w:t>
      </w:r>
      <w:r>
        <w:t xml:space="preserve">：6.0 完整版</w:t>
      </w:r>
      <w:r>
        <w:t xml:space="preserve"> </w:t>
      </w:r>
      <w:r>
        <w:rPr>
          <w:bCs/>
          <w:b/>
        </w:rPr>
        <w:t xml:space="preserve">更新日期</w:t>
      </w:r>
      <w:r>
        <w:t xml:space="preserve">：2026年3月12日</w:t>
      </w:r>
      <w:r>
        <w:t xml:space="preserve"> </w:t>
      </w:r>
      <w:r>
        <w:rPr>
          <w:bCs/>
          <w:b/>
        </w:rPr>
        <w:t xml:space="preserve">状态</w:t>
      </w:r>
      <w:r>
        <w:t xml:space="preserve">：生产就绪 | 微私募Ready</w:t>
      </w:r>
    </w:p>
    <w:p>
      <w:r>
        <w:pict>
          <v:rect style="width:0;height:1.5pt" o:hralign="center" o:hrstd="t" o:hr="t"/>
        </w:pict>
      </w:r>
    </w:p>
    <w:bookmarkStart w:id="20" w:name="目-录"/>
    <w:p>
      <w:pPr>
        <w:pStyle w:val="Heading2"/>
      </w:pPr>
      <w:r>
        <w:t xml:space="preserve">目 录</w:t>
      </w:r>
    </w:p>
    <w:p>
      <w:pPr>
        <w:numPr>
          <w:ilvl w:val="0"/>
          <w:numId w:val="1001"/>
        </w:numPr>
        <w:pStyle w:val="Compact"/>
      </w:pPr>
      <w:r>
        <w:t xml:space="preserve">项目背景与市场机遇</w:t>
      </w:r>
    </w:p>
    <w:p>
      <w:pPr>
        <w:numPr>
          <w:ilvl w:val="0"/>
          <w:numId w:val="1001"/>
        </w:numPr>
        <w:pStyle w:val="Compact"/>
      </w:pPr>
      <w:r>
        <w:t xml:space="preserve">项目概述与核心理念</w:t>
      </w:r>
    </w:p>
    <w:p>
      <w:pPr>
        <w:numPr>
          <w:ilvl w:val="0"/>
          <w:numId w:val="1001"/>
        </w:numPr>
        <w:pStyle w:val="Compact"/>
      </w:pPr>
      <w:r>
        <w:t xml:space="preserve">技术架构详解</w:t>
      </w:r>
    </w:p>
    <w:p>
      <w:pPr>
        <w:numPr>
          <w:ilvl w:val="0"/>
          <w:numId w:val="1001"/>
        </w:numPr>
        <w:pStyle w:val="Compact"/>
      </w:pPr>
      <w:r>
        <w:t xml:space="preserve">核心策略模块</w:t>
      </w:r>
    </w:p>
    <w:p>
      <w:pPr>
        <w:numPr>
          <w:ilvl w:val="0"/>
          <w:numId w:val="1001"/>
        </w:numPr>
        <w:pStyle w:val="Compact"/>
      </w:pPr>
      <w:r>
        <w:t xml:space="preserve">风险管理体系</w:t>
      </w:r>
    </w:p>
    <w:p>
      <w:pPr>
        <w:numPr>
          <w:ilvl w:val="0"/>
          <w:numId w:val="1001"/>
        </w:numPr>
        <w:pStyle w:val="Compact"/>
      </w:pPr>
      <w:r>
        <w:t xml:space="preserve">盈利模型与收益分配</w:t>
      </w:r>
    </w:p>
    <w:p>
      <w:pPr>
        <w:numPr>
          <w:ilvl w:val="0"/>
          <w:numId w:val="1001"/>
        </w:numPr>
        <w:pStyle w:val="Compact"/>
      </w:pPr>
      <w:r>
        <w:t xml:space="preserve">投资池设计</w:t>
      </w:r>
    </w:p>
    <w:p>
      <w:pPr>
        <w:numPr>
          <w:ilvl w:val="0"/>
          <w:numId w:val="1001"/>
        </w:numPr>
        <w:pStyle w:val="Compact"/>
      </w:pPr>
      <w:r>
        <w:t xml:space="preserve">智能合约机制</w:t>
      </w:r>
    </w:p>
    <w:p>
      <w:pPr>
        <w:numPr>
          <w:ilvl w:val="0"/>
          <w:numId w:val="1001"/>
        </w:numPr>
        <w:pStyle w:val="Compact"/>
      </w:pPr>
      <w:r>
        <w:t xml:space="preserve">运营体系</w:t>
      </w:r>
    </w:p>
    <w:p>
      <w:pPr>
        <w:numPr>
          <w:ilvl w:val="0"/>
          <w:numId w:val="1001"/>
        </w:numPr>
        <w:pStyle w:val="Compact"/>
      </w:pPr>
      <w:r>
        <w:t xml:space="preserve">合规与安全</w:t>
      </w:r>
    </w:p>
    <w:p>
      <w:pPr>
        <w:numPr>
          <w:ilvl w:val="0"/>
          <w:numId w:val="1001"/>
        </w:numPr>
        <w:pStyle w:val="Compact"/>
      </w:pPr>
      <w:r>
        <w:t xml:space="preserve">团队介绍</w:t>
      </w:r>
    </w:p>
    <w:p>
      <w:pPr>
        <w:numPr>
          <w:ilvl w:val="0"/>
          <w:numId w:val="1001"/>
        </w:numPr>
        <w:pStyle w:val="Compact"/>
      </w:pPr>
      <w:r>
        <w:t xml:space="preserve">发展路线图</w:t>
      </w:r>
    </w:p>
    <w:p>
      <w:pPr>
        <w:numPr>
          <w:ilvl w:val="0"/>
          <w:numId w:val="1001"/>
        </w:numPr>
        <w:pStyle w:val="Compact"/>
      </w:pPr>
      <w:r>
        <w:t xml:space="preserve">风险提示</w:t>
      </w:r>
    </w:p>
    <w:p>
      <w:pPr>
        <w:numPr>
          <w:ilvl w:val="0"/>
          <w:numId w:val="1001"/>
        </w:numPr>
        <w:pStyle w:val="Compact"/>
      </w:pPr>
      <w:r>
        <w:t xml:space="preserve">附录</w:t>
      </w:r>
    </w:p>
    <w:p>
      <w:r>
        <w:pict>
          <v:rect style="width:0;height:1.5pt" o:hralign="center" o:hrstd="t" o:hr="t"/>
        </w:pict>
      </w:r>
    </w:p>
    <w:bookmarkEnd w:id="20"/>
    <w:bookmarkStart w:id="24" w:name="第一章-项目背景与市场机遇"/>
    <w:p>
      <w:pPr>
        <w:pStyle w:val="Heading2"/>
      </w:pPr>
      <w:r>
        <w:t xml:space="preserve">第一章 项目背景与市场机遇</w:t>
      </w:r>
    </w:p>
    <w:bookmarkStart w:id="21" w:name="加密货币市场现状"/>
    <w:p>
      <w:pPr>
        <w:pStyle w:val="Heading3"/>
      </w:pPr>
      <w:r>
        <w:t xml:space="preserve">1.1 加密货币市场现状</w:t>
      </w:r>
    </w:p>
    <w:p>
      <w:pPr>
        <w:pStyle w:val="FirstParagraph"/>
      </w:pPr>
      <w:r>
        <w:t xml:space="preserve">截至2026年第一季度，全球加密货币市场规模已突破</w:t>
      </w:r>
      <w:r>
        <w:t xml:space="preserve"> </w:t>
      </w:r>
      <w:r>
        <w:rPr>
          <w:bCs/>
          <w:b/>
        </w:rPr>
        <w:t xml:space="preserve">4.5万亿美元</w:t>
      </w:r>
      <w:r>
        <w:t xml:space="preserve">，日均交易量超过</w:t>
      </w:r>
      <w:r>
        <w:t xml:space="preserve"> </w:t>
      </w:r>
      <w:r>
        <w:rPr>
          <w:bCs/>
          <w:b/>
        </w:rPr>
        <w:t xml:space="preserve">3000亿美元</w:t>
      </w:r>
      <w:r>
        <w:t xml:space="preserve">。区块链技术的快速发展和去中心化金融（DeFi）的兴起，使得加密资产已成为全球投资者资产配置的重要组成部分。</w:t>
      </w:r>
    </w:p>
    <w:p>
      <w:pPr>
        <w:pStyle w:val="BodyText"/>
      </w:pPr>
      <w:r>
        <w:rPr>
          <w:bCs/>
          <w:b/>
        </w:rPr>
        <w:t xml:space="preserve">市场特征分析：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7×24小时交易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全球市场连续运转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程序化交易优势明显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高波动性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日均波动5%-20%常见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量化策略利润空间大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信息不对称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个人投资者处于劣势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AI分析可弥补差距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情绪驱动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FOMO/FUD影响价格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量化模型可规避情绪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交易所割裂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百余家交易所数据孤岛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跨平台套利机会</w:t>
            </w:r>
          </w:p>
        </w:tc>
      </w:tr>
    </w:tbl>
    <w:bookmarkEnd w:id="21"/>
    <w:bookmarkStart w:id="22" w:name="量化交易行业痛点"/>
    <w:p>
      <w:pPr>
        <w:pStyle w:val="Heading3"/>
      </w:pPr>
      <w:r>
        <w:t xml:space="preserve">1.2 量化交易行业痛点</w:t>
      </w:r>
    </w:p>
    <w:p>
      <w:pPr>
        <w:pStyle w:val="FirstParagraph"/>
      </w:pPr>
      <w:r>
        <w:t xml:space="preserve">当前量化交易行业存在以下核心痛点：</w:t>
      </w:r>
    </w:p>
    <w:p>
      <w:pPr>
        <w:pStyle w:val="BodyText"/>
      </w:pPr>
      <w:r>
        <w:rPr>
          <w:bCs/>
          <w:b/>
        </w:rPr>
        <w:t xml:space="preserve">1. 门槛过高</w:t>
      </w:r>
      <w:r>
        <w:t xml:space="preserve"> </w:t>
      </w:r>
      <w:r>
        <w:t xml:space="preserve">- 专业量化团队年薪百万+</w:t>
      </w:r>
      <w:r>
        <w:t xml:space="preserve"> </w:t>
      </w:r>
      <w:r>
        <w:t xml:space="preserve">- 硬件投入动辄数十万</w:t>
      </w:r>
      <w:r>
        <w:t xml:space="preserve"> </w:t>
      </w:r>
      <w:r>
        <w:t xml:space="preserve">- 数据服务费用高昂</w:t>
      </w:r>
      <w:r>
        <w:t xml:space="preserve"> </w:t>
      </w:r>
      <w:r>
        <w:t xml:space="preserve">- 普通投资者难以参与</w:t>
      </w:r>
    </w:p>
    <w:p>
      <w:pPr>
        <w:pStyle w:val="BodyText"/>
      </w:pPr>
      <w:r>
        <w:rPr>
          <w:bCs/>
          <w:b/>
        </w:rPr>
        <w:t xml:space="preserve">2. 信息不对称</w:t>
      </w:r>
      <w:r>
        <w:t xml:space="preserve"> </w:t>
      </w:r>
      <w:r>
        <w:t xml:space="preserve">- 机构拥有先进技术和数据</w:t>
      </w:r>
      <w:r>
        <w:t xml:space="preserve"> </w:t>
      </w:r>
      <w:r>
        <w:t xml:space="preserve">- 个人投资者处于信息劣势</w:t>
      </w:r>
      <w:r>
        <w:t xml:space="preserve"> </w:t>
      </w:r>
      <w:r>
        <w:t xml:space="preserve">- 老鼠仓和内幕交易泛滥</w:t>
      </w:r>
    </w:p>
    <w:p>
      <w:pPr>
        <w:pStyle w:val="BodyText"/>
      </w:pPr>
      <w:r>
        <w:rPr>
          <w:bCs/>
          <w:b/>
        </w:rPr>
        <w:t xml:space="preserve">3. 风险失控</w:t>
      </w:r>
      <w:r>
        <w:t xml:space="preserve"> </w:t>
      </w:r>
      <w:r>
        <w:t xml:space="preserve">- 主观交易情绪化严重</w:t>
      </w:r>
      <w:r>
        <w:t xml:space="preserve"> </w:t>
      </w:r>
      <w:r>
        <w:t xml:space="preserve">- 缺乏系统化风控</w:t>
      </w:r>
      <w:r>
        <w:t xml:space="preserve"> </w:t>
      </w:r>
      <w:r>
        <w:t xml:space="preserve">- 合约/杠杆爆仓频发</w:t>
      </w:r>
    </w:p>
    <w:p>
      <w:pPr>
        <w:pStyle w:val="BodyText"/>
      </w:pPr>
      <w:r>
        <w:rPr>
          <w:bCs/>
          <w:b/>
        </w:rPr>
        <w:t xml:space="preserve">4. 透明度缺失</w:t>
      </w:r>
      <w:r>
        <w:t xml:space="preserve"> </w:t>
      </w:r>
      <w:r>
        <w:t xml:space="preserve">- 策略不公开，信任度低</w:t>
      </w:r>
      <w:r>
        <w:t xml:space="preserve"> </w:t>
      </w:r>
      <w:r>
        <w:t xml:space="preserve">- 收益数据可造假</w:t>
      </w:r>
      <w:r>
        <w:t xml:space="preserve"> </w:t>
      </w:r>
      <w:r>
        <w:t xml:space="preserve">- 跑路风险高</w:t>
      </w:r>
    </w:p>
    <w:bookmarkEnd w:id="22"/>
    <w:bookmarkStart w:id="23" w:name="xiami的解决方案"/>
    <w:p>
      <w:pPr>
        <w:pStyle w:val="Heading3"/>
      </w:pPr>
      <w:r>
        <w:t xml:space="preserve">1.3 XIAMI的解决方案</w:t>
      </w:r>
    </w:p>
    <w:p>
      <w:pPr>
        <w:pStyle w:val="FirstParagraph"/>
      </w:pPr>
      <w:r>
        <w:t xml:space="preserve">XIAMI通过以下方式解决上述痛点：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降低门槛</w:t>
      </w:r>
      <w:r>
        <w:t xml:space="preserve">：AI驱动的自动化策略，无需专业交易员，最小投资额$100起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信息透明</w:t>
      </w:r>
      <w:r>
        <w:t xml:space="preserve">：智能合约托管，资金安全可验证，所有交易记录上链可查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风险控制</w:t>
      </w:r>
      <w:r>
        <w:t xml:space="preserve">：多层风控体系（事前/事中/事后），智能熔断机制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收益保障</w:t>
      </w:r>
      <w:r>
        <w:t xml:space="preserve">：10+成熟策略模型，多交易所跨平台执行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第二章-项目概述与核心理念"/>
    <w:p>
      <w:pPr>
        <w:pStyle w:val="Heading2"/>
      </w:pPr>
      <w:r>
        <w:t xml:space="preserve">第二章 项目概述与核心理念</w:t>
      </w:r>
    </w:p>
    <w:bookmarkStart w:id="25" w:name="xiami是什么"/>
    <w:p>
      <w:pPr>
        <w:pStyle w:val="Heading3"/>
      </w:pPr>
      <w:r>
        <w:t xml:space="preserve">2.1 XIAMI是什么？</w:t>
      </w:r>
    </w:p>
    <w:p>
      <w:pPr>
        <w:pStyle w:val="FirstParagraph"/>
      </w:pPr>
      <w:r>
        <w:t xml:space="preserve">XIAMI是一个</w:t>
      </w:r>
      <w:r>
        <w:rPr>
          <w:bCs/>
          <w:b/>
        </w:rPr>
        <w:t xml:space="preserve">AI驱动的去中心化智能量化交易生态系统</w:t>
      </w:r>
      <w:r>
        <w:t xml:space="preserve">，旨在让普通投资者也能享受专业级量化交易的收益。系统集成了多策略量化交易、极速趋势识别、实时预警、预言机系统、流动性做市、社区管理、预测市场分析以及新币空投猎手等核心功能。</w:t>
      </w:r>
    </w:p>
    <w:p>
      <w:pPr>
        <w:pStyle w:val="BodyText"/>
      </w:pPr>
      <w:r>
        <w:rPr>
          <w:bCs/>
          <w:b/>
        </w:rPr>
        <w:t xml:space="preserve">XIAMI = AI + 量化 + DeFi + 社区</w:t>
      </w:r>
    </w:p>
    <w:bookmarkEnd w:id="25"/>
    <w:bookmarkStart w:id="26" w:name="核心理念"/>
    <w:p>
      <w:pPr>
        <w:pStyle w:val="Heading3"/>
      </w:pPr>
      <w:r>
        <w:t xml:space="preserve">2.2 核心理念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理念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阐述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民主化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让每个人都能参与专业量化交易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透明化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智能合约保证每笔交易可追溯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AI技术持续优化策略表现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投资者共同参与治理和发展</w:t>
            </w:r>
          </w:p>
        </w:tc>
      </w:tr>
    </w:tbl>
    <w:bookmarkEnd w:id="26"/>
    <w:bookmarkStart w:id="27" w:name="商业模式"/>
    <w:p>
      <w:pPr>
        <w:pStyle w:val="Heading3"/>
      </w:pPr>
      <w:r>
        <w:t xml:space="preserve">2.3 商业模式</w:t>
      </w:r>
    </w:p>
    <w:p>
      <w:pPr>
        <w:pStyle w:val="FirstParagraph"/>
      </w:pPr>
      <w:r>
        <w:t xml:space="preserve">XIAMI采用</w:t>
      </w:r>
      <w:r>
        <w:rPr>
          <w:bCs/>
          <w:b/>
        </w:rPr>
        <w:t xml:space="preserve">管理费 + 绩效费</w:t>
      </w:r>
      <w:r>
        <w:t xml:space="preserve">的双重收费模式：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投资者收益</w:t>
      </w:r>
      <w:r>
        <w:t xml:space="preserve">：75%（净利润）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平台管理费</w:t>
      </w:r>
      <w:r>
        <w:t xml:space="preserve">：5%/年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平台绩效费</w:t>
      </w:r>
      <w:r>
        <w:t xml:space="preserve">：20%（从净利润中提取）</w:t>
      </w:r>
    </w:p>
    <w:bookmarkEnd w:id="27"/>
    <w:bookmarkStart w:id="28" w:name="核心优势"/>
    <w:p>
      <w:pPr>
        <w:pStyle w:val="Heading3"/>
      </w:pPr>
      <w:r>
        <w:t xml:space="preserve">2.4 核心优势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10+趋势模型，机器学习持续优化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多交易所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Binance/Bybit/OKX/Polymarket全覆盖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主流币/套利/高频/空投全覆盖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安全透明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智能合约托管，链上可验证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极速执行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信号检测&lt;100ms，交易执行&lt;500ms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稳健收益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目标年化15%-100%，分级风险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最低$100起，类公募模式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社区治理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代币持有者参与决策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7" w:name="第三章-技术架构详解"/>
    <w:p>
      <w:pPr>
        <w:pStyle w:val="Heading2"/>
      </w:pPr>
      <w:r>
        <w:t xml:space="preserve">第三章 技术架构详解</w:t>
      </w:r>
    </w:p>
    <w:bookmarkStart w:id="30" w:name="系统架构概览"/>
    <w:p>
      <w:pPr>
        <w:pStyle w:val="Heading3"/>
      </w:pPr>
      <w:r>
        <w:t xml:space="preserve">3.1 系统架构概览</w:t>
      </w:r>
    </w:p>
    <w:p>
      <w:pPr>
        <w:pStyle w:val="FirstParagraph"/>
      </w:pPr>
      <w:r>
        <w:t xml:space="preserve">XIAMI技术架构分为四层：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用户交互层</w:t>
      </w:r>
      <w:r>
        <w:t xml:space="preserve">：Telegram Bot、Web Dashboard、Mobile App、API Service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智能合约层</w:t>
      </w:r>
      <w:r>
        <w:t xml:space="preserve">：Vault Contract、Strategy Registry、Distribution Contract、Governance Token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核心引擎层</w:t>
      </w:r>
      <w:r>
        <w:t xml:space="preserve">：数据层、AI层、执行层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数据源层</w:t>
      </w:r>
      <w:r>
        <w:t xml:space="preserve">：Binance、Bybit、OKX、Polymarket、DexScreener、Chainlink</w:t>
      </w:r>
    </w:p>
    <w:bookmarkEnd w:id="30"/>
    <w:bookmarkStart w:id="34" w:name="核心技术组件"/>
    <w:p>
      <w:pPr>
        <w:pStyle w:val="Heading3"/>
      </w:pPr>
      <w:r>
        <w:t xml:space="preserve">3.2 核心技术组件</w:t>
      </w:r>
    </w:p>
    <w:bookmarkStart w:id="31" w:name="数据聚合引擎"/>
    <w:p>
      <w:pPr>
        <w:pStyle w:val="Heading4"/>
      </w:pPr>
      <w:r>
        <w:t xml:space="preserve">3.2.1 数据聚合引擎</w:t>
      </w:r>
    </w:p>
    <w:p>
      <w:pPr>
        <w:pStyle w:val="FirstParagraph"/>
      </w:pPr>
      <w:r>
        <w:rPr>
          <w:bCs/>
          <w:b/>
        </w:rPr>
        <w:t xml:space="preserve">功能</w:t>
      </w:r>
      <w:r>
        <w:t xml:space="preserve">：整合多家交易所行情数据，进行清洗、标准化和存储</w:t>
      </w:r>
    </w:p>
    <w:p>
      <w:pPr>
        <w:pStyle w:val="BodyText"/>
      </w:pPr>
      <w:r>
        <w:rPr>
          <w:bCs/>
          <w:b/>
        </w:rPr>
        <w:t xml:space="preserve">技术实现</w:t>
      </w:r>
      <w:r>
        <w:t xml:space="preserve">：</w:t>
      </w:r>
      <w:r>
        <w:t xml:space="preserve"> </w:t>
      </w:r>
      <w:r>
        <w:t xml:space="preserve">- 使用CCXT库统一API接口</w:t>
      </w:r>
      <w:r>
        <w:t xml:space="preserve"> </w:t>
      </w:r>
      <w:r>
        <w:t xml:space="preserve">- WebSocket实时数据流推送</w:t>
      </w:r>
      <w:r>
        <w:t xml:space="preserve"> </w:t>
      </w:r>
      <w:r>
        <w:t xml:space="preserve">- Redis缓存热门交易对数据</w:t>
      </w:r>
      <w:r>
        <w:t xml:space="preserve"> </w:t>
      </w:r>
      <w:r>
        <w:t xml:space="preserve">- Kafka消息队列处理数据流</w:t>
      </w:r>
    </w:p>
    <w:p>
      <w:pPr>
        <w:pStyle w:val="BodyText"/>
      </w:pPr>
      <w:r>
        <w:rPr>
          <w:bCs/>
          <w:b/>
        </w:rPr>
        <w:t xml:space="preserve">性能指标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支持交易所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</w:t>
            </w:r>
          </w:p>
        </w:tc>
      </w:tr>
    </w:tbl>
    <w:bookmarkEnd w:id="31"/>
    <w:bookmarkStart w:id="32" w:name="ai信号引擎"/>
    <w:p>
      <w:pPr>
        <w:pStyle w:val="Heading4"/>
      </w:pPr>
      <w:r>
        <w:t xml:space="preserve">3.2.2 AI信号引擎</w:t>
      </w:r>
    </w:p>
    <w:p>
      <w:pPr>
        <w:pStyle w:val="FirstParagraph"/>
      </w:pPr>
      <w:r>
        <w:rPr>
          <w:bCs/>
          <w:b/>
        </w:rPr>
        <w:t xml:space="preserve">功能</w:t>
      </w:r>
      <w:r>
        <w:t xml:space="preserve">：基于多因子模型生成交易信号</w:t>
      </w:r>
    </w:p>
    <w:p>
      <w:pPr>
        <w:pStyle w:val="BodyText"/>
      </w:pPr>
      <w:r>
        <w:rPr>
          <w:bCs/>
          <w:b/>
        </w:rPr>
        <w:t xml:space="preserve">核心算法</w:t>
      </w:r>
      <w:r>
        <w:t xml:space="preserve">：</w:t>
      </w:r>
      <w:r>
        <w:t xml:space="preserve"> </w:t>
      </w:r>
      <w:r>
        <w:t xml:space="preserve">- 价格特征提取</w:t>
      </w:r>
      <w:r>
        <w:t xml:space="preserve"> </w:t>
      </w:r>
      <w:r>
        <w:t xml:space="preserve">- 成交量特征分析</w:t>
      </w:r>
      <w:r>
        <w:t xml:space="preserve"> </w:t>
      </w:r>
      <w:r>
        <w:t xml:space="preserve">- 技术指标计算（RSI、MACD、KDJ、布林带）</w:t>
      </w:r>
      <w:r>
        <w:t xml:space="preserve"> </w:t>
      </w:r>
      <w:r>
        <w:t xml:space="preserve">- 市场情绪分析</w:t>
      </w:r>
      <w:r>
        <w:t xml:space="preserve"> </w:t>
      </w:r>
      <w:r>
        <w:t xml:space="preserve">- 链上数据整合</w:t>
      </w:r>
      <w:r>
        <w:t xml:space="preserve"> </w:t>
      </w:r>
      <w:r>
        <w:t xml:space="preserve">- 多模型融合预测</w:t>
      </w:r>
    </w:p>
    <w:p>
      <w:pPr>
        <w:pStyle w:val="BodyText"/>
      </w:pPr>
      <w:r>
        <w:rPr>
          <w:bCs/>
          <w:b/>
        </w:rPr>
        <w:t xml:space="preserve">模型性能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夏普比率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趋势跟踪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均值回归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套利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</w:tr>
    </w:tbl>
    <w:bookmarkEnd w:id="32"/>
    <w:bookmarkStart w:id="33" w:name="交易执行引擎"/>
    <w:p>
      <w:pPr>
        <w:pStyle w:val="Heading4"/>
      </w:pPr>
      <w:r>
        <w:t xml:space="preserve">3.2.3 交易执行引擎</w:t>
      </w:r>
    </w:p>
    <w:p>
      <w:pPr>
        <w:pStyle w:val="FirstParagraph"/>
      </w:pPr>
      <w:r>
        <w:rPr>
          <w:bCs/>
          <w:b/>
        </w:rPr>
        <w:t xml:space="preserve">功能</w:t>
      </w:r>
      <w:r>
        <w:t xml:space="preserve">：安全、快速地执行交易指令</w:t>
      </w:r>
    </w:p>
    <w:p>
      <w:pPr>
        <w:pStyle w:val="BodyText"/>
      </w:pPr>
      <w:r>
        <w:rPr>
          <w:bCs/>
          <w:b/>
        </w:rPr>
        <w:t xml:space="preserve">核心特性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智能订单分割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大单拆分，减少滑点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限价单为主，市价单备用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重试机制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失败自动重试3次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熔断保护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异常立即暂停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费用优化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选择最低Gas时机</w:t>
            </w:r>
          </w:p>
        </w:tc>
      </w:tr>
    </w:tbl>
    <w:bookmarkEnd w:id="33"/>
    <w:bookmarkEnd w:id="34"/>
    <w:bookmarkStart w:id="35" w:name="支持的交易所"/>
    <w:p>
      <w:pPr>
        <w:pStyle w:val="Heading3"/>
      </w:pPr>
      <w:r>
        <w:t xml:space="preserve">3.3 支持的交易所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交易所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现货、合约、杠杆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现货、合约、杠杆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现货、合约、杠杆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预测市场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DexScreener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新币监控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DEX流动性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Raydium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PancakeSwap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BSC DEX</w:t>
            </w:r>
          </w:p>
        </w:tc>
      </w:tr>
    </w:tbl>
    <w:bookmarkEnd w:id="35"/>
    <w:bookmarkStart w:id="36" w:name="技术栈详情"/>
    <w:p>
      <w:pPr>
        <w:pStyle w:val="Heading3"/>
      </w:pPr>
      <w:r>
        <w:t xml:space="preserve">3.4 技术栈详情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智能合约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0.8.x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Polygon/BSC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量化策略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交易所API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CCXT 4.x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K8s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预言机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Chainlink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60" w:name="第四章-核心策略模块"/>
    <w:p>
      <w:pPr>
        <w:pStyle w:val="Heading2"/>
      </w:pPr>
      <w:r>
        <w:t xml:space="preserve">第四章 核心策略模块</w:t>
      </w:r>
    </w:p>
    <w:bookmarkStart w:id="38" w:name="策略体系总览"/>
    <w:p>
      <w:pPr>
        <w:pStyle w:val="Heading3"/>
      </w:pPr>
      <w:r>
        <w:t xml:space="preserve">4.1 策略体系总览</w:t>
      </w:r>
    </w:p>
    <w:p>
      <w:pPr>
        <w:pStyle w:val="FirstParagraph"/>
      </w:pPr>
      <w:r>
        <w:t xml:space="preserve">XIAMI量化引擎包含以下核心策略模块：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目标年化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主流币策略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稳健型长线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打地鼠策略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短线套利+空投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分层交易策略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渐进式建仓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声纳Pro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多模式智能交易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96-180%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多策略融合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38"/>
    <w:bookmarkStart w:id="43" w:name="主流币策略mainstream-strategy"/>
    <w:p>
      <w:pPr>
        <w:pStyle w:val="Heading3"/>
      </w:pPr>
      <w:r>
        <w:t xml:space="preserve">4.2 主流币策略（Mainstream Strategy）</w:t>
      </w:r>
    </w:p>
    <w:bookmarkStart w:id="39" w:name="策略定位"/>
    <w:p>
      <w:pPr>
        <w:pStyle w:val="Heading4"/>
      </w:pPr>
      <w:r>
        <w:t xml:space="preserve">4.2.1 策略定位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目标</w:t>
      </w:r>
      <w:r>
        <w:t xml:space="preserve">：在主流币市场获取稳健收益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适合人群</w:t>
      </w:r>
      <w:r>
        <w:t xml:space="preserve">：风险厌恶型投资者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投资周期</w:t>
      </w:r>
      <w:r>
        <w:t xml:space="preserve">：中长期（1-6个月）</w:t>
      </w:r>
    </w:p>
    <w:bookmarkEnd w:id="39"/>
    <w:bookmarkStart w:id="40" w:name="交易标的"/>
    <w:p>
      <w:pPr>
        <w:pStyle w:val="Heading4"/>
      </w:pPr>
      <w:r>
        <w:t xml:space="preserve">4.2.2 交易标的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止损线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止盈线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BTC/USDT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ETH/USDT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SOL/USDT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BNB/USDT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XRP/USDT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bookmarkEnd w:id="40"/>
    <w:bookmarkStart w:id="41" w:name="技术指标组合"/>
    <w:p>
      <w:pPr>
        <w:pStyle w:val="Heading4"/>
      </w:pPr>
      <w:r>
        <w:t xml:space="preserve">4.2.3 技术指标组合</w:t>
      </w:r>
    </w:p>
    <w:p>
      <w:pPr>
        <w:pStyle w:val="FirstParagraph"/>
      </w:pPr>
      <w:r>
        <w:rPr>
          <w:bCs/>
          <w:b/>
        </w:rPr>
        <w:t xml:space="preserve">买入信号（需满足≥3项）</w:t>
      </w:r>
      <w:r>
        <w:t xml:space="preserve">：</w:t>
      </w:r>
      <w:r>
        <w:t xml:space="preserve"> </w:t>
      </w:r>
      <w:r>
        <w:t xml:space="preserve">- RSI(14) &lt; 35 且回升中</w:t>
      </w:r>
      <w:r>
        <w:t xml:space="preserve"> </w:t>
      </w:r>
      <w:r>
        <w:t xml:space="preserve">- MACD 金叉且 DIF &gt; DEA</w:t>
      </w:r>
      <w:r>
        <w:t xml:space="preserve"> </w:t>
      </w:r>
      <w:r>
        <w:t xml:space="preserve">- 收盘价站上 20日均线</w:t>
      </w:r>
      <w:r>
        <w:t xml:space="preserve"> </w:t>
      </w:r>
      <w:r>
        <w:t xml:space="preserve">- 布林带下轨支撑</w:t>
      </w:r>
      <w:r>
        <w:t xml:space="preserve"> </w:t>
      </w:r>
      <w:r>
        <w:t xml:space="preserve">- 成交量放大 &gt; 1.5倍</w:t>
      </w:r>
    </w:p>
    <w:p>
      <w:pPr>
        <w:pStyle w:val="BodyText"/>
      </w:pPr>
      <w:r>
        <w:rPr>
          <w:bCs/>
          <w:b/>
        </w:rPr>
        <w:t xml:space="preserve">卖出信号（满足≥2项）</w:t>
      </w:r>
      <w:r>
        <w:t xml:space="preserve">：</w:t>
      </w:r>
      <w:r>
        <w:t xml:space="preserve"> </w:t>
      </w:r>
      <w:r>
        <w:t xml:space="preserve">- RSI(14) &gt; 70</w:t>
      </w:r>
      <w:r>
        <w:t xml:space="preserve"> </w:t>
      </w:r>
      <w:r>
        <w:t xml:space="preserve">- MACD 死叉</w:t>
      </w:r>
      <w:r>
        <w:t xml:space="preserve"> </w:t>
      </w:r>
      <w:r>
        <w:t xml:space="preserve">- 收盘价跌破 20日均线</w:t>
      </w:r>
      <w:r>
        <w:t xml:space="preserve"> </w:t>
      </w:r>
      <w:r>
        <w:t xml:space="preserve">- 成交量萎缩 &lt; 0.5倍</w:t>
      </w:r>
    </w:p>
    <w:bookmarkEnd w:id="41"/>
    <w:bookmarkStart w:id="42" w:name="性能指标"/>
    <w:p>
      <w:pPr>
        <w:pStyle w:val="Heading4"/>
      </w:pPr>
      <w:r>
        <w:t xml:space="preserve">4.2.4 性能指标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历史胜率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平均持仓周期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最大回撤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夏普比率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月均交易次数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</w:t>
            </w:r>
          </w:p>
        </w:tc>
      </w:tr>
    </w:tbl>
    <w:bookmarkEnd w:id="42"/>
    <w:bookmarkEnd w:id="43"/>
    <w:bookmarkStart w:id="48" w:name="打地鼠策略mole-strategy"/>
    <w:p>
      <w:pPr>
        <w:pStyle w:val="Heading3"/>
      </w:pPr>
      <w:r>
        <w:t xml:space="preserve">4.3 打地鼠策略（Mole Strategy）</w:t>
      </w:r>
    </w:p>
    <w:bookmarkStart w:id="44" w:name="策略定位-1"/>
    <w:p>
      <w:pPr>
        <w:pStyle w:val="Heading4"/>
      </w:pPr>
      <w:r>
        <w:t xml:space="preserve">4.3.1 策略定位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目标</w:t>
      </w:r>
      <w:r>
        <w:t xml:space="preserve">：捕捉短期套利机会和新币空投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适合人群</w:t>
      </w:r>
      <w:r>
        <w:t xml:space="preserve">：追求高收益投资者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投资周期</w:t>
      </w:r>
      <w:r>
        <w:t xml:space="preserve">：短线（1-7天）</w:t>
      </w:r>
    </w:p>
    <w:bookmarkEnd w:id="44"/>
    <w:bookmarkStart w:id="45" w:name="核心功能模块"/>
    <w:p>
      <w:pPr>
        <w:pStyle w:val="Heading4"/>
      </w:pPr>
      <w:r>
        <w:t xml:space="preserve">4.3.2 核心功能模块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跨交易所套利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检测Binance/Bybit/OKX价格差，锁定无风险利润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快速交易信号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5-15分钟短线操作，积少成多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成交量异动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检测大单入场，提前布局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新币空投猎手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监控新上币种，捕捉早期红利</w:t>
            </w:r>
          </w:p>
        </w:tc>
      </w:tr>
    </w:tbl>
    <w:bookmarkEnd w:id="45"/>
    <w:bookmarkStart w:id="46" w:name="套利模型"/>
    <w:p>
      <w:pPr>
        <w:pStyle w:val="Heading4"/>
      </w:pPr>
      <w:r>
        <w:t xml:space="preserve">4.3.3 套利模型</w:t>
      </w:r>
    </w:p>
    <w:p>
      <w:pPr>
        <w:pStyle w:val="FirstParagraph"/>
      </w:pPr>
      <w:r>
        <w:rPr>
          <w:bCs/>
          <w:b/>
        </w:rPr>
        <w:t xml:space="preserve">步骤1：价格监控</w:t>
      </w:r>
      <w:r>
        <w:t xml:space="preserve"> </w:t>
      </w:r>
      <w:r>
        <w:t xml:space="preserve">- 同时监控Binance、Bybit、OKX价格</w:t>
      </w:r>
    </w:p>
    <w:p>
      <w:pPr>
        <w:pStyle w:val="BodyText"/>
      </w:pPr>
      <w:r>
        <w:rPr>
          <w:bCs/>
          <w:b/>
        </w:rPr>
        <w:t xml:space="preserve">步骤2：利润计算</w:t>
      </w:r>
      <w:r>
        <w:t xml:space="preserve"> </w:t>
      </w:r>
      <w:r>
        <w:t xml:space="preserve">- 利润 = 价差 - 手续费 - 滑点</w:t>
      </w:r>
      <w:r>
        <w:t xml:space="preserve"> </w:t>
      </w:r>
      <w:r>
        <w:t xml:space="preserve">- 最小价差阈值：$20</w:t>
      </w:r>
    </w:p>
    <w:p>
      <w:pPr>
        <w:pStyle w:val="BodyText"/>
      </w:pPr>
      <w:r>
        <w:rPr>
          <w:bCs/>
          <w:b/>
        </w:rPr>
        <w:t xml:space="preserve">步骤3：执行策略</w:t>
      </w:r>
      <w:r>
        <w:t xml:space="preserve"> </w:t>
      </w:r>
      <w:r>
        <w:t xml:space="preserve">- 低价交易所买入 → 高价交易所卖出</w:t>
      </w:r>
      <w:r>
        <w:t xml:space="preserve"> </w:t>
      </w:r>
      <w:r>
        <w:t xml:space="preserve">- 同时挂单，对冲价格波动</w:t>
      </w:r>
    </w:p>
    <w:bookmarkEnd w:id="46"/>
    <w:bookmarkStart w:id="47" w:name="性能指标-1"/>
    <w:p>
      <w:pPr>
        <w:pStyle w:val="Heading4"/>
      </w:pPr>
      <w:r>
        <w:t xml:space="preserve">4.3.4 性能指标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历史胜率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平均持仓周期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30分钟-2小时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最大回撤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夏普比率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日均交易次数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</w:t>
            </w:r>
          </w:p>
        </w:tc>
      </w:tr>
    </w:tbl>
    <w:bookmarkEnd w:id="47"/>
    <w:bookmarkEnd w:id="48"/>
    <w:bookmarkStart w:id="51" w:name="分层交易策略tiered-trading"/>
    <w:p>
      <w:pPr>
        <w:pStyle w:val="Heading3"/>
      </w:pPr>
      <w:r>
        <w:t xml:space="preserve">4.4 分层交易策略（Tiered Trading）</w:t>
      </w:r>
    </w:p>
    <w:bookmarkStart w:id="49" w:name="策略定位-2"/>
    <w:p>
      <w:pPr>
        <w:pStyle w:val="Heading4"/>
      </w:pPr>
      <w:r>
        <w:t xml:space="preserve">4.4.1 策略定位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目标</w:t>
      </w:r>
      <w:r>
        <w:t xml:space="preserve">：通过渐进式建仓降低持仓成本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适合人群</w:t>
      </w:r>
      <w:r>
        <w:t xml:space="preserve">：震荡市投资者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投资周期</w:t>
      </w:r>
      <w:r>
        <w:t xml:space="preserve">：中期（2-8周）</w:t>
      </w:r>
    </w:p>
    <w:bookmarkEnd w:id="49"/>
    <w:bookmarkStart w:id="50" w:name="建仓模型"/>
    <w:p>
      <w:pPr>
        <w:pStyle w:val="Heading4"/>
      </w:pPr>
      <w:r>
        <w:t xml:space="preserve">4.4.2 建仓模型</w:t>
      </w:r>
    </w:p>
    <w:p>
      <w:pPr>
        <w:pStyle w:val="FirstParagraph"/>
      </w:pPr>
      <w:r>
        <w:t xml:space="preserve">假设：目标币种 BTC/USDT，预计总仓位 1 BTC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累计持仓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$50,000-50,500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$49,500-50,000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$49,000-49,500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$48,500-49,000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$48,000-48,500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$49,500</w:t>
            </w:r>
          </w:p>
        </w:tc>
      </w:tr>
    </w:tbl>
    <w:p>
      <w:pPr>
        <w:pStyle w:val="BodyText"/>
      </w:pPr>
      <w:r>
        <w:rPr>
          <w:bCs/>
          <w:b/>
        </w:rPr>
        <w:t xml:space="preserve">策略优势</w:t>
      </w:r>
      <w:r>
        <w:t xml:space="preserve">：</w:t>
      </w:r>
      <w:r>
        <w:t xml:space="preserve"> </w:t>
      </w:r>
      <w:r>
        <w:t xml:space="preserve">- 均价低于单笔买入 2-5%</w:t>
      </w:r>
      <w:r>
        <w:t xml:space="preserve"> </w:t>
      </w:r>
      <w:r>
        <w:t xml:space="preserve">- 下跌空间有限，最大亏损可控制</w:t>
      </w:r>
      <w:r>
        <w:t xml:space="preserve"> </w:t>
      </w:r>
      <w:r>
        <w:t xml:space="preserve">- 适合震荡筑底行情</w:t>
      </w:r>
    </w:p>
    <w:bookmarkEnd w:id="50"/>
    <w:bookmarkEnd w:id="51"/>
    <w:bookmarkStart w:id="55" w:name="声纳-pro-v3sonar-pro"/>
    <w:p>
      <w:pPr>
        <w:pStyle w:val="Heading3"/>
      </w:pPr>
      <w:r>
        <w:t xml:space="preserve">4.5 声纳 Pro V3（Sonar Pro）</w:t>
      </w:r>
    </w:p>
    <w:bookmarkStart w:id="52" w:name="策略定位-3"/>
    <w:p>
      <w:pPr>
        <w:pStyle w:val="Heading4"/>
      </w:pPr>
      <w:r>
        <w:t xml:space="preserve">4.5.1 策略定位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目标</w:t>
      </w:r>
      <w:r>
        <w:t xml:space="preserve">：多模式智能交易，追求超额收益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适合人群</w:t>
      </w:r>
      <w:r>
        <w:t xml:space="preserve">：激进型投资者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投资周期</w:t>
      </w:r>
      <w:r>
        <w:t xml:space="preserve">：中短线（3-30天）</w:t>
      </w:r>
    </w:p>
    <w:bookmarkEnd w:id="52"/>
    <w:bookmarkStart w:id="53" w:name="核心特性"/>
    <w:p>
      <w:pPr>
        <w:pStyle w:val="Heading4"/>
      </w:pPr>
      <w:r>
        <w:t xml:space="preserve">4.5.2 核心特性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多数据源聚合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 + Bybit + OKX 实时数据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10+趋势形态识别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头肩顶/底、双顶/底、三角整理、突破回踩等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多因子评分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趋势、动量、成交量、波动率四维评估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置信度5-10分对应3%-20%仓位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动态止盈止损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根据波动率自动调整</w:t>
            </w:r>
          </w:p>
        </w:tc>
      </w:tr>
    </w:tbl>
    <w:bookmarkEnd w:id="53"/>
    <w:bookmarkStart w:id="54" w:name="信号评分模型0-10分"/>
    <w:p>
      <w:pPr>
        <w:pStyle w:val="Heading4"/>
      </w:pPr>
      <w:r>
        <w:t xml:space="preserve">4.5.3 信号评分模型（0-10分）</w:t>
      </w:r>
    </w:p>
    <w:p>
      <w:pPr>
        <w:pStyle w:val="FirstParagraph"/>
      </w:pPr>
      <w:r>
        <w:rPr>
          <w:bCs/>
          <w:b/>
        </w:rPr>
        <w:t xml:space="preserve">评分维度及权重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趋势强度因子 (30%)</w:t>
      </w:r>
    </w:p>
    <w:p>
      <w:pPr>
        <w:numPr>
          <w:ilvl w:val="1"/>
          <w:numId w:val="1010"/>
        </w:numPr>
        <w:pStyle w:val="Compact"/>
      </w:pPr>
      <w:r>
        <w:t xml:space="preserve">均线多头排列：+2分</w:t>
      </w:r>
    </w:p>
    <w:p>
      <w:pPr>
        <w:numPr>
          <w:ilvl w:val="1"/>
          <w:numId w:val="1010"/>
        </w:numPr>
        <w:pStyle w:val="Compact"/>
      </w:pPr>
      <w:r>
        <w:t xml:space="preserve">价格站上均线：+1分</w:t>
      </w:r>
    </w:p>
    <w:p>
      <w:pPr>
        <w:numPr>
          <w:ilvl w:val="1"/>
          <w:numId w:val="1010"/>
        </w:numPr>
        <w:pStyle w:val="Compact"/>
      </w:pPr>
      <w:r>
        <w:t xml:space="preserve">趋势斜率 &gt; 45°：+1分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动量因子 (25%)</w:t>
      </w:r>
    </w:p>
    <w:p>
      <w:pPr>
        <w:numPr>
          <w:ilvl w:val="1"/>
          <w:numId w:val="1011"/>
        </w:numPr>
        <w:pStyle w:val="Compact"/>
      </w:pPr>
      <w:r>
        <w:t xml:space="preserve">RSI 30-70 区间：+1分</w:t>
      </w:r>
    </w:p>
    <w:p>
      <w:pPr>
        <w:numPr>
          <w:ilvl w:val="1"/>
          <w:numId w:val="1011"/>
        </w:numPr>
        <w:pStyle w:val="Compact"/>
      </w:pPr>
      <w:r>
        <w:t xml:space="preserve">RSI &lt; 30 超卖：+2分</w:t>
      </w:r>
    </w:p>
    <w:p>
      <w:pPr>
        <w:numPr>
          <w:ilvl w:val="1"/>
          <w:numId w:val="1011"/>
        </w:numPr>
        <w:pStyle w:val="Compact"/>
      </w:pPr>
      <w:r>
        <w:t xml:space="preserve">MACD 金叉：+2分</w:t>
      </w:r>
    </w:p>
    <w:p>
      <w:pPr>
        <w:numPr>
          <w:ilvl w:val="1"/>
          <w:numId w:val="1011"/>
        </w:numPr>
        <w:pStyle w:val="Compact"/>
      </w:pPr>
      <w:r>
        <w:t xml:space="preserve">MACD 能量柱放大：+1分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成交量因子 (25%)</w:t>
      </w:r>
    </w:p>
    <w:p>
      <w:pPr>
        <w:numPr>
          <w:ilvl w:val="1"/>
          <w:numId w:val="1012"/>
        </w:numPr>
        <w:pStyle w:val="Compact"/>
      </w:pPr>
      <w:r>
        <w:t xml:space="preserve">成交量 &gt; 5日均量 1.5倍：+2分</w:t>
      </w:r>
    </w:p>
    <w:p>
      <w:pPr>
        <w:numPr>
          <w:ilvl w:val="1"/>
          <w:numId w:val="1012"/>
        </w:numPr>
        <w:pStyle w:val="Compact"/>
      </w:pPr>
      <w:r>
        <w:t xml:space="preserve">成交量 &gt; 20日均量 2倍：+2分</w:t>
      </w:r>
    </w:p>
    <w:p>
      <w:pPr>
        <w:numPr>
          <w:ilvl w:val="1"/>
          <w:numId w:val="1012"/>
        </w:numPr>
        <w:pStyle w:val="Compact"/>
      </w:pPr>
      <w:r>
        <w:t xml:space="preserve">主力资金净流入：+1分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波动率因子 (20%)</w:t>
      </w:r>
    </w:p>
    <w:p>
      <w:pPr>
        <w:numPr>
          <w:ilvl w:val="1"/>
          <w:numId w:val="1013"/>
        </w:numPr>
        <w:pStyle w:val="Compact"/>
      </w:pPr>
      <w:r>
        <w:t xml:space="preserve">波动率适中 (2-5%)：+2分</w:t>
      </w:r>
    </w:p>
    <w:p>
      <w:pPr>
        <w:numPr>
          <w:ilvl w:val="1"/>
          <w:numId w:val="1013"/>
        </w:numPr>
        <w:pStyle w:val="Compact"/>
      </w:pPr>
      <w:r>
        <w:t xml:space="preserve">布林带收口：+1分</w:t>
      </w:r>
    </w:p>
    <w:p>
      <w:pPr>
        <w:numPr>
          <w:ilvl w:val="1"/>
          <w:numId w:val="1013"/>
        </w:numPr>
        <w:pStyle w:val="Compact"/>
      </w:pPr>
      <w:r>
        <w:t xml:space="preserve">突破布林上轨：+1分</w:t>
      </w:r>
    </w:p>
    <w:p>
      <w:pPr>
        <w:pStyle w:val="FirstParagraph"/>
      </w:pPr>
      <w:r>
        <w:rPr>
          <w:bCs/>
          <w:b/>
        </w:rPr>
        <w:t xml:space="preserve">执行规则</w:t>
      </w:r>
      <w:r>
        <w:t xml:space="preserve">：</w:t>
      </w:r>
      <w:r>
        <w:t xml:space="preserve"> </w:t>
      </w:r>
      <w:r>
        <w:t xml:space="preserve">- 评分 ≥ 5分：可执行建仓</w:t>
      </w:r>
      <w:r>
        <w:t xml:space="preserve"> </w:t>
      </w:r>
      <w:r>
        <w:t xml:space="preserve">- 评分 ≥ 8分：重仓执行 (15-20%)</w:t>
      </w:r>
      <w:r>
        <w:t xml:space="preserve"> </w:t>
      </w:r>
      <w:r>
        <w:t xml:space="preserve">- 评分 &lt; 3分：禁止开仓</w:t>
      </w:r>
      <w:r>
        <w:t xml:space="preserve"> </w:t>
      </w:r>
      <w:r>
        <w:t xml:space="preserve">- 信号衰减 &gt; 30%：自动平仓</w:t>
      </w:r>
    </w:p>
    <w:bookmarkEnd w:id="54"/>
    <w:bookmarkEnd w:id="55"/>
    <w:bookmarkStart w:id="58" w:name="统一策略unified-strategy"/>
    <w:p>
      <w:pPr>
        <w:pStyle w:val="Heading3"/>
      </w:pPr>
      <w:r>
        <w:t xml:space="preserve">4.6 统一策略（Unified Strategy）</w:t>
      </w:r>
    </w:p>
    <w:bookmarkStart w:id="56" w:name="策略定位-4"/>
    <w:p>
      <w:pPr>
        <w:pStyle w:val="Heading4"/>
      </w:pPr>
      <w:r>
        <w:t xml:space="preserve">4.6.1 策略定位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目标</w:t>
      </w:r>
      <w:r>
        <w:t xml:space="preserve">：融合多策略优势，综合决策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适合人群</w:t>
      </w:r>
      <w:r>
        <w:t xml:space="preserve">：平衡型投资者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投资周期</w:t>
      </w:r>
      <w:r>
        <w:t xml:space="preserve">：全天候</w:t>
      </w:r>
    </w:p>
    <w:bookmarkEnd w:id="56"/>
    <w:bookmarkStart w:id="57" w:name="融合机制"/>
    <w:p>
      <w:pPr>
        <w:pStyle w:val="Heading4"/>
      </w:pPr>
      <w:r>
        <w:t xml:space="preserve">4.6.2 融合机制</w:t>
      </w:r>
    </w:p>
    <w:p>
      <w:pPr>
        <w:numPr>
          <w:ilvl w:val="0"/>
          <w:numId w:val="1015"/>
        </w:numPr>
        <w:pStyle w:val="Compact"/>
      </w:pPr>
      <w:r>
        <w:t xml:space="preserve">融合主流币、打地鼠、声纳Pro三路信号</w:t>
      </w:r>
    </w:p>
    <w:p>
      <w:pPr>
        <w:numPr>
          <w:ilvl w:val="0"/>
          <w:numId w:val="1015"/>
        </w:numPr>
        <w:pStyle w:val="Compact"/>
      </w:pPr>
      <w:r>
        <w:t xml:space="preserve">根据市场状态动态调整权重</w:t>
      </w:r>
    </w:p>
    <w:p>
      <w:pPr>
        <w:numPr>
          <w:ilvl w:val="0"/>
          <w:numId w:val="1015"/>
        </w:numPr>
        <w:pStyle w:val="Compact"/>
      </w:pPr>
      <w:r>
        <w:t xml:space="preserve">牛市：40/30/30（主流/打地鼠/声纳）</w:t>
      </w:r>
    </w:p>
    <w:p>
      <w:pPr>
        <w:numPr>
          <w:ilvl w:val="0"/>
          <w:numId w:val="1015"/>
        </w:numPr>
        <w:pStyle w:val="Compact"/>
      </w:pPr>
      <w:r>
        <w:t xml:space="preserve">震荡市：20/40/40</w:t>
      </w:r>
    </w:p>
    <w:p>
      <w:pPr>
        <w:numPr>
          <w:ilvl w:val="0"/>
          <w:numId w:val="1015"/>
        </w:numPr>
        <w:pStyle w:val="Compact"/>
      </w:pPr>
      <w:r>
        <w:t xml:space="preserve">熊市：30/20/50</w:t>
      </w:r>
    </w:p>
    <w:bookmarkEnd w:id="57"/>
    <w:bookmarkEnd w:id="58"/>
    <w:bookmarkStart w:id="59" w:name="策略性能对比"/>
    <w:p>
      <w:pPr>
        <w:pStyle w:val="Heading3"/>
      </w:pPr>
      <w:r>
        <w:t xml:space="preserve">4.7 策略性能对比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胜率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最大回撤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适合行情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主流币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牛市/长线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打地鼠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震荡/短线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分层交易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震荡市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声纳Pro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96-180%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趋势行情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全行情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第五章-风险管理体系"/>
    <w:p>
      <w:pPr>
        <w:pStyle w:val="Heading2"/>
      </w:pPr>
      <w:r>
        <w:t xml:space="preserve">第五章 风险管理体系</w:t>
      </w:r>
    </w:p>
    <w:bookmarkStart w:id="61" w:name="风控架构"/>
    <w:p>
      <w:pPr>
        <w:pStyle w:val="Heading3"/>
      </w:pPr>
      <w:r>
        <w:t xml:space="preserve">5.1 风控架构</w:t>
      </w:r>
    </w:p>
    <w:p>
      <w:pPr>
        <w:pStyle w:val="FirstParagraph"/>
      </w:pPr>
      <w:r>
        <w:t xml:space="preserve">XIAMI采用</w:t>
      </w:r>
      <w:r>
        <w:rPr>
          <w:bCs/>
          <w:b/>
        </w:rPr>
        <w:t xml:space="preserve">三层九维</w:t>
      </w:r>
      <w:r>
        <w:t xml:space="preserve">风控体系：</w:t>
      </w:r>
    </w:p>
    <w:p>
      <w:pPr>
        <w:pStyle w:val="BodyText"/>
      </w:pPr>
      <w:r>
        <w:rPr>
          <w:bCs/>
          <w:b/>
        </w:rPr>
        <w:t xml:space="preserve">事前风控</w:t>
      </w:r>
      <w:r>
        <w:t xml:space="preserve">：</w:t>
      </w:r>
      <w:r>
        <w:t xml:space="preserve"> </w:t>
      </w:r>
      <w:r>
        <w:t xml:space="preserve">- 策略准入审核：新策略回测合格后方可上线</w:t>
      </w:r>
      <w:r>
        <w:t xml:space="preserve"> </w:t>
      </w:r>
      <w:r>
        <w:t xml:space="preserve">- 仓位限制检查：单币种 ≤20%仓位</w:t>
      </w:r>
      <w:r>
        <w:t xml:space="preserve"> </w:t>
      </w:r>
      <w:r>
        <w:t xml:space="preserve">- 风险评级匹配：按风险等级分配策略</w:t>
      </w:r>
    </w:p>
    <w:p>
      <w:pPr>
        <w:pStyle w:val="BodyText"/>
      </w:pPr>
      <w:r>
        <w:rPr>
          <w:bCs/>
          <w:b/>
        </w:rPr>
        <w:t xml:space="preserve">事中风控</w:t>
      </w:r>
      <w:r>
        <w:t xml:space="preserve">：</w:t>
      </w:r>
      <w:r>
        <w:t xml:space="preserve"> </w:t>
      </w:r>
      <w:r>
        <w:t xml:space="preserve">- 实时监控：7×24h价格/仓位/盈亏监控</w:t>
      </w:r>
      <w:r>
        <w:t xml:space="preserve"> </w:t>
      </w:r>
      <w:r>
        <w:t xml:space="preserve">- 动态止损：触及止损线自动平仓</w:t>
      </w:r>
      <w:r>
        <w:t xml:space="preserve"> </w:t>
      </w:r>
      <w:r>
        <w:t xml:space="preserve">- 熔断机制：异常波动立即暂停</w:t>
      </w:r>
    </w:p>
    <w:p>
      <w:pPr>
        <w:pStyle w:val="BodyText"/>
      </w:pPr>
      <w:r>
        <w:rPr>
          <w:bCs/>
          <w:b/>
        </w:rPr>
        <w:t xml:space="preserve">事后风控</w:t>
      </w:r>
      <w:r>
        <w:t xml:space="preserve">：</w:t>
      </w:r>
      <w:r>
        <w:t xml:space="preserve"> </w:t>
      </w:r>
      <w:r>
        <w:t xml:space="preserve">- 复盘分析：每笔交易记录分析</w:t>
      </w:r>
      <w:r>
        <w:t xml:space="preserve"> </w:t>
      </w:r>
      <w:r>
        <w:t xml:space="preserve">- 策略优化：持续迭代优化</w:t>
      </w:r>
      <w:r>
        <w:t xml:space="preserve"> </w:t>
      </w:r>
      <w:r>
        <w:t xml:space="preserve">- 绩效评估：定期业绩评估与报告</w:t>
      </w:r>
    </w:p>
    <w:bookmarkEnd w:id="61"/>
    <w:bookmarkStart w:id="62" w:name="风险控制参数"/>
    <w:p>
      <w:pPr>
        <w:pStyle w:val="Heading3"/>
      </w:pPr>
      <w:r>
        <w:t xml:space="preserve">5.2 风险控制参数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单日最大亏损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触发熔断，暂停交易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单策略最大亏损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自动暂停该策略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最大持仓数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分散风险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单币种最大仓位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防止集中风险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杠杆上限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合约交易限制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止损线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根据策略类型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止盈线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根据策略类型</w:t>
            </w:r>
          </w:p>
        </w:tc>
      </w:tr>
    </w:tbl>
    <w:bookmarkEnd w:id="62"/>
    <w:bookmarkStart w:id="63" w:name="熔断机制"/>
    <w:p>
      <w:pPr>
        <w:pStyle w:val="Heading3"/>
      </w:pPr>
      <w:r>
        <w:t xml:space="preserve">5.3 熔断机制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日亏损 &gt;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警告，减小仓位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日亏损 &gt;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熔断，暂停开仓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单策略亏损 &gt;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连续3天亏损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全面复盘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交易所连接失败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自动切换备用交易所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第六章-盈利模型与收益分配"/>
    <w:p>
      <w:pPr>
        <w:pStyle w:val="Heading2"/>
      </w:pPr>
      <w:r>
        <w:t xml:space="preserve">第六章 盈利模型与收益分配</w:t>
      </w:r>
    </w:p>
    <w:bookmarkStart w:id="65" w:name="收益分配机制"/>
    <w:p>
      <w:pPr>
        <w:pStyle w:val="Heading3"/>
      </w:pPr>
      <w:r>
        <w:t xml:space="preserve">6.1 收益分配机制</w:t>
      </w:r>
    </w:p>
    <w:p>
      <w:pPr>
        <w:pStyle w:val="SourceCode"/>
      </w:pPr>
      <w:r>
        <w:rPr>
          <w:rStyle w:val="VerbatimChar"/>
        </w:rPr>
        <w:t xml:space="preserve">投资者投资金额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75% ──→ 投资者 (返还本金 + 75% 收益)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5%  ──→ 平台管理费 (年化)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20% ──→ 绩效费 (从净利润中提取)</w:t>
      </w:r>
    </w:p>
    <w:bookmarkEnd w:id="65"/>
    <w:bookmarkStart w:id="66" w:name="预期收益表"/>
    <w:p>
      <w:pPr>
        <w:pStyle w:val="Heading3"/>
      </w:pPr>
      <w:r>
        <w:t xml:space="preserve">6.2 预期收益表</w:t>
      </w:r>
    </w:p>
    <w:p>
      <w:pPr>
        <w:pStyle w:val="FirstParagraph"/>
      </w:pPr>
      <w:r>
        <w:rPr>
          <w:bCs/>
          <w:b/>
        </w:rPr>
        <w:t xml:space="preserve">投资 $1,000 预期收益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投资池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保守月化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中性月化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乐观月化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年化收益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稳健型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12%-36%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24%-72%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激进型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48%-144%</w:t>
            </w:r>
          </w:p>
        </w:tc>
      </w:tr>
    </w:tbl>
    <w:bookmarkEnd w:id="66"/>
    <w:bookmarkStart w:id="67" w:name="平台收入预估"/>
    <w:p>
      <w:pPr>
        <w:pStyle w:val="Heading3"/>
      </w:pPr>
      <w:r>
        <w:t xml:space="preserve">6.3 平台收入预估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管理规模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年管理费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年绩效费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年总收入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$2,500,000</w:t>
            </w:r>
          </w:p>
        </w:tc>
      </w:tr>
    </w:tbl>
    <w:bookmarkEnd w:id="67"/>
    <w:bookmarkStart w:id="68" w:name="回本周期"/>
    <w:p>
      <w:pPr>
        <w:pStyle w:val="Heading3"/>
      </w:pPr>
      <w:r>
        <w:t xml:space="preserve">6.4 回本周期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投资池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最低投资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预计回本周期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稳健型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激进型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个月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第七章-投资池设计"/>
    <w:p>
      <w:pPr>
        <w:pStyle w:val="Heading2"/>
      </w:pPr>
      <w:r>
        <w:t xml:space="preserve">第七章 投资池设计</w:t>
      </w:r>
    </w:p>
    <w:bookmarkStart w:id="70" w:name="三种风险等级池"/>
    <w:p>
      <w:pPr>
        <w:pStyle w:val="Heading3"/>
      </w:pPr>
      <w:r>
        <w:t xml:space="preserve">7.1 三种风险等级池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池类型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目标年化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最低投资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稳健型池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主流币 + 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平衡型池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多策略组合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激进型池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声纳Pro + 套利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</w:tr>
    </w:tbl>
    <w:bookmarkEnd w:id="70"/>
    <w:bookmarkStart w:id="71" w:name="池特性对比"/>
    <w:p>
      <w:pPr>
        <w:pStyle w:val="Heading3"/>
      </w:pPr>
      <w:r>
        <w:t xml:space="preserve">7.2 池特性对比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稳健型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激进型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风险等级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预期月化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最大回撤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锁定期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赎回费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策略数量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杠杆使用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2-3x</w:t>
            </w:r>
          </w:p>
        </w:tc>
      </w:tr>
    </w:tbl>
    <w:bookmarkEnd w:id="71"/>
    <w:bookmarkStart w:id="72" w:name="投资流程"/>
    <w:p>
      <w:pPr>
        <w:pStyle w:val="Heading3"/>
      </w:pPr>
      <w:r>
        <w:t xml:space="preserve">7.3 投资流程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连接钱包</w:t>
      </w:r>
      <w:r>
        <w:t xml:space="preserve">：MetaMask / WalletConnect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KYC验证</w:t>
      </w:r>
      <w:r>
        <w:t xml:space="preserve">：邮箱验证（小额）/ 身份验证（大额）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选择投资池</w:t>
      </w:r>
      <w:r>
        <w:t xml:space="preserve">：稳健型 / 平衡型 / 激进型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存入资金</w:t>
      </w:r>
      <w:r>
        <w:t xml:space="preserve">：支持 USDT, USDC, ETH, BNB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获得凭证</w:t>
      </w:r>
      <w:r>
        <w:t xml:space="preserve">：xftUSDT（投资凭证）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收益追踪</w:t>
      </w:r>
      <w:r>
        <w:t xml:space="preserve">：实时dashboard查看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第八章-智能合约机制"/>
    <w:p>
      <w:pPr>
        <w:pStyle w:val="Heading2"/>
      </w:pPr>
      <w:r>
        <w:t xml:space="preserve">第八章 智能合约机制</w:t>
      </w:r>
    </w:p>
    <w:bookmarkStart w:id="74" w:name="合约架构"/>
    <w:p>
      <w:pPr>
        <w:pStyle w:val="Heading3"/>
      </w:pPr>
      <w:r>
        <w:t xml:space="preserve">8.1 合约架构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合约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XIAMIToken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代币发行、质押机制、投票治理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资金托管、份额计算、存取管理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策略注册、业绩记录、绩效结算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收益计算、自动分账、赎回处理</w:t>
            </w:r>
          </w:p>
        </w:tc>
      </w:tr>
    </w:tbl>
    <w:bookmarkEnd w:id="74"/>
    <w:bookmarkStart w:id="75" w:name="资金流向"/>
    <w:p>
      <w:pPr>
        <w:pStyle w:val="Heading3"/>
      </w:pPr>
      <w:r>
        <w:t xml:space="preserve">8.2 资金流向</w:t>
      </w:r>
    </w:p>
    <w:p>
      <w:pPr>
        <w:pStyle w:val="SourceCode"/>
      </w:pPr>
      <w:r>
        <w:rPr>
          <w:rStyle w:val="VerbatimChar"/>
        </w:rPr>
        <w:t xml:space="preserve">用户充值 USDT/USDC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Vault Contract  │</w:t>
      </w:r>
      <w:r>
        <w:br/>
      </w:r>
      <w:r>
        <w:rPr>
          <w:rStyle w:val="VerbatimChar"/>
        </w:rPr>
        <w:t xml:space="preserve">│  (智能合约托管)  │</w:t>
      </w:r>
      <w:r>
        <w:br/>
      </w:r>
      <w:r>
        <w:rPr>
          <w:rStyle w:val="VerbatimChar"/>
        </w:rPr>
        <w:t xml:space="preserve">└──────────────────┘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├──────────┬──────────┐</w:t>
      </w:r>
      <w:r>
        <w:br/>
      </w:r>
      <w:r>
        <w:rPr>
          <w:rStyle w:val="VerbatimChar"/>
        </w:rPr>
        <w:t xml:space="preserve">       ▼          ▼          ▼</w:t>
      </w:r>
      <w:r>
        <w:br/>
      </w:r>
      <w:r>
        <w:rPr>
          <w:rStyle w:val="VerbatimChar"/>
        </w:rPr>
        <w:t xml:space="preserve">  稳健型池    平衡型池    激进型池</w:t>
      </w:r>
      <w:r>
        <w:br/>
      </w:r>
      <w:r>
        <w:rPr>
          <w:rStyle w:val="VerbatimChar"/>
        </w:rPr>
        <w:t xml:space="preserve">       │          │          │</w:t>
      </w:r>
      <w:r>
        <w:br/>
      </w:r>
      <w:r>
        <w:rPr>
          <w:rStyle w:val="VerbatimChar"/>
        </w:rPr>
        <w:t xml:space="preserve">       └──────────┴──────────┘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XIAMI 量化  │</w:t>
      </w:r>
      <w:r>
        <w:br/>
      </w:r>
      <w:r>
        <w:rPr>
          <w:rStyle w:val="VerbatimChar"/>
        </w:rPr>
        <w:t xml:space="preserve">        │ 引擎执行    │</w:t>
      </w:r>
      <w:r>
        <w:br/>
      </w:r>
      <w:r>
        <w:rPr>
          <w:rStyle w:val="VerbatimChar"/>
        </w:rPr>
        <w:t xml:space="preserve">        └─────────────┘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┌─────────┴─────────┐</w:t>
      </w:r>
      <w:r>
        <w:br/>
      </w:r>
      <w:r>
        <w:rPr>
          <w:rStyle w:val="VerbatimChar"/>
        </w:rPr>
        <w:t xml:space="preserve">       ▼                   ▼</w:t>
      </w:r>
      <w:r>
        <w:br/>
      </w:r>
      <w:r>
        <w:rPr>
          <w:rStyle w:val="VerbatimChar"/>
        </w:rPr>
        <w:t xml:space="preserve">   投资收益            投资损失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└─────────┬─────────┘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收益分配   │</w:t>
      </w:r>
      <w:r>
        <w:br/>
      </w:r>
      <w:r>
        <w:rPr>
          <w:rStyle w:val="VerbatimChar"/>
        </w:rPr>
        <w:t xml:space="preserve">        │   (T+1)    │</w:t>
      </w:r>
      <w:r>
        <w:br/>
      </w:r>
      <w:r>
        <w:rPr>
          <w:rStyle w:val="VerbatimChar"/>
        </w:rPr>
        <w:t xml:space="preserve">        └─────────────┘</w:t>
      </w:r>
    </w:p>
    <w:bookmarkEnd w:id="75"/>
    <w:bookmarkStart w:id="76" w:name="安全机制"/>
    <w:p>
      <w:pPr>
        <w:pStyle w:val="Heading3"/>
      </w:pPr>
      <w:r>
        <w:t xml:space="preserve">8.3 安全机制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多签钱包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 多签，大额操作需多方授权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重要参数修改需 24-48 小时生效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异常情况可立即暂停所有操作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双重审计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上线前通过两家审计公司审计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合约可升级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保留升级能力，兼顾安全与演进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冷钱包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大额资金离线存储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1" w:name="第九章-运营体系"/>
    <w:p>
      <w:pPr>
        <w:pStyle w:val="Heading2"/>
      </w:pPr>
      <w:r>
        <w:t xml:space="preserve">第九章 运营体系</w:t>
      </w:r>
    </w:p>
    <w:bookmarkStart w:id="78" w:name="telegram-bot-交互"/>
    <w:p>
      <w:pPr>
        <w:pStyle w:val="Heading3"/>
      </w:pPr>
      <w:r>
        <w:t xml:space="preserve">9.1 Telegram Bot 交互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启动机器人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查看账户余额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查看投资池信息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查看当前收益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/战绩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查看历史业绩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帮助信息</w:t>
            </w:r>
          </w:p>
        </w:tc>
      </w:tr>
    </w:tbl>
    <w:bookmarkEnd w:id="78"/>
    <w:bookmarkStart w:id="79" w:name="dashboard-功能"/>
    <w:p>
      <w:pPr>
        <w:pStyle w:val="Heading3"/>
      </w:pPr>
      <w:r>
        <w:t xml:space="preserve">9.2 Dashboard 功能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总览资产、收益、持仓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存入/赎回、切换池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查看所有交易明细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业绩报告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月/季/年度报告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通知偏好、安全设置</w:t>
            </w:r>
          </w:p>
        </w:tc>
      </w:tr>
    </w:tbl>
    <w:bookmarkEnd w:id="79"/>
    <w:bookmarkStart w:id="80" w:name="社区计划"/>
    <w:p>
      <w:pPr>
        <w:pStyle w:val="Heading3"/>
      </w:pPr>
      <w:r>
        <w:t xml:space="preserve">9.3 社区计划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 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 粉丝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 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4" w:name="第十章-合规与安全"/>
    <w:p>
      <w:pPr>
        <w:pStyle w:val="Heading2"/>
      </w:pPr>
      <w:r>
        <w:t xml:space="preserve">第十章 合规与安全</w:t>
      </w:r>
    </w:p>
    <w:bookmarkStart w:id="82" w:name="合规措施"/>
    <w:p>
      <w:pPr>
        <w:pStyle w:val="Heading3"/>
      </w:pPr>
      <w:r>
        <w:t xml:space="preserve">10.1 合规措施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KYC/AML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大额投资需要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地区限制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禁止地区除外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税务报告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年度收益报告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定期第三方审计</w:t>
            </w:r>
          </w:p>
        </w:tc>
      </w:tr>
    </w:tbl>
    <w:bookmarkEnd w:id="82"/>
    <w:bookmarkStart w:id="83" w:name="安全措施"/>
    <w:p>
      <w:pPr>
        <w:pStyle w:val="Heading3"/>
      </w:pPr>
      <w:r>
        <w:t xml:space="preserve">10.2 安全措施</w:t>
      </w:r>
    </w:p>
    <w:p>
      <w:pPr>
        <w:numPr>
          <w:ilvl w:val="0"/>
          <w:numId w:val="1017"/>
        </w:numPr>
        <w:pStyle w:val="Compact"/>
      </w:pPr>
      <w:r>
        <w:t xml:space="preserve">多签钱包管理</w:t>
      </w:r>
    </w:p>
    <w:p>
      <w:pPr>
        <w:numPr>
          <w:ilvl w:val="0"/>
          <w:numId w:val="1017"/>
        </w:numPr>
        <w:pStyle w:val="Compact"/>
      </w:pPr>
      <w:r>
        <w:t xml:space="preserve">双重审计</w:t>
      </w:r>
    </w:p>
    <w:p>
      <w:pPr>
        <w:numPr>
          <w:ilvl w:val="0"/>
          <w:numId w:val="1017"/>
        </w:numPr>
        <w:pStyle w:val="Compact"/>
      </w:pPr>
      <w:r>
        <w:t xml:space="preserve">合约可升级</w:t>
      </w:r>
    </w:p>
    <w:p>
      <w:pPr>
        <w:numPr>
          <w:ilvl w:val="0"/>
          <w:numId w:val="1017"/>
        </w:numPr>
        <w:pStyle w:val="Compact"/>
      </w:pPr>
      <w:r>
        <w:t xml:space="preserve">紧急暂停机制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第十一章-团队介绍"/>
    <w:p>
      <w:pPr>
        <w:pStyle w:val="Heading2"/>
      </w:pPr>
      <w:r>
        <w:t xml:space="preserve">第十一章 团队介绍</w:t>
      </w:r>
    </w:p>
    <w:bookmarkStart w:id="85" w:name="团队构成"/>
    <w:p>
      <w:pPr>
        <w:pStyle w:val="Heading3"/>
      </w:pPr>
      <w:r>
        <w:t xml:space="preserve">11.1 团队构成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创始人/CEO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战略规划、融资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量化团队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策略开发、回测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智能合约、前后端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运营团队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社区、市场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合规、技术咨询</w:t>
            </w:r>
          </w:p>
        </w:tc>
      </w:tr>
    </w:tbl>
    <w:bookmarkEnd w:id="85"/>
    <w:bookmarkStart w:id="86" w:name="激励机制"/>
    <w:p>
      <w:pPr>
        <w:pStyle w:val="Heading3"/>
      </w:pPr>
      <w:r>
        <w:t xml:space="preserve">11.2 激励机制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社区大使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$500-2000 + 代币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策略贡献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收益分成 5-10%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代币奖励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0" w:name="第十二章-发展路线图"/>
    <w:p>
      <w:pPr>
        <w:pStyle w:val="Heading2"/>
      </w:pPr>
      <w:r>
        <w:t xml:space="preserve">第十二章 发展路线图</w:t>
      </w:r>
    </w:p>
    <w:bookmarkStart w:id="88" w:name="时间线"/>
    <w:p>
      <w:pPr>
        <w:pStyle w:val="Heading3"/>
      </w:pPr>
      <w:r>
        <w:t xml:space="preserve">12.1 时间线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策略开发完成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模拟交易达标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智能合约完成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公开募资 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资管规模 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</w:tr>
    </w:tbl>
    <w:bookmarkEnd w:id="88"/>
    <w:bookmarkStart w:id="89" w:name="里程碑"/>
    <w:p>
      <w:pPr>
        <w:pStyle w:val="Heading3"/>
      </w:pPr>
      <w:r>
        <w:t xml:space="preserve">12.2 里程碑</w:t>
      </w:r>
    </w:p>
    <w:p>
      <w:pPr>
        <w:pStyle w:val="SourceCode"/>
      </w:pPr>
      <w:r>
        <w:rPr>
          <w:rStyle w:val="VerbatimChar"/>
        </w:rPr>
        <w:t xml:space="preserve">2026 Q1: 测试迭代</w:t>
      </w:r>
      <w:r>
        <w:br/>
      </w:r>
      <w:r>
        <w:rPr>
          <w:rStyle w:val="VerbatimChar"/>
        </w:rPr>
        <w:t xml:space="preserve">- XIAMI 量化策略开发完成</w:t>
      </w:r>
      <w:r>
        <w:br/>
      </w:r>
      <w:r>
        <w:rPr>
          <w:rStyle w:val="VerbatimChar"/>
        </w:rPr>
        <w:t xml:space="preserve">- 多交易所对接 (Binance, Bybit, OKX)</w:t>
      </w:r>
      <w:r>
        <w:br/>
      </w:r>
      <w:r>
        <w:rPr>
          <w:rStyle w:val="VerbatimChar"/>
        </w:rPr>
        <w:t xml:space="preserve">- 模拟交易测试 (累计 1000+ 笔)</w:t>
      </w:r>
      <w:r>
        <w:br/>
      </w:r>
      <w:r>
        <w:rPr>
          <w:rStyle w:val="VerbatimChar"/>
        </w:rPr>
        <w:t xml:space="preserve">- 声纳 Pro V3 发布</w:t>
      </w:r>
      <w:r>
        <w:br/>
      </w:r>
      <w:r>
        <w:rPr>
          <w:rStyle w:val="VerbatimChar"/>
        </w:rPr>
        <w:t xml:space="preserve">- 新币空投猎手上线</w:t>
      </w:r>
      <w:r>
        <w:br/>
      </w:r>
      <w:r>
        <w:br/>
      </w:r>
      <w:r>
        <w:rPr>
          <w:rStyle w:val="VerbatimChar"/>
        </w:rPr>
        <w:t xml:space="preserve">2026 Q2: Beta 测试</w:t>
      </w:r>
      <w:r>
        <w:br/>
      </w:r>
      <w:r>
        <w:rPr>
          <w:rStyle w:val="VerbatimChar"/>
        </w:rPr>
        <w:t xml:space="preserve">- 小规模募资 ($50K-$100K)</w:t>
      </w:r>
      <w:r>
        <w:br/>
      </w:r>
      <w:r>
        <w:rPr>
          <w:rStyle w:val="VerbatimChar"/>
        </w:rPr>
        <w:t xml:space="preserve">- 真实资金模拟盘</w:t>
      </w:r>
      <w:r>
        <w:br/>
      </w:r>
      <w:r>
        <w:rPr>
          <w:rStyle w:val="VerbatimChar"/>
        </w:rPr>
        <w:t xml:space="preserve">- 智能合约部署 (测试网)</w:t>
      </w:r>
      <w:r>
        <w:br/>
      </w:r>
      <w:r>
        <w:rPr>
          <w:rStyle w:val="VerbatimChar"/>
        </w:rPr>
        <w:t xml:space="preserve">- 社区建设</w:t>
      </w:r>
      <w:r>
        <w:br/>
      </w:r>
      <w:r>
        <w:rPr>
          <w:rStyle w:val="VerbatimChar"/>
        </w:rPr>
        <w:t xml:space="preserve">- Beta 投资者招募</w:t>
      </w:r>
      <w:r>
        <w:br/>
      </w:r>
      <w:r>
        <w:br/>
      </w:r>
      <w:r>
        <w:rPr>
          <w:rStyle w:val="VerbatimChar"/>
        </w:rPr>
        <w:t xml:space="preserve">2026 Q3: 正式上线</w:t>
      </w:r>
      <w:r>
        <w:br/>
      </w:r>
      <w:r>
        <w:rPr>
          <w:rStyle w:val="VerbatimChar"/>
        </w:rPr>
        <w:t xml:space="preserve">- 主网上线</w:t>
      </w:r>
      <w:r>
        <w:br/>
      </w:r>
      <w:r>
        <w:rPr>
          <w:rStyle w:val="VerbatimChar"/>
        </w:rPr>
        <w:t xml:space="preserve">- 公开募资 ($500K-$1M)</w:t>
      </w:r>
      <w:r>
        <w:br/>
      </w:r>
      <w:r>
        <w:rPr>
          <w:rStyle w:val="VerbatimChar"/>
        </w:rPr>
        <w:t xml:space="preserve">- 多链部署 (Polygon, BSC)</w:t>
      </w:r>
      <w:r>
        <w:br/>
      </w:r>
      <w:r>
        <w:rPr>
          <w:rStyle w:val="VerbatimChar"/>
        </w:rPr>
        <w:t xml:space="preserve">- 治理代币发行</w:t>
      </w:r>
      <w:r>
        <w:br/>
      </w:r>
      <w:r>
        <w:br/>
      </w:r>
      <w:r>
        <w:rPr>
          <w:rStyle w:val="VerbatimChar"/>
        </w:rPr>
        <w:t xml:space="preserve">2026 Q4: 规模扩展</w:t>
      </w:r>
      <w:r>
        <w:br/>
      </w:r>
      <w:r>
        <w:rPr>
          <w:rStyle w:val="VerbatimChar"/>
        </w:rPr>
        <w:t xml:space="preserve">- 机构合作</w:t>
      </w:r>
      <w:r>
        <w:br/>
      </w:r>
      <w:r>
        <w:rPr>
          <w:rStyle w:val="VerbatimChar"/>
        </w:rPr>
        <w:t xml:space="preserve">- 资管规模 $5M+</w:t>
      </w:r>
      <w:r>
        <w:br/>
      </w:r>
      <w:r>
        <w:rPr>
          <w:rStyle w:val="VerbatimChar"/>
        </w:rPr>
        <w:t xml:space="preserve">- 生态系统扩展 (开发者 API)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第十三章-风险提示"/>
    <w:p>
      <w:pPr>
        <w:pStyle w:val="Heading2"/>
      </w:pPr>
      <w:r>
        <w:t xml:space="preserve">第十三章 风险提示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重要风险提示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市场风险</w:t>
      </w:r>
      <w:r>
        <w:t xml:space="preserve">：加密货币价格波动剧烈，可能导致本金损失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策略风险</w:t>
      </w:r>
      <w:r>
        <w:t xml:space="preserve">：量化策略可能失效，过往业绩不代表未来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技术风险</w:t>
      </w:r>
      <w:r>
        <w:t xml:space="preserve">：智能合约可能存在漏洞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监管风险</w:t>
      </w:r>
      <w:r>
        <w:t xml:space="preserve">：各国监管政策可能影响项目运营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流动性风险</w:t>
      </w:r>
      <w:r>
        <w:t xml:space="preserve">：极端行情下可能无法及时退出</w:t>
      </w:r>
    </w:p>
    <w:p>
      <w:pPr>
        <w:pStyle w:val="FirstParagraph"/>
      </w:pPr>
      <w:r>
        <w:rPr>
          <w:bCs/>
          <w:b/>
        </w:rPr>
        <w:t xml:space="preserve">请务必</w:t>
      </w:r>
      <w:r>
        <w:t xml:space="preserve">：</w:t>
      </w:r>
      <w:r>
        <w:t xml:space="preserve"> </w:t>
      </w:r>
      <w:r>
        <w:t xml:space="preserve">- 仅投资可承受损失的资金</w:t>
      </w:r>
      <w:r>
        <w:t xml:space="preserve"> </w:t>
      </w:r>
      <w:r>
        <w:t xml:space="preserve">- 详细了解项目风险</w:t>
      </w:r>
      <w:r>
        <w:t xml:space="preserve"> </w:t>
      </w:r>
      <w:r>
        <w:t xml:space="preserve">- 必要时咨询专业财务顾问</w:t>
      </w:r>
    </w:p>
    <w:p>
      <w:r>
        <w:pict>
          <v:rect style="width:0;height:1.5pt" o:hralign="center" o:hrstd="t" o:hr="t"/>
        </w:pict>
      </w:r>
    </w:p>
    <w:bookmarkEnd w:id="91"/>
    <w:bookmarkStart w:id="94" w:name="第十四章-附录"/>
    <w:p>
      <w:pPr>
        <w:pStyle w:val="Heading2"/>
      </w:pPr>
      <w:r>
        <w:t xml:space="preserve">第十四章 附录</w:t>
      </w:r>
    </w:p>
    <w:bookmarkStart w:id="92" w:name="附录a术语表"/>
    <w:p>
      <w:pPr>
        <w:pStyle w:val="Heading3"/>
      </w:pPr>
      <w:r>
        <w:t xml:space="preserve">附录A：术语表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 Locked，锁仓总价值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Percentage Yield，年化收益率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on Investment，投资回报率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回撤，最大亏损幅度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Slippage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滑点，交易成交价格与预期差异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区块链交易手续费</w:t>
            </w:r>
          </w:p>
        </w:tc>
      </w:tr>
    </w:tbl>
    <w:bookmarkEnd w:id="92"/>
    <w:bookmarkStart w:id="93" w:name="附录b联系方式"/>
    <w:p>
      <w:pPr>
        <w:pStyle w:val="Heading3"/>
      </w:pPr>
      <w:r>
        <w:t xml:space="preserve">附录B：联系方式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xiami.ai (即将上线)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contact@xiami.ai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@XIAMI_Protocol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discord.gg/xiami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免责声明</w:t>
      </w:r>
      <w:r>
        <w:t xml:space="preserve">：本白皮书仅供参考，不构成投资建议。投资有风险，请谨慎决策。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文档信息</w:t>
      </w:r>
      <w:r>
        <w:t xml:space="preserve">：</w:t>
      </w:r>
      <w:r>
        <w:t xml:space="preserve"> </w:t>
      </w:r>
      <w:r>
        <w:t xml:space="preserve">- 版本：6.0 完整版</w:t>
      </w:r>
      <w:r>
        <w:t xml:space="preserve"> </w:t>
      </w:r>
      <w:r>
        <w:t xml:space="preserve">- 更新日期：2026-03-12</w:t>
      </w:r>
      <w:r>
        <w:t xml:space="preserve"> </w:t>
      </w:r>
      <w:r>
        <w:t xml:space="preserve">- 作者：XIAMI Team</w:t>
      </w:r>
      <w:r>
        <w:t xml:space="preserve"> </w:t>
      </w:r>
      <w:r>
        <w:t xml:space="preserve">- 许可证：All Rights Reserved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XIAMI - 让量化交易触手可及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2026-03-12T08:18:39Z</dcterms:created>
  <dcterms:modified xsi:type="dcterms:W3CDTF">2026-03-12T08:18:39Z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