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405AD" w14:textId="77777777" w:rsidR="00714F4D" w:rsidRPr="00714F4D" w:rsidRDefault="00714F4D" w:rsidP="00714F4D">
      <w:pPr>
        <w:rPr>
          <w:b/>
          <w:bCs/>
        </w:rPr>
      </w:pPr>
      <w:r w:rsidRPr="00714F4D">
        <w:rPr>
          <w:b/>
          <w:bCs/>
        </w:rPr>
        <w:t>1. Conflict Risk Index (CRI) Definition Document</w:t>
      </w:r>
    </w:p>
    <w:p w14:paraId="668A77B1" w14:textId="77777777" w:rsidR="00714F4D" w:rsidRPr="00714F4D" w:rsidRDefault="00714F4D" w:rsidP="00714F4D">
      <w:pPr>
        <w:rPr>
          <w:b/>
          <w:bCs/>
        </w:rPr>
      </w:pPr>
      <w:r w:rsidRPr="00714F4D">
        <w:rPr>
          <w:b/>
          <w:bCs/>
        </w:rPr>
        <w:t>Purpose</w:t>
      </w:r>
    </w:p>
    <w:p w14:paraId="1CD0BD36" w14:textId="77777777" w:rsidR="00385CDE" w:rsidRPr="00385CDE" w:rsidRDefault="00385CDE" w:rsidP="00385CDE">
      <w:r w:rsidRPr="00385CDE">
        <w:t>We've defined "conflict risk" as measurable signals of emerging workplace strain that could lead to escalation if unaddressed. It's not about judging individuals or ideologies but identifying aggregate patterns in trust, collaboration, and wellbeing. Key indicators (drawn from the PDF and refined for measurability):</w:t>
      </w:r>
    </w:p>
    <w:p w14:paraId="0EF7919E" w14:textId="77777777" w:rsidR="00385CDE" w:rsidRPr="00385CDE" w:rsidRDefault="00385CDE" w:rsidP="00385CDE">
      <w:pPr>
        <w:numPr>
          <w:ilvl w:val="0"/>
          <w:numId w:val="3"/>
        </w:numPr>
      </w:pPr>
      <w:r w:rsidRPr="00385CDE">
        <w:rPr>
          <w:b/>
          <w:bCs/>
        </w:rPr>
        <w:t>Declines in trust or psychological safety</w:t>
      </w:r>
      <w:r w:rsidRPr="00385CDE">
        <w:t>: Drops in average scores for survey questions related to respect, safety in expression, and handling disagreements (e.g., q1-q5, q15-q18). Measured as negative changes over time (e.g., month-to-month).</w:t>
      </w:r>
    </w:p>
    <w:p w14:paraId="4A9A1B70" w14:textId="77777777" w:rsidR="00385CDE" w:rsidRPr="00385CDE" w:rsidRDefault="00385CDE" w:rsidP="00385CDE">
      <w:pPr>
        <w:numPr>
          <w:ilvl w:val="0"/>
          <w:numId w:val="3"/>
        </w:numPr>
      </w:pPr>
      <w:r w:rsidRPr="00385CDE">
        <w:rPr>
          <w:b/>
          <w:bCs/>
        </w:rPr>
        <w:t>Rising absenteeism or sick leave</w:t>
      </w:r>
      <w:r w:rsidRPr="00385CDE">
        <w:t xml:space="preserve">: Increases in </w:t>
      </w:r>
      <w:proofErr w:type="spellStart"/>
      <w:r w:rsidRPr="00385CDE">
        <w:t>absenteeism_rate</w:t>
      </w:r>
      <w:proofErr w:type="spellEnd"/>
      <w:r w:rsidRPr="00385CDE">
        <w:t xml:space="preserve">, </w:t>
      </w:r>
      <w:proofErr w:type="spellStart"/>
      <w:r w:rsidRPr="00385CDE">
        <w:t>sick_days_avg</w:t>
      </w:r>
      <w:proofErr w:type="spellEnd"/>
      <w:r w:rsidRPr="00385CDE">
        <w:t xml:space="preserve"> from HR metrics, indicating potential burnout or disengagement.</w:t>
      </w:r>
    </w:p>
    <w:p w14:paraId="151B64A4" w14:textId="77777777" w:rsidR="00385CDE" w:rsidRPr="00385CDE" w:rsidRDefault="00385CDE" w:rsidP="00385CDE">
      <w:pPr>
        <w:numPr>
          <w:ilvl w:val="0"/>
          <w:numId w:val="3"/>
        </w:numPr>
      </w:pPr>
      <w:r w:rsidRPr="00385CDE">
        <w:rPr>
          <w:b/>
          <w:bCs/>
        </w:rPr>
        <w:t>Increased manager escalations</w:t>
      </w:r>
      <w:r w:rsidRPr="00385CDE">
        <w:t xml:space="preserve">: Higher counts of </w:t>
      </w:r>
      <w:proofErr w:type="spellStart"/>
      <w:r w:rsidRPr="00385CDE">
        <w:t>manager_escalations</w:t>
      </w:r>
      <w:proofErr w:type="spellEnd"/>
      <w:r w:rsidRPr="00385CDE">
        <w:t xml:space="preserve"> and </w:t>
      </w:r>
      <w:proofErr w:type="spellStart"/>
      <w:r w:rsidRPr="00385CDE">
        <w:t>grievances_count</w:t>
      </w:r>
      <w:proofErr w:type="spellEnd"/>
      <w:r w:rsidRPr="00385CDE">
        <w:t xml:space="preserve"> in HR data, signaling formal complaints or interventions.</w:t>
      </w:r>
    </w:p>
    <w:p w14:paraId="56F0AFF5" w14:textId="77777777" w:rsidR="00385CDE" w:rsidRPr="00385CDE" w:rsidRDefault="00385CDE" w:rsidP="00385CDE">
      <w:pPr>
        <w:numPr>
          <w:ilvl w:val="0"/>
          <w:numId w:val="3"/>
        </w:numPr>
      </w:pPr>
      <w:r w:rsidRPr="00385CDE">
        <w:rPr>
          <w:b/>
          <w:bCs/>
        </w:rPr>
        <w:t>Volatility in engagement scores</w:t>
      </w:r>
      <w:r w:rsidRPr="00385CDE">
        <w:t>: Fluctuations in survey means over time (e.g., standard deviation of department averages across months), capturing instability.</w:t>
      </w:r>
    </w:p>
    <w:p w14:paraId="6A9B35AC" w14:textId="77777777" w:rsidR="00385CDE" w:rsidRPr="00385CDE" w:rsidRDefault="00385CDE" w:rsidP="00385CDE">
      <w:pPr>
        <w:numPr>
          <w:ilvl w:val="0"/>
          <w:numId w:val="3"/>
        </w:numPr>
      </w:pPr>
      <w:r w:rsidRPr="00385CDE">
        <w:rPr>
          <w:b/>
          <w:bCs/>
        </w:rPr>
        <w:t>Survey disagreement dispersion</w:t>
      </w:r>
      <w:r w:rsidRPr="00385CDE">
        <w:t>: High variance (not just low averages) in responses within a department, indicating polarization (e.g., some employees feel very safe, others very unsafe).</w:t>
      </w:r>
    </w:p>
    <w:p w14:paraId="5B0047E0" w14:textId="31FEC5BA" w:rsidR="00385CDE" w:rsidRDefault="00385CDE" w:rsidP="00714F4D">
      <w:r w:rsidRPr="00385CDE">
        <w:t>These are aggregated at the department level (or role/location if needed) to ensure privacy. Open-ended comments (open_comment_1-3) can be optionally analyzed for themes but aren't part of the core quantitative CRI to avoid subjectivity.</w:t>
      </w:r>
    </w:p>
    <w:p w14:paraId="691EA3D5" w14:textId="37256E21" w:rsidR="00714F4D" w:rsidRPr="00714F4D" w:rsidRDefault="00714F4D" w:rsidP="00714F4D">
      <w:r w:rsidRPr="00714F4D">
        <w:t xml:space="preserve">The CRI is a composite, explainable score (0–100) that measures emerging workplace strain at the department level (or by role/location) using aggregated survey and HR data. The index prioritizes </w:t>
      </w:r>
      <w:r w:rsidRPr="00714F4D">
        <w:rPr>
          <w:b/>
          <w:bCs/>
        </w:rPr>
        <w:t>variance and volatility</w:t>
      </w:r>
      <w:r w:rsidRPr="00714F4D">
        <w:t xml:space="preserve"> over absolute low scores to identify polarization and instability.</w:t>
      </w:r>
    </w:p>
    <w:p w14:paraId="57800DC0" w14:textId="77777777" w:rsidR="00714F4D" w:rsidRPr="00714F4D" w:rsidRDefault="00714F4D" w:rsidP="00714F4D">
      <w:pPr>
        <w:rPr>
          <w:b/>
          <w:bCs/>
        </w:rPr>
      </w:pPr>
      <w:r w:rsidRPr="00714F4D">
        <w:rPr>
          <w:b/>
          <w:bCs/>
        </w:rPr>
        <w:t>CRI Components and Weights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5"/>
        <w:gridCol w:w="2120"/>
        <w:gridCol w:w="2342"/>
        <w:gridCol w:w="843"/>
        <w:gridCol w:w="2180"/>
      </w:tblGrid>
      <w:tr w:rsidR="00714F4D" w:rsidRPr="00714F4D" w14:paraId="5E4FCDDB" w14:textId="77777777" w:rsidTr="006805B6">
        <w:trPr>
          <w:tblHeader/>
          <w:tblCellSpacing w:w="15" w:type="dxa"/>
        </w:trPr>
        <w:tc>
          <w:tcPr>
            <w:tcW w:w="0" w:type="auto"/>
            <w:vAlign w:val="center"/>
            <w:hideMark/>
          </w:tcPr>
          <w:p w14:paraId="669C63C0" w14:textId="77777777" w:rsidR="00714F4D" w:rsidRPr="00714F4D" w:rsidRDefault="00714F4D" w:rsidP="00714F4D">
            <w:pPr>
              <w:rPr>
                <w:b/>
                <w:bCs/>
              </w:rPr>
            </w:pPr>
            <w:r w:rsidRPr="00714F4D">
              <w:rPr>
                <w:b/>
                <w:bCs/>
              </w:rPr>
              <w:lastRenderedPageBreak/>
              <w:t>Component</w:t>
            </w:r>
          </w:p>
        </w:tc>
        <w:tc>
          <w:tcPr>
            <w:tcW w:w="0" w:type="auto"/>
            <w:vAlign w:val="center"/>
            <w:hideMark/>
          </w:tcPr>
          <w:p w14:paraId="18ABB743" w14:textId="77777777" w:rsidR="00714F4D" w:rsidRPr="00714F4D" w:rsidRDefault="00714F4D" w:rsidP="00714F4D">
            <w:pPr>
              <w:rPr>
                <w:b/>
                <w:bCs/>
              </w:rPr>
            </w:pPr>
            <w:r w:rsidRPr="00714F4D">
              <w:rPr>
                <w:b/>
                <w:bCs/>
              </w:rPr>
              <w:t>Description</w:t>
            </w:r>
          </w:p>
        </w:tc>
        <w:tc>
          <w:tcPr>
            <w:tcW w:w="0" w:type="auto"/>
            <w:vAlign w:val="center"/>
            <w:hideMark/>
          </w:tcPr>
          <w:p w14:paraId="0EA23825" w14:textId="77777777" w:rsidR="00714F4D" w:rsidRPr="00714F4D" w:rsidRDefault="00714F4D" w:rsidP="00714F4D">
            <w:pPr>
              <w:rPr>
                <w:b/>
                <w:bCs/>
              </w:rPr>
            </w:pPr>
            <w:r w:rsidRPr="00714F4D">
              <w:rPr>
                <w:b/>
                <w:bCs/>
              </w:rPr>
              <w:t>Key Questions / Metrics</w:t>
            </w:r>
          </w:p>
        </w:tc>
        <w:tc>
          <w:tcPr>
            <w:tcW w:w="0" w:type="auto"/>
            <w:vAlign w:val="center"/>
            <w:hideMark/>
          </w:tcPr>
          <w:p w14:paraId="00509CC4" w14:textId="77777777" w:rsidR="00714F4D" w:rsidRPr="00714F4D" w:rsidRDefault="00714F4D" w:rsidP="00714F4D">
            <w:pPr>
              <w:rPr>
                <w:b/>
                <w:bCs/>
              </w:rPr>
            </w:pPr>
            <w:r w:rsidRPr="00714F4D">
              <w:rPr>
                <w:b/>
                <w:bCs/>
              </w:rPr>
              <w:t>Weight</w:t>
            </w:r>
          </w:p>
        </w:tc>
        <w:tc>
          <w:tcPr>
            <w:tcW w:w="0" w:type="auto"/>
            <w:vAlign w:val="center"/>
            <w:hideMark/>
          </w:tcPr>
          <w:p w14:paraId="2F9ABCF5" w14:textId="77777777" w:rsidR="00714F4D" w:rsidRPr="00714F4D" w:rsidRDefault="00714F4D" w:rsidP="00714F4D">
            <w:pPr>
              <w:rPr>
                <w:b/>
                <w:bCs/>
              </w:rPr>
            </w:pPr>
            <w:r w:rsidRPr="00714F4D">
              <w:rPr>
                <w:b/>
                <w:bCs/>
              </w:rPr>
              <w:t>Normalization Approach</w:t>
            </w:r>
          </w:p>
        </w:tc>
      </w:tr>
      <w:tr w:rsidR="00714F4D" w:rsidRPr="00714F4D" w14:paraId="45C3287C" w14:textId="77777777" w:rsidTr="006805B6">
        <w:trPr>
          <w:tblCellSpacing w:w="15" w:type="dxa"/>
        </w:trPr>
        <w:tc>
          <w:tcPr>
            <w:tcW w:w="0" w:type="auto"/>
            <w:vAlign w:val="center"/>
            <w:hideMark/>
          </w:tcPr>
          <w:p w14:paraId="36994465" w14:textId="77777777" w:rsidR="00714F4D" w:rsidRPr="00714F4D" w:rsidRDefault="00714F4D" w:rsidP="00714F4D">
            <w:r w:rsidRPr="00714F4D">
              <w:t>Engagement Volatility</w:t>
            </w:r>
          </w:p>
        </w:tc>
        <w:tc>
          <w:tcPr>
            <w:tcW w:w="0" w:type="auto"/>
            <w:vAlign w:val="center"/>
            <w:hideMark/>
          </w:tcPr>
          <w:p w14:paraId="30E19781" w14:textId="77777777" w:rsidR="00714F4D" w:rsidRPr="00714F4D" w:rsidRDefault="00714F4D" w:rsidP="00714F4D">
            <w:r w:rsidRPr="00714F4D">
              <w:t>High variance in survey responses within a department, indicating polarization</w:t>
            </w:r>
          </w:p>
        </w:tc>
        <w:tc>
          <w:tcPr>
            <w:tcW w:w="0" w:type="auto"/>
            <w:vAlign w:val="center"/>
            <w:hideMark/>
          </w:tcPr>
          <w:p w14:paraId="597E0E46" w14:textId="77777777" w:rsidR="00714F4D" w:rsidRPr="00714F4D" w:rsidRDefault="00714F4D" w:rsidP="00714F4D">
            <w:r w:rsidRPr="00714F4D">
              <w:t>Std dev of q1–q18 per department/month</w:t>
            </w:r>
          </w:p>
        </w:tc>
        <w:tc>
          <w:tcPr>
            <w:tcW w:w="0" w:type="auto"/>
            <w:vAlign w:val="center"/>
            <w:hideMark/>
          </w:tcPr>
          <w:p w14:paraId="53F6682C" w14:textId="77777777" w:rsidR="00714F4D" w:rsidRPr="00714F4D" w:rsidRDefault="00714F4D" w:rsidP="00714F4D">
            <w:r w:rsidRPr="00714F4D">
              <w:t>30%</w:t>
            </w:r>
          </w:p>
        </w:tc>
        <w:tc>
          <w:tcPr>
            <w:tcW w:w="0" w:type="auto"/>
            <w:vAlign w:val="center"/>
            <w:hideMark/>
          </w:tcPr>
          <w:p w14:paraId="2F074A89" w14:textId="77777777" w:rsidR="00714F4D" w:rsidRPr="00714F4D" w:rsidRDefault="00714F4D" w:rsidP="00714F4D">
            <w:r w:rsidRPr="00714F4D">
              <w:t>0 (low var &lt;1.0) → 100 (high var &gt;2.0); linear scaling</w:t>
            </w:r>
          </w:p>
        </w:tc>
      </w:tr>
      <w:tr w:rsidR="00714F4D" w:rsidRPr="00714F4D" w14:paraId="0AD3FAC6" w14:textId="77777777" w:rsidTr="006805B6">
        <w:trPr>
          <w:tblCellSpacing w:w="15" w:type="dxa"/>
        </w:trPr>
        <w:tc>
          <w:tcPr>
            <w:tcW w:w="0" w:type="auto"/>
            <w:vAlign w:val="center"/>
            <w:hideMark/>
          </w:tcPr>
          <w:p w14:paraId="6AF4F828" w14:textId="77777777" w:rsidR="00714F4D" w:rsidRPr="00714F4D" w:rsidRDefault="00714F4D" w:rsidP="00714F4D">
            <w:r w:rsidRPr="00714F4D">
              <w:t>Trust &amp; Safety Decline</w:t>
            </w:r>
          </w:p>
        </w:tc>
        <w:tc>
          <w:tcPr>
            <w:tcW w:w="0" w:type="auto"/>
            <w:vAlign w:val="center"/>
            <w:hideMark/>
          </w:tcPr>
          <w:p w14:paraId="52E111F0" w14:textId="77777777" w:rsidR="00714F4D" w:rsidRPr="00714F4D" w:rsidRDefault="00714F4D" w:rsidP="00714F4D">
            <w:r w:rsidRPr="00714F4D">
              <w:t>Negative change in trust/safety perceptions over time</w:t>
            </w:r>
          </w:p>
        </w:tc>
        <w:tc>
          <w:tcPr>
            <w:tcW w:w="0" w:type="auto"/>
            <w:vAlign w:val="center"/>
            <w:hideMark/>
          </w:tcPr>
          <w:p w14:paraId="1F7A0453" w14:textId="77777777" w:rsidR="00714F4D" w:rsidRPr="00714F4D" w:rsidRDefault="00714F4D" w:rsidP="00714F4D">
            <w:r w:rsidRPr="00714F4D">
              <w:t>Mean of q1–q5, q15–q18; month-over-month delta</w:t>
            </w:r>
          </w:p>
        </w:tc>
        <w:tc>
          <w:tcPr>
            <w:tcW w:w="0" w:type="auto"/>
            <w:vAlign w:val="center"/>
            <w:hideMark/>
          </w:tcPr>
          <w:p w14:paraId="2704995A" w14:textId="77777777" w:rsidR="00714F4D" w:rsidRPr="00714F4D" w:rsidRDefault="00714F4D" w:rsidP="00714F4D">
            <w:r w:rsidRPr="00714F4D">
              <w:t>25%</w:t>
            </w:r>
          </w:p>
        </w:tc>
        <w:tc>
          <w:tcPr>
            <w:tcW w:w="0" w:type="auto"/>
            <w:vAlign w:val="center"/>
            <w:hideMark/>
          </w:tcPr>
          <w:p w14:paraId="767BEA2F" w14:textId="77777777" w:rsidR="00714F4D" w:rsidRPr="00714F4D" w:rsidRDefault="00714F4D" w:rsidP="00714F4D">
            <w:r w:rsidRPr="00714F4D">
              <w:t>0 (stable/improving) → 100 (decline &gt;1 point)</w:t>
            </w:r>
          </w:p>
        </w:tc>
      </w:tr>
      <w:tr w:rsidR="00714F4D" w:rsidRPr="00714F4D" w14:paraId="2644E74D" w14:textId="77777777" w:rsidTr="006805B6">
        <w:trPr>
          <w:tblCellSpacing w:w="15" w:type="dxa"/>
        </w:trPr>
        <w:tc>
          <w:tcPr>
            <w:tcW w:w="0" w:type="auto"/>
            <w:vAlign w:val="center"/>
            <w:hideMark/>
          </w:tcPr>
          <w:p w14:paraId="01482E6A" w14:textId="77777777" w:rsidR="00714F4D" w:rsidRPr="00714F4D" w:rsidRDefault="00714F4D" w:rsidP="00714F4D">
            <w:r w:rsidRPr="00714F4D">
              <w:t>Communication Strain Indicators</w:t>
            </w:r>
          </w:p>
        </w:tc>
        <w:tc>
          <w:tcPr>
            <w:tcW w:w="0" w:type="auto"/>
            <w:vAlign w:val="center"/>
            <w:hideMark/>
          </w:tcPr>
          <w:p w14:paraId="492939A0" w14:textId="77777777" w:rsidR="00714F4D" w:rsidRPr="00714F4D" w:rsidRDefault="00714F4D" w:rsidP="00714F4D">
            <w:r w:rsidRPr="00714F4D">
              <w:t>Low means or high variance in communication-related questions</w:t>
            </w:r>
          </w:p>
        </w:tc>
        <w:tc>
          <w:tcPr>
            <w:tcW w:w="0" w:type="auto"/>
            <w:vAlign w:val="center"/>
            <w:hideMark/>
          </w:tcPr>
          <w:p w14:paraId="4D9493E7" w14:textId="77777777" w:rsidR="00714F4D" w:rsidRPr="00714F4D" w:rsidRDefault="00714F4D" w:rsidP="00714F4D">
            <w:r w:rsidRPr="00714F4D">
              <w:t>Mean &amp; variance of q6–q10</w:t>
            </w:r>
          </w:p>
        </w:tc>
        <w:tc>
          <w:tcPr>
            <w:tcW w:w="0" w:type="auto"/>
            <w:vAlign w:val="center"/>
            <w:hideMark/>
          </w:tcPr>
          <w:p w14:paraId="57FAF5FC" w14:textId="77777777" w:rsidR="00714F4D" w:rsidRPr="00714F4D" w:rsidRDefault="00714F4D" w:rsidP="00714F4D">
            <w:r w:rsidRPr="00714F4D">
              <w:t>20%</w:t>
            </w:r>
          </w:p>
        </w:tc>
        <w:tc>
          <w:tcPr>
            <w:tcW w:w="0" w:type="auto"/>
            <w:vAlign w:val="center"/>
            <w:hideMark/>
          </w:tcPr>
          <w:p w14:paraId="51BBA20E" w14:textId="77777777" w:rsidR="00714F4D" w:rsidRPr="00714F4D" w:rsidRDefault="00714F4D" w:rsidP="00714F4D">
            <w:r w:rsidRPr="00714F4D">
              <w:t>Combined formula: (5 – mean) × variance factor</w:t>
            </w:r>
          </w:p>
        </w:tc>
      </w:tr>
      <w:tr w:rsidR="00714F4D" w:rsidRPr="00714F4D" w14:paraId="5EB4D1E8" w14:textId="77777777" w:rsidTr="006805B6">
        <w:trPr>
          <w:tblCellSpacing w:w="15" w:type="dxa"/>
        </w:trPr>
        <w:tc>
          <w:tcPr>
            <w:tcW w:w="0" w:type="auto"/>
            <w:vAlign w:val="center"/>
            <w:hideMark/>
          </w:tcPr>
          <w:p w14:paraId="3C6A443F" w14:textId="77777777" w:rsidR="00714F4D" w:rsidRPr="00714F4D" w:rsidRDefault="00714F4D" w:rsidP="00714F4D">
            <w:r w:rsidRPr="00714F4D">
              <w:t>HR Stress Signals</w:t>
            </w:r>
          </w:p>
        </w:tc>
        <w:tc>
          <w:tcPr>
            <w:tcW w:w="0" w:type="auto"/>
            <w:vAlign w:val="center"/>
            <w:hideMark/>
          </w:tcPr>
          <w:p w14:paraId="53C90578" w14:textId="77777777" w:rsidR="00714F4D" w:rsidRPr="00714F4D" w:rsidRDefault="00714F4D" w:rsidP="00714F4D">
            <w:r w:rsidRPr="00714F4D">
              <w:t>Elevated operational indicators of strain</w:t>
            </w:r>
          </w:p>
        </w:tc>
        <w:tc>
          <w:tcPr>
            <w:tcW w:w="0" w:type="auto"/>
            <w:vAlign w:val="center"/>
            <w:hideMark/>
          </w:tcPr>
          <w:p w14:paraId="61E3AB9A" w14:textId="77777777" w:rsidR="00714F4D" w:rsidRPr="00714F4D" w:rsidRDefault="00714F4D" w:rsidP="00714F4D">
            <w:r w:rsidRPr="00714F4D">
              <w:t>Attrition %, absenteeism %, sick days avg, grievances &amp; escalations count</w:t>
            </w:r>
          </w:p>
        </w:tc>
        <w:tc>
          <w:tcPr>
            <w:tcW w:w="0" w:type="auto"/>
            <w:vAlign w:val="center"/>
            <w:hideMark/>
          </w:tcPr>
          <w:p w14:paraId="763B1912" w14:textId="77777777" w:rsidR="00714F4D" w:rsidRPr="00714F4D" w:rsidRDefault="00714F4D" w:rsidP="00714F4D">
            <w:r w:rsidRPr="00714F4D">
              <w:t>15%</w:t>
            </w:r>
          </w:p>
        </w:tc>
        <w:tc>
          <w:tcPr>
            <w:tcW w:w="0" w:type="auto"/>
            <w:vAlign w:val="center"/>
            <w:hideMark/>
          </w:tcPr>
          <w:p w14:paraId="543DB77B" w14:textId="77777777" w:rsidR="00714F4D" w:rsidRPr="00714F4D" w:rsidRDefault="00714F4D" w:rsidP="00714F4D">
            <w:r w:rsidRPr="00714F4D">
              <w:t>Z-score vs org average; 0 (below avg) → 100 (≥2 SD above)</w:t>
            </w:r>
          </w:p>
        </w:tc>
      </w:tr>
      <w:tr w:rsidR="00714F4D" w:rsidRPr="00714F4D" w14:paraId="76851DFC" w14:textId="77777777" w:rsidTr="006805B6">
        <w:trPr>
          <w:tblCellSpacing w:w="15" w:type="dxa"/>
        </w:trPr>
        <w:tc>
          <w:tcPr>
            <w:tcW w:w="0" w:type="auto"/>
            <w:vAlign w:val="center"/>
            <w:hideMark/>
          </w:tcPr>
          <w:p w14:paraId="59E5A485" w14:textId="77777777" w:rsidR="00714F4D" w:rsidRPr="00714F4D" w:rsidRDefault="00714F4D" w:rsidP="00714F4D">
            <w:r w:rsidRPr="00714F4D">
              <w:t>Rapid Change Exposure</w:t>
            </w:r>
          </w:p>
        </w:tc>
        <w:tc>
          <w:tcPr>
            <w:tcW w:w="0" w:type="auto"/>
            <w:vAlign w:val="center"/>
            <w:hideMark/>
          </w:tcPr>
          <w:p w14:paraId="59E56A17" w14:textId="77777777" w:rsidR="00714F4D" w:rsidRPr="00714F4D" w:rsidRDefault="00714F4D" w:rsidP="00714F4D">
            <w:r w:rsidRPr="00714F4D">
              <w:t>Self-reported impact of internal/external changes</w:t>
            </w:r>
          </w:p>
        </w:tc>
        <w:tc>
          <w:tcPr>
            <w:tcW w:w="0" w:type="auto"/>
            <w:vAlign w:val="center"/>
            <w:hideMark/>
          </w:tcPr>
          <w:p w14:paraId="5123E426" w14:textId="77777777" w:rsidR="00714F4D" w:rsidRPr="00714F4D" w:rsidRDefault="00714F4D" w:rsidP="00714F4D">
            <w:r w:rsidRPr="00714F4D">
              <w:t>Mean of q11–q14</w:t>
            </w:r>
          </w:p>
        </w:tc>
        <w:tc>
          <w:tcPr>
            <w:tcW w:w="0" w:type="auto"/>
            <w:vAlign w:val="center"/>
            <w:hideMark/>
          </w:tcPr>
          <w:p w14:paraId="68F45FF1" w14:textId="77777777" w:rsidR="00714F4D" w:rsidRPr="00714F4D" w:rsidRDefault="00714F4D" w:rsidP="00714F4D">
            <w:r w:rsidRPr="00714F4D">
              <w:t>10%</w:t>
            </w:r>
          </w:p>
        </w:tc>
        <w:tc>
          <w:tcPr>
            <w:tcW w:w="0" w:type="auto"/>
            <w:vAlign w:val="center"/>
            <w:hideMark/>
          </w:tcPr>
          <w:p w14:paraId="02118E1A" w14:textId="77777777" w:rsidR="00714F4D" w:rsidRPr="00714F4D" w:rsidRDefault="00714F4D" w:rsidP="00714F4D">
            <w:r w:rsidRPr="00714F4D">
              <w:t>0 (mean &lt;2) → 100 (mean &gt;4); linear</w:t>
            </w:r>
          </w:p>
        </w:tc>
      </w:tr>
    </w:tbl>
    <w:p w14:paraId="6BDC42A2" w14:textId="77777777" w:rsidR="00714F4D" w:rsidRPr="00714F4D" w:rsidRDefault="00714F4D" w:rsidP="00714F4D">
      <w:pPr>
        <w:rPr>
          <w:b/>
          <w:bCs/>
        </w:rPr>
      </w:pPr>
      <w:r w:rsidRPr="00714F4D">
        <w:rPr>
          <w:b/>
          <w:bCs/>
        </w:rPr>
        <w:t>CRI Calculation Formula</w:t>
      </w:r>
    </w:p>
    <w:p w14:paraId="7BF53BF5" w14:textId="77777777" w:rsidR="00714F4D" w:rsidRPr="00714F4D" w:rsidRDefault="00714F4D" w:rsidP="00714F4D">
      <w:r w:rsidRPr="00714F4D">
        <w:rPr>
          <w:b/>
          <w:bCs/>
        </w:rPr>
        <w:t>CRI = (Volatility × 0.30) + (Trust Decline × 0.25) + (Comm Strain × 0.20) + (HR Stress × 0.15) + (Change Exposure × 0.10)</w:t>
      </w:r>
    </w:p>
    <w:p w14:paraId="0A0A10A1" w14:textId="77777777" w:rsidR="00714F4D" w:rsidRPr="00714F4D" w:rsidRDefault="00714F4D" w:rsidP="00714F4D">
      <w:pPr>
        <w:rPr>
          <w:b/>
          <w:bCs/>
        </w:rPr>
      </w:pPr>
      <w:r w:rsidRPr="00714F4D">
        <w:rPr>
          <w:b/>
          <w:bCs/>
        </w:rPr>
        <w:t>Risk Thresholds &amp; Language (Support-Oriented)</w:t>
      </w:r>
    </w:p>
    <w:p w14:paraId="3F2CB63F" w14:textId="77777777" w:rsidR="00714F4D" w:rsidRPr="00714F4D" w:rsidRDefault="00714F4D" w:rsidP="00714F4D">
      <w:pPr>
        <w:numPr>
          <w:ilvl w:val="0"/>
          <w:numId w:val="1"/>
        </w:numPr>
      </w:pPr>
      <w:r w:rsidRPr="00714F4D">
        <w:rPr>
          <w:b/>
          <w:bCs/>
        </w:rPr>
        <w:t>0–39</w:t>
      </w:r>
      <w:r w:rsidRPr="00714F4D">
        <w:t>: Low risk – Monitor</w:t>
      </w:r>
    </w:p>
    <w:p w14:paraId="31586CD9" w14:textId="77777777" w:rsidR="00714F4D" w:rsidRPr="00714F4D" w:rsidRDefault="00714F4D" w:rsidP="00714F4D">
      <w:pPr>
        <w:numPr>
          <w:ilvl w:val="0"/>
          <w:numId w:val="1"/>
        </w:numPr>
      </w:pPr>
      <w:r w:rsidRPr="00714F4D">
        <w:rPr>
          <w:b/>
          <w:bCs/>
        </w:rPr>
        <w:t>40–69</w:t>
      </w:r>
      <w:r w:rsidRPr="00714F4D">
        <w:t>: Medium risk – Preventive attention recommended</w:t>
      </w:r>
    </w:p>
    <w:p w14:paraId="28549222" w14:textId="77777777" w:rsidR="00714F4D" w:rsidRPr="00714F4D" w:rsidRDefault="00714F4D" w:rsidP="00714F4D">
      <w:pPr>
        <w:numPr>
          <w:ilvl w:val="0"/>
          <w:numId w:val="1"/>
        </w:numPr>
      </w:pPr>
      <w:r w:rsidRPr="00714F4D">
        <w:rPr>
          <w:b/>
          <w:bCs/>
        </w:rPr>
        <w:t>70–100</w:t>
      </w:r>
      <w:r w:rsidRPr="00714F4D">
        <w:t>: High risk – Support intervention advised</w:t>
      </w:r>
    </w:p>
    <w:sectPr w:rsidR="00714F4D" w:rsidRPr="00714F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621251"/>
    <w:multiLevelType w:val="multilevel"/>
    <w:tmpl w:val="DCD2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3F51A7"/>
    <w:multiLevelType w:val="multilevel"/>
    <w:tmpl w:val="5328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F11A01"/>
    <w:multiLevelType w:val="multilevel"/>
    <w:tmpl w:val="AC76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574621">
    <w:abstractNumId w:val="0"/>
  </w:num>
  <w:num w:numId="2" w16cid:durableId="2020623482">
    <w:abstractNumId w:val="2"/>
  </w:num>
  <w:num w:numId="3" w16cid:durableId="18324061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DFB"/>
    <w:rsid w:val="001F5246"/>
    <w:rsid w:val="00385CDE"/>
    <w:rsid w:val="00446BCB"/>
    <w:rsid w:val="006805B6"/>
    <w:rsid w:val="00714F4D"/>
    <w:rsid w:val="007F2DFB"/>
    <w:rsid w:val="009335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8BC12"/>
  <w15:chartTrackingRefBased/>
  <w15:docId w15:val="{5DD716A5-D70D-4937-87F2-895D2A8DF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D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2D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2D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2D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2D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2D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D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D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D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D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2D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2D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2D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2D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2D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D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D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DFB"/>
    <w:rPr>
      <w:rFonts w:eastAsiaTheme="majorEastAsia" w:cstheme="majorBidi"/>
      <w:color w:val="272727" w:themeColor="text1" w:themeTint="D8"/>
    </w:rPr>
  </w:style>
  <w:style w:type="paragraph" w:styleId="Title">
    <w:name w:val="Title"/>
    <w:basedOn w:val="Normal"/>
    <w:next w:val="Normal"/>
    <w:link w:val="TitleChar"/>
    <w:uiPriority w:val="10"/>
    <w:qFormat/>
    <w:rsid w:val="007F2D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D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D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D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DFB"/>
    <w:pPr>
      <w:spacing w:before="160"/>
      <w:jc w:val="center"/>
    </w:pPr>
    <w:rPr>
      <w:i/>
      <w:iCs/>
      <w:color w:val="404040" w:themeColor="text1" w:themeTint="BF"/>
    </w:rPr>
  </w:style>
  <w:style w:type="character" w:customStyle="1" w:styleId="QuoteChar">
    <w:name w:val="Quote Char"/>
    <w:basedOn w:val="DefaultParagraphFont"/>
    <w:link w:val="Quote"/>
    <w:uiPriority w:val="29"/>
    <w:rsid w:val="007F2DFB"/>
    <w:rPr>
      <w:i/>
      <w:iCs/>
      <w:color w:val="404040" w:themeColor="text1" w:themeTint="BF"/>
    </w:rPr>
  </w:style>
  <w:style w:type="paragraph" w:styleId="ListParagraph">
    <w:name w:val="List Paragraph"/>
    <w:basedOn w:val="Normal"/>
    <w:uiPriority w:val="34"/>
    <w:qFormat/>
    <w:rsid w:val="007F2DFB"/>
    <w:pPr>
      <w:ind w:left="720"/>
      <w:contextualSpacing/>
    </w:pPr>
  </w:style>
  <w:style w:type="character" w:styleId="IntenseEmphasis">
    <w:name w:val="Intense Emphasis"/>
    <w:basedOn w:val="DefaultParagraphFont"/>
    <w:uiPriority w:val="21"/>
    <w:qFormat/>
    <w:rsid w:val="007F2DFB"/>
    <w:rPr>
      <w:i/>
      <w:iCs/>
      <w:color w:val="0F4761" w:themeColor="accent1" w:themeShade="BF"/>
    </w:rPr>
  </w:style>
  <w:style w:type="paragraph" w:styleId="IntenseQuote">
    <w:name w:val="Intense Quote"/>
    <w:basedOn w:val="Normal"/>
    <w:next w:val="Normal"/>
    <w:link w:val="IntenseQuoteChar"/>
    <w:uiPriority w:val="30"/>
    <w:qFormat/>
    <w:rsid w:val="007F2D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2DFB"/>
    <w:rPr>
      <w:i/>
      <w:iCs/>
      <w:color w:val="0F4761" w:themeColor="accent1" w:themeShade="BF"/>
    </w:rPr>
  </w:style>
  <w:style w:type="character" w:styleId="IntenseReference">
    <w:name w:val="Intense Reference"/>
    <w:basedOn w:val="DefaultParagraphFont"/>
    <w:uiPriority w:val="32"/>
    <w:qFormat/>
    <w:rsid w:val="007F2D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12828</TotalTime>
  <Pages>2</Pages>
  <Words>459</Words>
  <Characters>2618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Gopal Krishna V</dc:creator>
  <cp:keywords/>
  <dc:description/>
  <cp:lastModifiedBy>Gopal Krishna V</cp:lastModifiedBy>
  <cp:revision>3</cp:revision>
  <dcterms:created xsi:type="dcterms:W3CDTF">2025-12-23T21:21:00Z</dcterms:created>
  <dcterms:modified xsi:type="dcterms:W3CDTF">2026-01-01T19:09:00Z</dcterms:modified>
</cp:coreProperties>
</file>