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GOVERNMENT OF INDIA MINISTRY OF RAILWAYS RAILWAY BOARD</w:t>
      </w:r>
    </w:p>
    <w:p>
      <w:pPr>
        <w:pStyle w:val="Heading1"/>
      </w:pPr>
      <w:r>
        <w:t>DRAFT FOR REVIEW Multi objective appraisal and prioritisation of level crossing grade separation</w:t>
      </w:r>
    </w:p>
    <w:p>
      <w:r>
        <w:t>Proposed issuing authority: PED/B&amp;S, Railway Board</w:t>
      </w:r>
    </w:p>
    <w:p>
      <w:r>
        <w:t>Addressees: General Managers, all Zonal Railways</w:t>
      </w:r>
    </w:p>
    <w:p>
      <w:r>
        <w:t>Draft version: 1.0 | 15 October 2026</w:t>
      </w:r>
    </w:p>
    <w:p>
      <w:r>
        <w:t>File number, approval date and signatory details: to be assigned by the issuing office.</w:t>
      </w:r>
    </w:p>
    <w:p>
      <w:r>
        <w:t>Technical concept and methodology: R. Gopalakrishnan.</w:t>
      </w:r>
    </w:p>
    <w:p>
      <w:r>
        <w:t>This document is a proposed organizational policy for review. It has not been issued or approved and does not amend existing rules.</w:t>
      </w:r>
    </w:p>
    <w:p>
      <w:pPr>
        <w:pStyle w:val="Heading1"/>
      </w:pPr>
      <w:r>
        <w:t>1 Purpose</w:t>
      </w:r>
    </w:p>
    <w:p>
      <w:r>
        <w:t>Establish a common evidence-based approach for identifying, comparing and prioritising ROB, RUB, diversion, closure and other feasible LC interventions. TVU shall remain an exposure indicator and shall be considered alongside safety, road delay, railway operations, corridor capacity, reliability, community accessibility, environment, distributional effects and life-cycle economics.</w:t>
      </w:r>
    </w:p>
    <w:p>
      <w:pPr>
        <w:pStyle w:val="Heading1"/>
      </w:pPr>
      <w:r>
        <w:t>2 Applicability and precedence</w:t>
      </w:r>
    </w:p>
    <w:p>
      <w:r>
        <w:t>Upon approval, the framework would support preparation and review of zonal proposals and annual portfolios. Existing sanction powers, budget procedures, safety requirements, standards, statutory clearances, state-government agreements and funding arrangements continue to govern projects. The issuing office shall obtain applicable inter-directorate concurrence and legal/finance review before circulation. This draft specifies analytical evidence; it does not create delegated financial powers or authorize automatic project sanction.</w:t>
      </w:r>
    </w:p>
    <w:p>
      <w:pPr>
        <w:pStyle w:val="Heading1"/>
      </w:pPr>
      <w:r>
        <w:t>3 Institutional responsibilities</w:t>
      </w:r>
    </w:p>
    <w:tbl>
      <w:tblPr>
        <w:tblW w:type="auto" w:w="0"/>
        <w:tblLayout w:type="fixed"/>
        <w:tblLook w:firstColumn="1" w:firstRow="1" w:lastColumn="0" w:lastRow="0" w:noHBand="0" w:noVBand="1" w:val="04A0"/>
      </w:tblPr>
      <w:tblGrid>
        <w:gridCol w:w="2592"/>
        <w:gridCol w:w="6624"/>
      </w:tblGrid>
      <w:tr>
        <w:trPr>
          <w:cantSplit/>
          <w:tblHeader/>
        </w:trPr>
        <w:tc>
          <w:tcPr>
            <w:tcW w:type="dxa" w:w="2592"/>
            <w:shd w:fill="E7E6E6"/>
            <w:tcBorders>
              <w:top w:val="single" w:sz="4" w:color="D9D9D9"/>
              <w:left w:val="single" w:sz="4" w:color="D9D9D9"/>
              <w:bottom w:val="single" w:sz="4" w:color="D9D9D9"/>
              <w:right w:val="single" w:sz="4" w:color="D9D9D9"/>
            </w:tcBorders>
          </w:tcPr>
          <w:p>
            <w:r>
              <w:rPr>
                <w:b/>
              </w:rPr>
              <w:t>Level/role</w:t>
            </w:r>
          </w:p>
        </w:tc>
        <w:tc>
          <w:tcPr>
            <w:tcW w:type="dxa" w:w="6624"/>
            <w:shd w:fill="E7E6E6"/>
            <w:tcBorders>
              <w:top w:val="single" w:sz="4" w:color="D9D9D9"/>
              <w:left w:val="single" w:sz="4" w:color="D9D9D9"/>
              <w:bottom w:val="single" w:sz="4" w:color="D9D9D9"/>
              <w:right w:val="single" w:sz="4" w:color="D9D9D9"/>
            </w:tcBorders>
          </w:tcPr>
          <w:p>
            <w:r>
              <w:rPr>
                <w:b/>
              </w:rPr>
              <w:t>Proposed responsibility</w:t>
            </w:r>
          </w:p>
        </w:tc>
      </w:tr>
      <w:tr>
        <w:trPr>
          <w:cantSplit/>
        </w:trPr>
        <w:tc>
          <w:tcPr>
            <w:tcW w:type="dxa" w:w="2592"/>
            <w:tcBorders>
              <w:top w:val="single" w:sz="4" w:color="D9D9D9"/>
              <w:left w:val="single" w:sz="4" w:color="D9D9D9"/>
              <w:bottom w:val="single" w:sz="4" w:color="D9D9D9"/>
              <w:right w:val="single" w:sz="4" w:color="D9D9D9"/>
            </w:tcBorders>
          </w:tcPr>
          <w:p>
            <w:r>
              <w:t>PED/B&amp;S</w:t>
            </w:r>
          </w:p>
        </w:tc>
        <w:tc>
          <w:tcPr>
            <w:tcW w:type="dxa" w:w="6624"/>
            <w:tcBorders>
              <w:top w:val="single" w:sz="4" w:color="D9D9D9"/>
              <w:left w:val="single" w:sz="4" w:color="D9D9D9"/>
              <w:bottom w:val="single" w:sz="4" w:color="D9D9D9"/>
              <w:right w:val="single" w:sz="4" w:color="D9D9D9"/>
            </w:tcBorders>
          </w:tcPr>
          <w:p>
            <w:r>
              <w:t>Issue approved framework, sponsor common data definitions, arrange technical coordination, review compliance and propose revisions through competent channels</w:t>
            </w:r>
          </w:p>
        </w:tc>
      </w:tr>
      <w:tr>
        <w:trPr>
          <w:cantSplit/>
        </w:trPr>
        <w:tc>
          <w:tcPr>
            <w:tcW w:type="dxa" w:w="2592"/>
            <w:tcBorders>
              <w:top w:val="single" w:sz="4" w:color="D9D9D9"/>
              <w:left w:val="single" w:sz="4" w:color="D9D9D9"/>
              <w:bottom w:val="single" w:sz="4" w:color="D9D9D9"/>
              <w:right w:val="single" w:sz="4" w:color="D9D9D9"/>
            </w:tcBorders>
          </w:tcPr>
          <w:p>
            <w:r>
              <w:t>Zonal GM</w:t>
            </w:r>
          </w:p>
        </w:tc>
        <w:tc>
          <w:tcPr>
            <w:tcW w:type="dxa" w:w="6624"/>
            <w:tcBorders>
              <w:top w:val="single" w:sz="4" w:color="D9D9D9"/>
              <w:left w:val="single" w:sz="4" w:color="D9D9D9"/>
              <w:bottom w:val="single" w:sz="4" w:color="D9D9D9"/>
              <w:right w:val="single" w:sz="4" w:color="D9D9D9"/>
            </w:tcBorders>
          </w:tcPr>
          <w:p>
            <w:r>
              <w:t>Nominate zonal nodal officer, coordinate departments and ensure quality-reviewed portfolio submission</w:t>
            </w:r>
          </w:p>
        </w:tc>
      </w:tr>
      <w:tr>
        <w:trPr>
          <w:cantSplit/>
        </w:trPr>
        <w:tc>
          <w:tcPr>
            <w:tcW w:type="dxa" w:w="2592"/>
            <w:tcBorders>
              <w:top w:val="single" w:sz="4" w:color="D9D9D9"/>
              <w:left w:val="single" w:sz="4" w:color="D9D9D9"/>
              <w:bottom w:val="single" w:sz="4" w:color="D9D9D9"/>
              <w:right w:val="single" w:sz="4" w:color="D9D9D9"/>
            </w:tcBorders>
          </w:tcPr>
          <w:p>
            <w:r>
              <w:t>Zonal engineering organization</w:t>
            </w:r>
          </w:p>
        </w:tc>
        <w:tc>
          <w:tcPr>
            <w:tcW w:type="dxa" w:w="6624"/>
            <w:tcBorders>
              <w:top w:val="single" w:sz="4" w:color="D9D9D9"/>
              <w:left w:val="single" w:sz="4" w:color="D9D9D9"/>
              <w:bottom w:val="single" w:sz="4" w:color="D9D9D9"/>
              <w:right w:val="single" w:sz="4" w:color="D9D9D9"/>
            </w:tcBorders>
          </w:tcPr>
          <w:p>
            <w:r>
              <w:t>Validate inventory, alternatives, feasibility, drainage, land, utilities, costs and construction implications</w:t>
            </w:r>
          </w:p>
        </w:tc>
      </w:tr>
      <w:tr>
        <w:trPr>
          <w:cantSplit/>
        </w:trPr>
        <w:tc>
          <w:tcPr>
            <w:tcW w:type="dxa" w:w="2592"/>
            <w:tcBorders>
              <w:top w:val="single" w:sz="4" w:color="D9D9D9"/>
              <w:left w:val="single" w:sz="4" w:color="D9D9D9"/>
              <w:bottom w:val="single" w:sz="4" w:color="D9D9D9"/>
              <w:right w:val="single" w:sz="4" w:color="D9D9D9"/>
            </w:tcBorders>
          </w:tcPr>
          <w:p>
            <w:r>
              <w:t>Operating organization</w:t>
            </w:r>
          </w:p>
        </w:tc>
        <w:tc>
          <w:tcPr>
            <w:tcW w:type="dxa" w:w="6624"/>
            <w:tcBorders>
              <w:top w:val="single" w:sz="4" w:color="D9D9D9"/>
              <w:left w:val="single" w:sz="4" w:color="D9D9D9"/>
              <w:bottom w:val="single" w:sz="4" w:color="D9D9D9"/>
              <w:right w:val="single" w:sz="4" w:color="D9D9D9"/>
            </w:tcBorders>
          </w:tcPr>
          <w:p>
            <w:r>
              <w:t>Validate gate/train events, attributable delay, congestion and independently supported corridor-capacity claims</w:t>
            </w:r>
          </w:p>
        </w:tc>
      </w:tr>
      <w:tr>
        <w:trPr>
          <w:cantSplit/>
        </w:trPr>
        <w:tc>
          <w:tcPr>
            <w:tcW w:type="dxa" w:w="2592"/>
            <w:tcBorders>
              <w:top w:val="single" w:sz="4" w:color="D9D9D9"/>
              <w:left w:val="single" w:sz="4" w:color="D9D9D9"/>
              <w:bottom w:val="single" w:sz="4" w:color="D9D9D9"/>
              <w:right w:val="single" w:sz="4" w:color="D9D9D9"/>
            </w:tcBorders>
          </w:tcPr>
          <w:p>
            <w:r>
              <w:t>Finance organization</w:t>
            </w:r>
          </w:p>
        </w:tc>
        <w:tc>
          <w:tcPr>
            <w:tcW w:type="dxa" w:w="6624"/>
            <w:tcBorders>
              <w:top w:val="single" w:sz="4" w:color="D9D9D9"/>
              <w:left w:val="single" w:sz="4" w:color="D9D9D9"/>
              <w:bottom w:val="single" w:sz="4" w:color="D9D9D9"/>
              <w:right w:val="single" w:sz="4" w:color="D9D9D9"/>
            </w:tcBorders>
          </w:tcPr>
          <w:p>
            <w:r>
              <w:t>Review price base, economic assumptions, discounting, affordability and benefit-overlap controls</w:t>
            </w:r>
          </w:p>
        </w:tc>
      </w:tr>
      <w:tr>
        <w:trPr>
          <w:cantSplit/>
        </w:trPr>
        <w:tc>
          <w:tcPr>
            <w:tcW w:type="dxa" w:w="2592"/>
            <w:tcBorders>
              <w:top w:val="single" w:sz="4" w:color="D9D9D9"/>
              <w:left w:val="single" w:sz="4" w:color="D9D9D9"/>
              <w:bottom w:val="single" w:sz="4" w:color="D9D9D9"/>
              <w:right w:val="single" w:sz="4" w:color="D9D9D9"/>
            </w:tcBorders>
          </w:tcPr>
          <w:p>
            <w:r>
              <w:t>Safety organization</w:t>
            </w:r>
          </w:p>
        </w:tc>
        <w:tc>
          <w:tcPr>
            <w:tcW w:type="dxa" w:w="6624"/>
            <w:tcBorders>
              <w:top w:val="single" w:sz="4" w:color="D9D9D9"/>
              <w:left w:val="single" w:sz="4" w:color="D9D9D9"/>
              <w:bottom w:val="single" w:sz="4" w:color="D9D9D9"/>
              <w:right w:val="single" w:sz="4" w:color="D9D9D9"/>
            </w:tcBorders>
          </w:tcPr>
          <w:p>
            <w:r>
              <w:t>Review accident/near-miss evidence and risk-reduction estimates; flag urgent safety measures separately</w:t>
            </w:r>
          </w:p>
        </w:tc>
      </w:tr>
      <w:tr>
        <w:trPr>
          <w:cantSplit/>
        </w:trPr>
        <w:tc>
          <w:tcPr>
            <w:tcW w:type="dxa" w:w="2592"/>
            <w:tcBorders>
              <w:top w:val="single" w:sz="4" w:color="D9D9D9"/>
              <w:left w:val="single" w:sz="4" w:color="D9D9D9"/>
              <w:bottom w:val="single" w:sz="4" w:color="D9D9D9"/>
              <w:right w:val="single" w:sz="4" w:color="D9D9D9"/>
            </w:tcBorders>
          </w:tcPr>
          <w:p>
            <w:r>
              <w:t>Divisional team under DRM</w:t>
            </w:r>
          </w:p>
        </w:tc>
        <w:tc>
          <w:tcPr>
            <w:tcW w:type="dxa" w:w="6624"/>
            <w:tcBorders>
              <w:top w:val="single" w:sz="4" w:color="D9D9D9"/>
              <w:left w:val="single" w:sz="4" w:color="D9D9D9"/>
              <w:bottom w:val="single" w:sz="4" w:color="D9D9D9"/>
              <w:right w:val="single" w:sz="4" w:color="D9D9D9"/>
            </w:tcBorders>
          </w:tcPr>
          <w:p>
            <w:r>
              <w:t>Coordinate field measurement, stakeholder consultation, source records and joint proposal preparation</w:t>
            </w:r>
          </w:p>
        </w:tc>
      </w:tr>
      <w:tr>
        <w:trPr>
          <w:cantSplit/>
        </w:trPr>
        <w:tc>
          <w:tcPr>
            <w:tcW w:type="dxa" w:w="2592"/>
            <w:tcBorders>
              <w:top w:val="single" w:sz="4" w:color="D9D9D9"/>
              <w:left w:val="single" w:sz="4" w:color="D9D9D9"/>
              <w:bottom w:val="single" w:sz="4" w:color="D9D9D9"/>
              <w:right w:val="single" w:sz="4" w:color="D9D9D9"/>
            </w:tcBorders>
          </w:tcPr>
          <w:p>
            <w:r>
              <w:t>Designated data/IT custodian</w:t>
            </w:r>
          </w:p>
        </w:tc>
        <w:tc>
          <w:tcPr>
            <w:tcW w:type="dxa" w:w="6624"/>
            <w:tcBorders>
              <w:top w:val="single" w:sz="4" w:color="D9D9D9"/>
              <w:left w:val="single" w:sz="4" w:color="D9D9D9"/>
              <w:bottom w:val="single" w:sz="4" w:color="D9D9D9"/>
              <w:right w:val="single" w:sz="4" w:color="D9D9D9"/>
            </w:tcBorders>
          </w:tcPr>
          <w:p>
            <w:r>
              <w:t>Maintain controlled master versions, source provenance, access, reproducible results and audit trail</w:t>
            </w:r>
          </w:p>
        </w:tc>
      </w:tr>
    </w:tbl>
    <w:p>
      <w:r>
        <w:t>Specific designations and departmental assignments shall be confirmed by the issuing authority rather than inferred from this draft.</w:t>
      </w:r>
    </w:p>
    <w:p>
      <w:pPr>
        <w:pStyle w:val="Heading1"/>
      </w:pPr>
      <w:r>
        <w:t>4 Common LC master</w:t>
      </w:r>
    </w:p>
    <w:p>
      <w:r>
        <w:t>Each LC shall have a unique persistent identifier, gate number, division, zone, railway section, location, road class, gate/interlocking attributes, engineering feasibility and treatment alternatives. Masters shall be separate from software and observation data. Published versions shall be immutable; corrections require a superseding approved version. Source records and reviewer identity shall accompany amendments.</w:t>
      </w:r>
    </w:p>
    <w:p>
      <w:pPr>
        <w:pStyle w:val="Heading1"/>
      </w:pPr>
      <w:r>
        <w:t>5 Evidence and data quality</w:t>
      </w:r>
    </w:p>
    <w:p>
      <w:r>
        <w:t>Collect representative road counts by vehicle class and direction, gate closure/reopening events and railway movements. Continuous or sampled AI classification shall be validated against independent manual observations. The nodal team shall state observation duration, seasonal limitations, missing intervals, detection error, duplicate removal and clock synchronization. Ten-second bins are the preferred software format, not a substitute for field representativeness. Missing counts shall not be treated as zero. Accident and near-miss evidence shall be checked for duplicate reporting and exposure. Sensitive records shall follow approved access and retention rules.</w:t>
      </w:r>
    </w:p>
    <w:p>
      <w:pPr>
        <w:pStyle w:val="Heading1"/>
      </w:pPr>
      <w:r>
        <w:t>6 Alternatives and mandatory safeguards</w:t>
      </w:r>
    </w:p>
    <w:p>
      <w:r>
        <w:t>Appraise retain and feasible ROB/RUB/diversion/closure alternatives. Document land, drainage/flood risk, clearances, utilities, pedestrian/cycle access, emergency access and community impacts. Gate closure proposals require verified alternative access and consultation through applicable procedures. Infeasible options shall be excluded before ranking. Immediate safety action shall follow extant requirements and shall not wait for a favorable economic ranking.</w:t>
      </w:r>
    </w:p>
    <w:p>
      <w:pPr>
        <w:pStyle w:val="Heading1"/>
      </w:pPr>
      <w:r>
        <w:t>7 Appraisal standards</w:t>
      </w:r>
    </w:p>
    <w:p>
      <w:r>
        <w:t>Show road vehicle/person delay; attributable rail delay; separately justified corridor-capacity benefit; expected casualty and accident-cost reduction; reliability; accessibility; emissions; distributional impacts; capital and incremental life-cycle costs. Use a common price year and authority-approved economic assumptions. Report NPV, BCR and EIRR with assumptions and sensitivity. Avoid counting the same train-delay/path benefit, wages/VOT, reliability saving or accessibility travel-time saving twice. Assess corridor packages jointly when individual LC removals interact. Where evidence cannot support a benefit, report it qualitatively or as an unmonetized indicator rather than assigning an unsupported value.</w:t>
      </w:r>
    </w:p>
    <w:p>
      <w:pPr>
        <w:pStyle w:val="Heading1"/>
      </w:pPr>
      <w:r>
        <w:t>8 Prioritisation and portfolio rules</w:t>
      </w:r>
    </w:p>
    <w:p>
      <w:r>
        <w:t>State budget basis explicitly: annual/phased capital affordability and life-cycle present-value cost serve different purposes. Compare portfolios under transparent economic and policy priorities. Safety/equity/regional floors and weighting choices shall be approved and disclosed. Retain shall not satisfy minimum intervention counts. Document mutually exclusive alternatives and dependencies. Present projects robust to plausible assumptions and material tradeoffs; no single algorithmic ranking shall substitute for competent review. Departures from the recommended portfolio shall record reasons.</w:t>
      </w:r>
    </w:p>
    <w:p>
      <w:pPr>
        <w:pStyle w:val="Heading1"/>
      </w:pPr>
      <w:r>
        <w:t>9 Submission package to Railway Board</w:t>
      </w:r>
    </w:p>
    <w:p>
      <w:r>
        <w:t>Zonal submissions should include (a) signed master/version and source-quality statement; (b) alternatives/feasibility matrix; (c) engineering estimate and funding/implementation plan; (d) component appraisal and nonmonetary indicators; (e) corridor-overlap statement; (f) sensitivity and portfolio comparison; (g) consultation/accessibility findings; (h) joint departmental review; and (i) software/model version and reproducible scenario files. Existing mandatory formats shall also be furnished.</w:t>
      </w:r>
    </w:p>
    <w:p>
      <w:pPr>
        <w:pStyle w:val="Heading1"/>
      </w:pPr>
      <w:r>
        <w:t>10 Proposed phased implementation</w:t>
      </w:r>
    </w:p>
    <w:p>
      <w:r>
        <w:t>Phase I: issuing office confirms governance, common definitions and approved reference assumptions. Phase II: selected zonal pilots demonstrate measurement quality and independently reviewed results. Phase III: evaluate pilot outcomes, correct model weaknesses and approve scale-up. Pilot zones, timeframes and funding shall be specified by the competent authority; this draft imposes no unapproved deadlines or expenditure commitments.</w:t>
      </w:r>
    </w:p>
    <w:p>
      <w:pPr>
        <w:pStyle w:val="Heading1"/>
      </w:pPr>
      <w:r>
        <w:t>11 Monitoring and review</w:t>
      </w:r>
    </w:p>
    <w:p>
      <w:r>
        <w:t>Track actual construction cost, completion time, closure changes, queue outcomes, safety indicators, drainage/access issues and attributable railway effects against approved baselines. Investigate systematic prediction error; retain historical model versions. The issuing office may propose periodic review and updates based on field evidence and competent approval.</w:t>
      </w:r>
    </w:p>
    <w:p>
      <w:pPr>
        <w:pStyle w:val="Heading1"/>
      </w:pPr>
      <w:r>
        <w:t>12 Approval and issue block</w:t>
      </w:r>
    </w:p>
    <w:p>
      <w:r>
        <w:t>Draft prepared for consideration of PED/B&amp;S. Inter-directorate concurrence, financial review and competent approval: pending. Final issue number/date/signature: pending. The issuing office shall remove the draft marking only after completion of the approval process.</w:t>
      </w:r>
    </w:p>
    <w:p>
      <w:pPr>
        <w:pStyle w:val="Heading1"/>
      </w:pPr>
      <w:r>
        <w:t>Annexure A Recommended appraisal summary</w:t>
      </w:r>
    </w:p>
    <w:p>
      <w:r>
        <w:t>LC identifier; zone/division/section; master version; evidence period; quality flags; treatment; feasibility; initial/phased cost; incremental O&amp;M; funding; price year; discount/growth/horizon; road delay; casualties/risk; rail delay; corridor capacity and overlap; emissions; accessibility; vulnerable groups; NPV/BCR/EIRR; sensitivity; dependencies; recommended portfolio; reviewers; sanction pathway.</w:t>
      </w:r>
    </w:p>
    <w:p>
      <w:pPr>
        <w:pStyle w:val="Heading1"/>
      </w:pPr>
      <w:r>
        <w:t>Annexure B Policy decisions requiring approval</w:t>
      </w:r>
    </w:p>
    <w:p>
      <w:r>
        <w:t>Approved economic-reference source and price year; treatment of safety urgency; objective normalization and weights; distributional floors; capital versus life-cycle affordability; validation thresholds; audit/retention/access controls; pilot scope; organizational designations and review frequency.</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Gopalakrishnan</dc:creator>
  <cp:keywords/>
  <dc:description>generated by python-docx</dc:description>
  <cp:lastModifiedBy/>
  <cp:revision>1</cp:revision>
  <dcterms:created xsi:type="dcterms:W3CDTF">2013-12-23T23:15:00Z</dcterms:created>
  <dcterms:modified xsi:type="dcterms:W3CDTF">2013-12-23T23:15:00Z</dcterms:modified>
  <cp:category/>
</cp:coreProperties>
</file>