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Crossing Grade Separation Technical Specification</w:t>
      </w:r>
    </w:p>
    <w:p>
      <w:r>
        <w:t>R. Gopalakrishnan | 15 October 2026 | Companion to August 2026 manuscript</w:t>
      </w:r>
    </w:p>
    <w:p>
      <w:pPr>
        <w:pStyle w:val="Heading1"/>
      </w:pPr>
      <w:r>
        <w:t>Revision and interpretation</w:t>
      </w:r>
    </w:p>
    <w:p>
      <w:r>
        <w:t>Preserve the multi-objective thesis: TVU is exposure, not a welfare objective. Revised software treatment distinguishes measured data, engineering estimates, model-derived consequences and policy choices. Capital budget and discounted life-cycle budget are selectable, addressing the manuscript's ambiguous use of life-cycle costs against an annual capital envelope. Operational sanction, statutory processes and engineering design remain separate.</w:t>
      </w:r>
    </w:p>
    <w:p>
      <w:pPr>
        <w:pStyle w:val="Heading1"/>
      </w:pPr>
      <w:r>
        <w:t>Queue calculation</w:t>
      </w:r>
    </w:p>
    <w:p>
      <w:r>
        <w:t>Ten-second deterministic fluid approximation with aggregate vehicles. Arrivals are counts, not rates. Synthetic arrivals use normalized morning/evening peaks; observed arrays override this profile. Generate uniformly spaced synthetic train closure events or use supplied intervals. Overlaps are merged by bin occupancy, avoiding double-counting closure time. Within each bin: departures=min(queue+arrivals, discharge_rate*dt) when open; zero when closed. Integrate queue with trapezoidal area in vehicle-minutes; divide by 60. Person-hours use average occupancy. An event partially occupying a bin closes the whole bin, introducing up to one-bin boundary error. Residual midnight queues are flagged rather than silently cleared; multi-day cyclic simulation is a future extension.</w:t>
      </w:r>
    </w:p>
    <w:p>
      <w:pPr>
        <w:pStyle w:val="Heading1"/>
      </w:pPr>
      <w:r>
        <w:t>Appraisal</w:t>
      </w:r>
    </w:p>
    <w:p>
      <w:r>
        <w:t>Annual road saving = 365 × (baseline vehicle-hours × delay reduction − detour vehicle-hours) × (occupancy × person VOT + freight share × time-related freight operating cost). Freight VOC must exclude already included wage/time elements. Rail delay = 365 × movements/day × minutes saved/60 × train-hour value. Capacity = 365 × additional paths/day × INR/path. Incremental safety cost and casualties use baseline expected burden × reduction. Avoid assuming that historical zero crashes imply zero risk. CO2 = saved queue-hours × idling emission factor; carbon value is optional. Detour emissions and induced traffic are not yet modeled, so carbon saving is a partial indicator.</w:t>
      </w:r>
    </w:p>
    <w:p>
      <w:r>
        <w:t>PV benefits=sum annual benefit × (1+growth)^(t−1)/(1+discount)^t. PV costs=initial capital + discounted incremental annual O&amp;M. NPV=PV benefits−PV costs. BCR is null for zero cost. EIRR uses bisection for a sign-changing root in −99% to 1000%; null means no root found in that bracket, not zero return. Construction delay, phased capital, residual value, replacement, escalation and component-specific growth are not yet implemented.</w:t>
      </w:r>
    </w:p>
    <w:p>
      <w:pPr>
        <w:pStyle w:val="Heading1"/>
      </w:pPr>
      <w:r>
        <w:t>Strategic indicators</w:t>
      </w:r>
    </w:p>
    <w:p>
      <w:r>
        <w:t>Fatalities/injuries avoided are physical outputs from supplied expected rates. Accessibility gain and vulnerable-benefit share are externally supplied, not generated by GIS or household data. P95 queue-clearance time is not the paper's exceedance probability. Reliability is not separately monetized to avoid duplication of ordinary time benefits. Policy scores supplied to portfolio must disclose normalization and weights; there is no automatic claim that arbitrary scores implement a calibrated multi-objective welfare model.</w:t>
      </w:r>
    </w:p>
    <w:p>
      <w:pPr>
        <w:pStyle w:val="Heading1"/>
      </w:pPr>
      <w:r>
        <w:t>Optimization</w:t>
      </w:r>
    </w:p>
    <w:p>
      <w:r>
        <w:t>Binary decision per candidate with at most one treatment per LC. Retain is implicit. Objective maximizes either INR NPV or supplied 0–1 strategic scores. Constraints: selected cost within chosen budget basis; minimum annual safety benefit; minimum rural projects; minimum congested-corridor projects; at most one capacity-claim project per section. The rural/congested constraints count actual interventions, correcting the paper formulation that could otherwise count retain. MILP time limit 30 seconds; report feasible incumbent separately from proven optimum. Pareto enumeration and robustness selection frequency are future work.</w:t>
      </w:r>
    </w:p>
    <w:p>
      <w:pPr>
        <w:pStyle w:val="Heading1"/>
      </w:pPr>
      <w:r>
        <w:t>Worked reference</w:t>
      </w:r>
    </w:p>
    <w:p>
      <w:r>
        <w:t>Paper's triangular example: arrivals 2.1 vehicles/minute, closure 6 minutes, dissipation 4 minutes gives peak 12.6, area 63 vehicle-minutes/event and 42 vehicle-hours/day for 40 nonoverlapping events. It is a local event approximation. A daily total of 3000 means uniform arrivals 2.0833/minute, so matching the event example exactly requires a slightly different daily total or observed peak arrivals. Test the reference formula separately; do not force the daily dynamic model to match inconsistent rounded inputs.</w:t>
      </w:r>
    </w:p>
    <w:p>
      <w:pPr>
        <w:pStyle w:val="Heading1"/>
      </w:pPr>
      <w:r>
        <w:t>Validation and interpretation</w:t>
      </w:r>
    </w:p>
    <w:p>
      <w:r>
        <w:t>Check vehicle conservation, event overlap, zero-closure delay, queue overload, discounted cash flows, detour negative benefits, treatment exclusivity, infeasible budgets and solver optima. Field calibration requires at least sampled queue trajectories, observed gate event durations, directions/classes, discharge estimates and independent engineering review. No default numeric assumption in this package is an IR-approved appraisal constant.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Gopalakrishnan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