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3577880859375" w:lineRule="auto"/>
        <w:ind w:left="38.5247802734375" w:right="673.8616943359375" w:firstLine="28.454437255859375"/>
        <w:jc w:val="left"/>
        <w:rPr>
          <w:rFonts w:ascii="Arial" w:cs="Arial" w:eastAsia="Arial" w:hAnsi="Arial"/>
          <w:b w:val="1"/>
          <w:bCs w:val="1"/>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91999816894531"/>
          <w:szCs w:val="43.91999816894531"/>
          <w:u w:val="none"/>
          <w:shd w:fill="auto" w:val="clear"/>
          <w:vertAlign w:val="baseline"/>
          <w:rtl w:val="0"/>
        </w:rPr>
        <w:t xml:space="preserve">Failure to Screen a Premature Infant for  ROP: Case Summary and Ethical  Guidelines in India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392578125" w:line="252.01263427734375" w:lineRule="auto"/>
        <w:ind w:left="52.30072021484375" w:right="775.13916015625" w:hanging="20.505523681640625"/>
        <w:jc w:val="lef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Case Summary: Missed ROP Screening Leading to  Blindness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7783203125" w:line="220.10840892791748" w:lineRule="auto"/>
        <w:ind w:left="3.62884521484375" w:right="334.498291015625" w:firstLine="19.95834350585937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In the case the Maharashtra State Consumer Disputes Redressal  Commission addressed a complaint filed by the parents of a premature  infant, A., born on 26 November 2007 at 28–30 weeks' gestation with a  birth weight of 1280 grams. The child was treated by pediatricians Dr. S.M.  and Dr. P.S. at A.N.H. Premature infants, especially those with low birth  weight, are at a high risk of developing Retinopathy of Prematurity (ROP), a  preventable cause of childhood blindness. The parents alleged that the  doctors failed to inform them about the risk of ROP and did not refer the  child for ophthalmologic screening.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967529296875" w:line="220.0252389907837" w:lineRule="auto"/>
        <w:ind w:left="3.62884521484375" w:right="348.4967041015625"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At six months, an ophthalmologist diagnosed Stage V ROP with total retinal  detachment, leading to permanent blindness. In response, the parents filed  a consumer complaint in 2009 seeking ₹63.6 lakh as compensation. The  doctors defended themselves by claiming they verbally advised the parents  to get an ENT and eye check-up after discharge. They argued that ROP  was an inherent risk and that the parents failed to follow their advice,  presenting expert affidavits in their support.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86474609375" w:line="220.10879516601562" w:lineRule="auto"/>
        <w:ind w:left="3.62884521484375" w:right="368.197021484375"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The Commission found that the discharge and treatment records did not  include any written advice for ophthalmologic evaluation, and the verbal  advice provided was unsupported by documentation. The Commission  emphasized that, given the doctors' awareness of the ROP risk, they had a  duty to inform the parents and refer them for screening within 4–5 weeks of  birth. The explanation that "WNL" (Within Normal Limits) referred only to an  external eye examination was found unsatisfactory. Relying on the V.  Krishnakumar vs. State of Tamil Nadu case, the Commission held that  failure to inform parents about the ROP risk constituted medical negligence.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96142578125" w:line="219.97358322143555" w:lineRule="auto"/>
        <w:ind w:left="10.3680419921875" w:right="351.8646240234375" w:hanging="6.7391967773437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The Commission ruled that the failure to document or communicate the  necessary advice was a deficiency in service under Section 2(1)(g) of the  Consumer Protection Act, 1986, and awarded partial compensation, as  blindness was partly caused by an inherent risk. Dr. S.M. and Dr. P.S. were  held liable and ordered to pay ₹5,00,000 as compensation and ₹10,000 as  costs. However, Dr. H.M. (Gynecologist), C.H., and A.N.H. were not found  negligent.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62060546875" w:line="220.2823305130005" w:lineRule="auto"/>
        <w:ind w:left="22.809600830078125" w:right="1474.398193359375" w:firstLine="0.7775878906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In the subsequent appeal before the National Consumer Disputes  Redressal Commission (NCDRC) in 2013, th</w:t>
      </w:r>
      <w:r w:rsidDel="00000000" w:rsidR="00000000" w:rsidRPr="00000000">
        <w:rPr>
          <w:sz w:val="25.920000076293945"/>
          <w:szCs w:val="25.920000076293945"/>
          <w:rtl w:val="0"/>
        </w:rPr>
        <w:t xml:space="preserve">e advocate of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Dr. S.M. informed the Commission that the matter had been settled amicably out of court.  Consequently, the appeal was dismissed as not pressed. The NCDRC  directed the deposit of ₹1,25,000 to be released to the complainants on  behalf of the child, A., and the statutory amount of ₹35,000 to be refunded  to the appellant. Although the case was settled out of court, the State  Commission's findings on partial deficiency remained intact, and the matter  was resolved through mutual settlement.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94287109375" w:line="240" w:lineRule="auto"/>
        <w:ind w:left="30.7943725585937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Key Medico-Legal Takeaways: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0908203125" w:line="219.91219997406006" w:lineRule="auto"/>
        <w:ind w:left="961.8399047851562" w:right="913.797607421875" w:hanging="325.679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Documentation of advice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regarding ROP screening is essential for  premature infants.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7568359375" w:line="220.91124057769775" w:lineRule="auto"/>
        <w:ind w:left="598.9599609375" w:right="915.556640625" w:hanging="4.319915771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Verbal advice alone is insufficient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discharge the duty of care.  3. Even when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inherent risks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involved,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duty to warn and refer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remains binding.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8837890625" w:line="219.91219997406006" w:lineRule="auto"/>
        <w:ind w:left="964.2399597167969" w:right="843.9166259765625" w:hanging="370.3199768066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Gynaecologists and hospitals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were rightly found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 negligent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pediatric follow-up responsibility lies with the treating pediatricians.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07421875" w:line="219.91219997406006" w:lineRule="auto"/>
        <w:ind w:left="8.639984130859375" w:right="980.39794921875" w:firstLine="0.720062255859375"/>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Out-of-court settlements often bring closure while maintaining confidentiality  and avoiding prolonged litigation.</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2073974609375" w:line="547.968864440918" w:lineRule="auto"/>
        <w:ind w:left="10.252685546875" w:right="163.751220703125" w:hanging="10.252685546875"/>
        <w:jc w:val="lef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What the forum actually punished—and what it didn’t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44091796875" w:line="249.9001407623291" w:lineRule="auto"/>
        <w:ind w:left="744.7264099121094" w:right="170.48583984375" w:hanging="346.3168334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Negligent act found: Failure to inform parents of ROP risk and failure to guide/refer to  pediatric ophthalmology during NICU stay and at early follow-ups.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7431640625" w:line="249.9001407623291" w:lineRule="auto"/>
        <w:ind w:left="738.3518981933594" w:right="742.3907470703125" w:hanging="339.942321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Not strictly punished: Broader perinatal management, obstetric care, or hospital  corporate liability (on the facts presented).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17333984375" w:line="249.9001407623291" w:lineRule="auto"/>
        <w:ind w:left="733.9646911621094" w:right="660.97412109375" w:hanging="335.55511474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Damages: Lump-sum ₹ 5 lakh considering the lapse; blindness wasn’t attributed  solely to the lapse given ROP’s multifactorial nature.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180908203125" w:line="497.6268768310547" w:lineRule="auto"/>
        <w:ind w:left="25.90087890625" w:right="103.751220703125" w:firstLine="34.09912109375"/>
        <w:jc w:val="lef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Legal framing and precedents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099609375" w:line="228.89405250549316" w:lineRule="auto"/>
        <w:ind w:left="725.4110717773438" w:right="164.33837890625" w:hanging="327.0014953613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Duty to warn + refer in ROP: Courts have recognized failure to screen/warn for ROP  in premature infants as negligence. The Supreme Court in V. Krishnakumar v. State  of Tamil Nadu (2015) affirmed liability where a premature infant wasn’t  warned/referred for ROP screening, resulting in blindness.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9697265625" w:line="250.95025062561035" w:lineRule="auto"/>
        <w:ind w:left="730.0479125976562" w:right="469.925537109375" w:hanging="331.6383361816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Informed consent in treatment (non-research): Samira Kohli v. Dr. Prabha  Manchanda (2008) remains the touchstone: valid consent requires adequate  disclosure of nature, benefits, risks, and alternatives that a prudent patient would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41107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want to know; undocumented or vague consent can fail.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734375" w:line="250.98675727844238" w:lineRule="auto"/>
        <w:ind w:left="734.8478698730469" w:right="400.0555419921875" w:hanging="336.4382934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Professional conduct expectations: The National Medical Commission (NMC) RMP  (Professional Conduct) Regulations, 2023 reinforce patient-centric disclosure,  documentation, and clarity in communication/records.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4189453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26904296875" w:line="250.60409545898438" w:lineRule="auto"/>
        <w:ind w:left="739.0478515625" w:right="849.3048095703125" w:hanging="330.1982116699219"/>
        <w:jc w:val="lef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Key Risk Factors for Retinopathy of Prematurity  (ROP)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29443359375" w:line="252.0732307434082" w:lineRule="auto"/>
        <w:ind w:left="739.3502807617188" w:right="1156.1431884765625" w:hanging="360.140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addition to preterm birth, several factors increase the risk of developing  Retinopathy of Prematurity (ROP).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0458984375" w:line="240" w:lineRule="auto"/>
        <w:ind w:left="379.2095947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Excessive exposure to oxygen is a major cause of severe ROP.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9.90008354187012" w:lineRule="auto"/>
        <w:ind w:left="721.6862487792969" w:right="208.5791015625" w:hanging="342.4766540527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Other contributing factors include neonatal sepsis, intraventricular hemorrhage,  and respiratory distress, all of which can compromise retinal vessel development.  Failure to gain adequate weight and the need for multiple blood transfusions further  heighten the risk. Together, these conditions make premature infants particularly  vulnerable to ROP.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1870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2.197265625" w:firstLine="0"/>
        <w:jc w:val="left"/>
        <w:rPr>
          <w:b w:val="1"/>
          <w:bCs w:val="1"/>
          <w:sz w:val="36"/>
          <w:szCs w:val="36"/>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2.197265625" w:firstLine="0"/>
        <w:jc w:val="left"/>
        <w:rPr>
          <w:b w:val="1"/>
          <w:bCs w:val="1"/>
          <w:sz w:val="36"/>
          <w:szCs w:val="36"/>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Protocol for screening for RO</w:t>
      </w:r>
      <w:r w:rsidDel="00000000" w:rsidR="00000000" w:rsidRPr="00000000">
        <w:rPr>
          <w:b w:val="1"/>
          <w:bCs w:val="1"/>
          <w:sz w:val="36"/>
          <w:szCs w:val="36"/>
          <w:rtl w:val="0"/>
        </w:rPr>
        <w:t xml:space="preserve">P</w:t>
      </w:r>
    </w:p>
    <w:p w:rsidR="00000000" w:rsidDel="00000000" w:rsidP="00000000" w:rsidRDefault="00000000" w:rsidRPr="00000000" w14:paraId="0000001E">
      <w:pPr>
        <w:widowControl w:val="0"/>
        <w:spacing w:before="1149.822998046875" w:lineRule="auto"/>
        <w:ind w:left="15.475311279296875" w:right="613.572998046875" w:hanging="1.7041015625"/>
        <w:rPr>
          <w:b w:val="1"/>
          <w:bCs w:val="1"/>
          <w:color w:val="ff0000"/>
          <w:sz w:val="28.079999923706055"/>
          <w:szCs w:val="28.079999923706055"/>
        </w:rPr>
      </w:pPr>
      <w:r w:rsidDel="00000000" w:rsidR="00000000" w:rsidRPr="00000000">
        <w:rPr>
          <w:b w:val="1"/>
          <w:bCs w:val="1"/>
          <w:color w:val="ff0000"/>
          <w:sz w:val="28.079999923706055"/>
          <w:szCs w:val="28.079999923706055"/>
        </w:rPr>
        <w:drawing>
          <wp:inline distB="114300" distT="114300" distL="114300" distR="114300">
            <wp:extent cx="4106340" cy="7639226"/>
            <wp:effectExtent b="0" l="0" r="0" t="0"/>
            <wp:docPr descr="Figure 3" id="1" name="image1.jpg"/>
            <a:graphic>
              <a:graphicData uri="http://schemas.openxmlformats.org/drawingml/2006/picture">
                <pic:pic>
                  <pic:nvPicPr>
                    <pic:cNvPr descr="Figure 3" id="0" name="image1.jpg"/>
                    <pic:cNvPicPr preferRelativeResize="0"/>
                  </pic:nvPicPr>
                  <pic:blipFill>
                    <a:blip r:embed="rId6"/>
                    <a:srcRect b="0" l="0" r="0" t="0"/>
                    <a:stretch>
                      <a:fillRect/>
                    </a:stretch>
                  </pic:blipFill>
                  <pic:spPr>
                    <a:xfrm>
                      <a:off x="0" y="0"/>
                      <a:ext cx="4106340" cy="763922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before="1149.822998046875" w:lineRule="auto"/>
        <w:ind w:left="15.475311279296875" w:right="613.572998046875" w:hanging="1.7041015625"/>
        <w:rPr>
          <w:b w:val="1"/>
          <w:bCs w:val="1"/>
          <w:color w:val="ff0000"/>
          <w:sz w:val="28.079999923706055"/>
          <w:szCs w:val="28.079999923706055"/>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753086090088" w:lineRule="auto"/>
        <w:ind w:left="26.327972412109375" w:right="873.64501953125" w:firstLine="1.36322021484375"/>
        <w:jc w:val="lef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Steps to obtain informed consent in pediatric care  (clinical practice)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3564453125" w:line="249.90028381347656" w:lineRule="auto"/>
        <w:ind w:left="734.8478698730469" w:right="350.4095458984375" w:hanging="342.81280517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Identify the decision-maker: Generally a parent or legal guardian for &lt;18-year-olds;  document status..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19384765625" w:line="252.07380294799805" w:lineRule="auto"/>
        <w:ind w:left="744.7264099121094" w:right="563.7322998046875" w:hanging="371.7855834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Explain condition &amp; plan—in plain language: diagnosis/provisional dx, purpose of  proposed treatment/procedure, expected benefits, material risks, alternatives  (including no treatment).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865234375" w:line="250.17216682434082" w:lineRule="auto"/>
        <w:ind w:left="735.0686645507812" w:right="220.03662109375" w:hanging="361.90704345703125"/>
        <w:jc w:val="both"/>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Tailor risk disclosure to the child’s risk profile (e.g., prematurity → explicit ROP risk  and timeline for eye exams). Document that this was done. (India ROP operational  guidance.)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Lippincott Journals </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76904296875" w:line="252.0732307434082" w:lineRule="auto"/>
        <w:ind w:left="732.8607177734375" w:right="517.684326171875" w:hanging="359.6990966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Check understanding: Ask the parent to teach-back key points; record this. (NMC  2023 emphasizes communication and record-keeping.)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49.89959716796875" w:lineRule="auto"/>
        <w:ind w:left="749.3342590332031" w:right="425.35400390625" w:hanging="376.17263793945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Record consent: Use signed forms; add parent acknowledgment of referrals/follow  ups (e.g., exact date/time/location for ROP screening).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186767578125" w:line="250.08084297180176" w:lineRule="auto"/>
        <w:ind w:left="734.8478698730469" w:right="170.57861328125" w:hanging="360.8030700683594"/>
        <w:jc w:val="left"/>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Assent (when appropriate): For mature minors, seek age-appropriate assent even  outside research when feasible; note in the chart. (ICMR age guidance for assent in  research provides a practical benchmark.)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ethics.ncdirindia.org </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8514404296875" w:line="249.9001407623291" w:lineRule="auto"/>
        <w:ind w:left="749.1134643554688" w:right="427.4615478515625" w:hanging="376.393432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Provide take-home instructions (in local language) and emergency contact details;  log any defaulter-tracking outreach.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175048828125" w:line="597.586498260498" w:lineRule="auto"/>
        <w:ind w:left="25.90087890625" w:right="36.90673828125" w:hanging="25.90087890625"/>
        <w:jc w:val="lef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Practical takeaways (for hospitals, NICUs, and counsel)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4677734375" w:line="240" w:lineRule="auto"/>
        <w:ind w:left="43.6991882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For clinicians/NICUs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13671875" w:line="252.07317352294922" w:lineRule="auto"/>
        <w:ind w:left="738.131103515625" w:right="190.83251953125" w:hanging="339.7215270996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Embed a ROP risk banner on all preterm discharge summaries with: due date, place,  contact, and “no-delay” warning.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904296875" w:line="252.07317352294922" w:lineRule="auto"/>
        <w:ind w:left="749.1134643554688" w:right="638.8848876953125" w:hanging="350.70388793945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Co-sign the referral (pediatrician + NICU nurse) and give parents written &amp; verbal instructions; get parent acknowledgment.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923828125" w:line="249.90022659301758" w:lineRule="auto"/>
        <w:ind w:left="753.7216186523438" w:right="748.6279296875" w:hanging="355.3120422363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Maintain a defaulter-tracking log (calls/SMS/WhatsApp) until screening is done;  record attempts.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829345703125" w:line="249.89991188049316" w:lineRule="auto"/>
        <w:ind w:left="754.6047973632812" w:right="-19.200439453125" w:hanging="356.1952209472656"/>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Replace “WNL” with structured eye fields: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“Dilated ROP exam: not done—referred to  Dr. ____ on (date), appointment (date/time). Parent counselled (yes/no), leaflet given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2671813964844"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(yes/no).”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744140625" w:line="240" w:lineRule="auto"/>
        <w:ind w:left="398.4095764160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Audit compliance monthly; include in quality indicators.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63.2753086090088" w:lineRule="auto"/>
        <w:ind w:left="25.90087890625" w:right="475.677490234375" w:hanging="12.609710693359375"/>
        <w:jc w:val="lef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Screening Guidelines and monitoring Retinopathy of  Prematurity (ROP) in infants.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35107421875" w:line="240" w:lineRule="auto"/>
        <w:ind w:left="10.108795166015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Screening Guidelines: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697265625" w:line="343.88463020324707" w:lineRule="auto"/>
        <w:ind w:left="726.9854736328125" w:right="568.5931396484375" w:hanging="347.77587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Birth Weight: All infants weighing less than 1250 to 1500 grams should undergo  screening.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3369140625" w:line="343.34086418151855" w:lineRule="auto"/>
        <w:ind w:left="727.6478576660156" w:right="52.52197265625" w:hanging="348.43826293945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Oxygen Supplementation: Larger premature infants who have received more than 50  days of supplemental oxygen should also be examined.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857421875" w:line="240" w:lineRule="auto"/>
        <w:ind w:left="379.2095947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Timing: Eye examinations should begin at 4 to 5 weeks of age.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26220703125" w:line="240" w:lineRule="auto"/>
        <w:ind w:left="17.88482666015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Monitoring and Follow-Up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344.4269371032715" w:lineRule="auto"/>
        <w:ind w:left="734.7134399414062" w:right="298.1201171875" w:hanging="355.50384521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Avascular Retina Assessment: The extent of the avascular retina is a crucial  indicator. Wide avascular zones (zone 1 or posterior zone 2) suggest a high risk of  ROP progression.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38818359375" w:line="240" w:lineRule="auto"/>
        <w:ind w:left="379.2095947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Examination Frequency (Once Disease Detected):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343.34046363830566" w:lineRule="auto"/>
        <w:ind w:left="723.0110168457031" w:right="472.7679443359375" w:hanging="343.8014221191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Weekly examinations are necessary to identify eyes that meet the "threshold" for  treatment.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2470703125" w:line="343.34046363830566" w:lineRule="auto"/>
        <w:ind w:left="723.0110168457031" w:right="81.38916015625" w:hanging="343.8014221191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Extremely severe cases (e.g., zone 1 + disease) may require examinations twice per  week.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63671875" w:line="343.341007232666" w:lineRule="auto"/>
        <w:ind w:left="721.6862487792969" w:right="495.2899169921875" w:hanging="342.4766540527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Duration of Examinations: Examinations should continue until the retina has fully  vascularized to the ora serrata (the extreme periphery).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19287109375" w:line="343.341007232666" w:lineRule="auto"/>
        <w:ind w:left="726.9854736328125" w:right="23.798828125" w:hanging="347.77587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Timing without Disease: If no disease is present, the timing of follow-up examinations  should be based on individual risk factors.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052734375" w:line="240" w:lineRule="auto"/>
        <w:ind w:left="22.95120239257812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Sources:  </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86.70654296875" w:line="240" w:lineRule="auto"/>
        <w:ind w:left="720" w:right="299.8809814453125" w:hanging="360"/>
        <w:jc w:val="left"/>
        <w:rPr>
          <w:rFonts w:ascii="Arial" w:cs="Arial" w:eastAsia="Arial" w:hAnsi="Arial"/>
          <w:b w:val="0"/>
          <w:bCs w:val="0"/>
          <w:i w:val="0"/>
          <w:iCs w:val="0"/>
          <w:smallCaps w:val="0"/>
          <w:strike w:val="0"/>
          <w:sz w:val="22.079999923706055"/>
          <w:szCs w:val="22.079999923706055"/>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State Consumer Disputes Redressal Commission (Maharashtra). Akash M.  Shridharani &amp; Anr. vs Dr. Sharmila Mallya &amp; Ors. (Complaint Case No. 47 of 2009,  Judgment dated February 2, 2012) </w:t>
      </w:r>
      <w:r w:rsidDel="00000000" w:rsidR="00000000" w:rsidRPr="00000000">
        <w:rPr>
          <w:rFonts w:ascii="Arial" w:cs="Arial" w:eastAsia="Arial" w:hAnsi="Arial"/>
          <w:b w:val="0"/>
          <w:bCs w:val="0"/>
          <w:i w:val="0"/>
          <w:iCs w:val="0"/>
          <w:smallCaps w:val="0"/>
          <w:strike w:val="0"/>
          <w:color w:val="0000ff"/>
          <w:sz w:val="22.079999923706055"/>
          <w:szCs w:val="22.079999923706055"/>
          <w:highlight w:val="white"/>
          <w:u w:val="single"/>
          <w:vertAlign w:val="baseline"/>
          <w:rtl w:val="0"/>
        </w:rPr>
        <w:t xml:space="preserve">https://indiankanoon.org/doc/60366700/ </w:t>
      </w:r>
      <w:r w:rsidDel="00000000" w:rsidR="00000000" w:rsidRPr="00000000">
        <w:rPr>
          <w:rFonts w:ascii="Arial" w:cs="Arial" w:eastAsia="Arial" w:hAnsi="Arial"/>
          <w:b w:val="0"/>
          <w:bCs w:val="0"/>
          <w:i w:val="0"/>
          <w:iCs w:val="0"/>
          <w:smallCaps w:val="0"/>
          <w:strike w:val="0"/>
          <w:color w:val="0000ff"/>
          <w:sz w:val="22.079999923706055"/>
          <w:szCs w:val="22.079999923706055"/>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299.8809814453125" w:hanging="360"/>
        <w:jc w:val="left"/>
        <w:rPr>
          <w:rFonts w:ascii="Arial" w:cs="Arial" w:eastAsia="Arial" w:hAnsi="Arial"/>
          <w:b w:val="0"/>
          <w:bCs w:val="0"/>
          <w:i w:val="0"/>
          <w:iCs w:val="0"/>
          <w:smallCaps w:val="0"/>
          <w:strike w:val="0"/>
          <w:sz w:val="22.079999923706055"/>
          <w:szCs w:val="22.079999923706055"/>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Case No. MA/736/2013 Judgement Order dated November 27, 2013 NCDRC  </w:t>
      </w:r>
      <w:r w:rsidDel="00000000" w:rsidR="00000000" w:rsidRPr="00000000">
        <w:rPr>
          <w:rFonts w:ascii="Arial" w:cs="Arial" w:eastAsia="Arial" w:hAnsi="Arial"/>
          <w:b w:val="0"/>
          <w:bCs w:val="0"/>
          <w:i w:val="0"/>
          <w:iCs w:val="0"/>
          <w:smallCaps w:val="0"/>
          <w:strike w:val="0"/>
          <w:color w:val="0000ff"/>
          <w:sz w:val="22.079999923706055"/>
          <w:szCs w:val="22.079999923706055"/>
          <w:highlight w:val="white"/>
          <w:u w:val="single"/>
          <w:vertAlign w:val="baseline"/>
          <w:rtl w:val="0"/>
        </w:rPr>
        <w:t xml:space="preserve">https://e-jagriti.gov.in/judgement</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50.62498092651367" w:lineRule="auto"/>
        <w:ind w:left="720" w:right="274.766845703125" w:hanging="360"/>
        <w:jc w:val="left"/>
        <w:rPr>
          <w:rFonts w:ascii="Arial" w:cs="Arial" w:eastAsia="Arial" w:hAnsi="Arial"/>
          <w:smallCaps w:val="0"/>
          <w:strike w:val="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Times of India (Dhananjay Mahapatra).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“Baby blinded by medical negligence in  1996, SC orders Rs 1.80 cr compensation in 2015.”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The Times of India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July  2015 – Report on the V. Krishnakumar vs State of TN case (Supreme  Court)</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timesofindia.indiatimes.comtimesofindia.indiatimes.com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2.0732307434082" w:lineRule="auto"/>
        <w:ind w:left="720" w:right="1520.3759765625" w:hanging="360"/>
        <w:jc w:val="left"/>
        <w:rPr>
          <w:rFonts w:ascii="Arial" w:cs="Arial" w:eastAsia="Arial" w:hAnsi="Arial"/>
          <w:b w:val="0"/>
          <w:bCs w:val="0"/>
          <w:i w:val="0"/>
          <w:iCs w:val="0"/>
          <w:smallCaps w:val="0"/>
          <w:strike w:val="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MCI Code of Ethics Regulations, 2002 – Regulation 7.16 (Consent for  treatment/procedure on minors)</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emedinexus.com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2.0732307434082" w:lineRule="auto"/>
        <w:ind w:left="720" w:right="467.5006103515625" w:hanging="360"/>
        <w:jc w:val="left"/>
        <w:rPr>
          <w:rFonts w:ascii="Arial" w:cs="Arial" w:eastAsia="Arial" w:hAnsi="Arial"/>
          <w:smallCaps w:val="0"/>
          <w:strike w:val="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Jaya Shankar Kaushik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“Informed Consent in Pediatric Practice,”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Indian  Pediatrics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2010;47:1039-46 – Legal requirements and ethical considerations for  consent involving minors</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legalserviceindia.comjournals.lww.com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Protocol for screening for ROP (flowchart)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https://pmc.ncbi.nlm.nih.gov/articles/PMC7001189/?utm_source=chatgpt.com </w:t>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beforeAutospacing="0" w:line="252.0732307434082" w:lineRule="auto"/>
        <w:ind w:left="1440" w:right="818.780517578125" w:hanging="36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Key Risk Factors for Retinopathy of Prematurity (ROP)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52.6170253753662" w:lineRule="auto"/>
        <w:ind w:left="1440" w:right="496.944580078125" w:firstLine="0"/>
        <w:jc w:val="left"/>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https://pmc.ncbi.nlm.nih.gov/articles/PMC7001189/?utm_source=chatgpt.com#re</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f14</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11865234375" w:line="252.07380294799805" w:lineRule="auto"/>
        <w:ind w:left="720" w:right="503.4625244140625" w:hanging="360"/>
        <w:jc w:val="left"/>
        <w:rPr>
          <w:rFonts w:ascii="Arial" w:cs="Arial" w:eastAsia="Arial" w:hAnsi="Arial"/>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Bhabani S.T.P. Singh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“Informed Consent in Pediatric Patients”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(Letter  to Editor),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Indian J. of Paediatric Dermatology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2024;25(3):262-264 – Discussion  of consent capacity, who can consent, and elements of pediatric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44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consent</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ournals.lww.comjournals.lww.com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7308769226074" w:lineRule="auto"/>
        <w:ind w:left="720" w:right="104.47265625" w:hanging="36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ICMR National Ethical Guidelines for Biomedical Research involving Children (2017)  – Assent and consent framework for pediatric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86279296875" w:line="240" w:lineRule="auto"/>
        <w:ind w:left="144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research</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clinregs.niaid.nih.govclinregs.niaid.nih.gov</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52.07308769226074" w:lineRule="auto"/>
        <w:ind w:left="720" w:right="442.0513916015625" w:hanging="360"/>
        <w:jc w:val="left"/>
        <w:rPr>
          <w:rFonts w:ascii="Arial" w:cs="Arial" w:eastAsia="Arial" w:hAnsi="Arial"/>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ClinRegs –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India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(NIH: ClinRegs),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Children/Minors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 Summary of Indian  regulations on parental consent and child assent in clinical trials </w:t>
      </w:r>
    </w:p>
    <w:p w:rsidR="00000000" w:rsidDel="00000000" w:rsidP="00000000" w:rsidRDefault="00000000" w:rsidRPr="00000000" w14:paraId="000000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b w:val="0"/>
          <w:bCs w:val="0"/>
          <w:i w:val="0"/>
          <w:iCs w:val="0"/>
          <w:smallCaps w:val="0"/>
          <w:strike w:val="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clinregs.niaid.nih.govclinregs.niaid.nih.gov</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2.25407600402832" w:lineRule="auto"/>
        <w:ind w:left="720" w:right="539.212646484375" w:hanging="360"/>
        <w:jc w:val="left"/>
        <w:rPr>
          <w:rFonts w:ascii="Arial" w:cs="Arial" w:eastAsia="Arial" w:hAnsi="Arial"/>
          <w:i w:val="0"/>
          <w:iCs w:val="0"/>
          <w:smallCaps w:val="0"/>
          <w:strike w:val="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Retina-Vitreous Surgeons of CNY.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“Retinopathy of Prematurity – Stages and  Treatment.”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(Patient education material) – Explanation of ROP stages and  prognosis</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rvscny.com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2.0728302001953" w:lineRule="auto"/>
        <w:ind w:left="720" w:right="395.9283447265625" w:hanging="360"/>
        <w:jc w:val="both"/>
        <w:rPr>
          <w:rFonts w:ascii="Arial" w:cs="Arial" w:eastAsia="Arial" w:hAnsi="Arial"/>
          <w:b w:val="0"/>
          <w:bCs w:val="0"/>
          <w:i w:val="0"/>
          <w:iCs w:val="0"/>
          <w:smallCaps w:val="0"/>
          <w:strike w:val="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Delhi Medical Council – Guidelines on risk disclosure (cited in Singh et al. 2024) – Emphasis that remote or theoretical risks need not always be detailed to patients  </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ournals.lww.com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2.0728302001953" w:lineRule="auto"/>
        <w:ind w:left="720" w:right="73.46923828125" w:hanging="360"/>
        <w:jc w:val="left"/>
        <w:rPr>
          <w:rFonts w:ascii="Arial" w:cs="Arial" w:eastAsia="Arial" w:hAnsi="Arial"/>
          <w:b w:val="0"/>
          <w:bCs w:val="0"/>
          <w:smallCaps w:val="0"/>
          <w:strike w:val="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Medicolegal case analysis by Dr. Neeraj Nagpal,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Journal of Indian Medico-Legal and  Ethics Association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(2017) – Recommendations on ROP screening and  documentation.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https://www.imlea-india.org/journal/Jan-Mar17.pdf </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62.93822288513184" w:lineRule="auto"/>
        <w:ind w:left="720" w:right="116.1767578125" w:hanging="360"/>
        <w:jc w:val="left"/>
        <w:rPr>
          <w:rFonts w:ascii="Arial" w:cs="Arial" w:eastAsia="Arial" w:hAnsi="Arial"/>
          <w:b w:val="0"/>
          <w:bCs w:val="0"/>
          <w:i w:val="0"/>
          <w:iCs w:val="0"/>
          <w:smallCaps w:val="0"/>
          <w:strike w:val="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textbook Clinical Practice Principles and Practice of Ophthalmology Vol.4  (Edition 4/ 2022 March) by Daniel M. Albert and Frederick A Jakohiec , outlines key  guidelines for screening and monitoring Retinopathy of Prematurity (ROP) in infants.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https://indiankanoon.org/doc/60366700/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2310791015625" w:line="240" w:lineRule="auto"/>
        <w:ind w:left="734.2718505859375" w:right="0" w:firstLine="0"/>
        <w:jc w:val="left"/>
        <w:rPr>
          <w:rFonts w:ascii="Arial" w:cs="Arial" w:eastAsia="Arial" w:hAnsi="Arial"/>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https://www.aao.org/education/topic-detail/retinopathy-of-prematurity--europe</w:t>
      </w:r>
    </w:p>
    <w:sectPr>
      <w:pgSz w:h="16800" w:w="11880" w:orient="portrait"/>
      <w:pgMar w:bottom="1546.0800170898438" w:top="1392.39990234375" w:left="1440.4800415039062" w:right="1350.80322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