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ncizvxbcfn6i" w:id="0"/>
      <w:bookmarkEnd w:id="0"/>
      <w:r w:rsidDel="00000000" w:rsidR="00000000" w:rsidRPr="00000000">
        <w:rPr>
          <w:b w:val="1"/>
          <w:bCs w:val="1"/>
          <w:color w:val="000000"/>
          <w:sz w:val="26"/>
          <w:szCs w:val="26"/>
          <w:rtl w:val="0"/>
        </w:rPr>
        <w:t xml:space="preserve">Case 1: Child who missed vaccine due to COVID lockdown</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i3tycgg9w43h" w:id="1"/>
      <w:bookmarkEnd w:id="1"/>
      <w:r w:rsidDel="00000000" w:rsidR="00000000" w:rsidRPr="00000000">
        <w:rPr>
          <w:b w:val="1"/>
          <w:bCs w:val="1"/>
          <w:color w:val="000000"/>
          <w:sz w:val="26"/>
          <w:szCs w:val="26"/>
          <w:rtl w:val="0"/>
        </w:rPr>
        <w:t xml:space="preserve">Case presentation</w:t>
      </w:r>
    </w:p>
    <w:p w:rsidR="00000000" w:rsidDel="00000000" w:rsidP="00000000" w:rsidRDefault="00000000" w:rsidRPr="00000000" w14:paraId="00000003">
      <w:pPr>
        <w:spacing w:after="240" w:before="240" w:lineRule="auto"/>
        <w:rPr/>
      </w:pPr>
      <w:r w:rsidDel="00000000" w:rsidR="00000000" w:rsidRPr="00000000">
        <w:rPr>
          <w:rtl w:val="0"/>
        </w:rPr>
        <w:t xml:space="preserve">A 5-year-2-month-old boy from a lower-middle-income neighborhood in Pune (weight 17.6 kg) presented with </w:t>
      </w:r>
      <w:r w:rsidDel="00000000" w:rsidR="00000000" w:rsidRPr="00000000">
        <w:rPr>
          <w:b w:val="1"/>
          <w:bCs w:val="1"/>
          <w:rtl w:val="0"/>
        </w:rPr>
        <w:t xml:space="preserve">6 days</w:t>
      </w:r>
      <w:r w:rsidDel="00000000" w:rsidR="00000000" w:rsidRPr="00000000">
        <w:rPr>
          <w:rtl w:val="0"/>
        </w:rPr>
        <w:t xml:space="preserve"> of low-grade fever (Tmax 38.4 °C), anorexia, and fatigue, followed by </w:t>
      </w:r>
      <w:r w:rsidDel="00000000" w:rsidR="00000000" w:rsidRPr="00000000">
        <w:rPr>
          <w:b w:val="1"/>
          <w:bCs w:val="1"/>
          <w:rtl w:val="0"/>
        </w:rPr>
        <w:t xml:space="preserve">3 days</w:t>
      </w:r>
      <w:r w:rsidDel="00000000" w:rsidR="00000000" w:rsidRPr="00000000">
        <w:rPr>
          <w:rtl w:val="0"/>
        </w:rPr>
        <w:t xml:space="preserve"> of dark urine and progressive jaundice. He had </w:t>
      </w:r>
      <w:r w:rsidDel="00000000" w:rsidR="00000000" w:rsidRPr="00000000">
        <w:rPr>
          <w:b w:val="1"/>
          <w:bCs w:val="1"/>
          <w:rtl w:val="0"/>
        </w:rPr>
        <w:t xml:space="preserve">two episodes/day of non-bilious vomiting</w:t>
      </w:r>
      <w:r w:rsidDel="00000000" w:rsidR="00000000" w:rsidRPr="00000000">
        <w:rPr>
          <w:rtl w:val="0"/>
        </w:rPr>
        <w:t xml:space="preserve"> for 2 days and mild right upper quadrant discomfort. There was </w:t>
      </w:r>
      <w:r w:rsidDel="00000000" w:rsidR="00000000" w:rsidRPr="00000000">
        <w:rPr>
          <w:b w:val="1"/>
          <w:bCs w:val="1"/>
          <w:rtl w:val="0"/>
        </w:rPr>
        <w:t xml:space="preserve">no pruritus</w:t>
      </w:r>
      <w:r w:rsidDel="00000000" w:rsidR="00000000" w:rsidRPr="00000000">
        <w:rPr>
          <w:rtl w:val="0"/>
        </w:rPr>
        <w:t xml:space="preserve">, no altered sensorium, no bleeding, and no prior liver disease.</w:t>
      </w:r>
    </w:p>
    <w:p w:rsidR="00000000" w:rsidDel="00000000" w:rsidP="00000000" w:rsidRDefault="00000000" w:rsidRPr="00000000" w14:paraId="00000004">
      <w:pPr>
        <w:spacing w:after="240" w:before="240" w:lineRule="auto"/>
        <w:rPr>
          <w:color w:val="1155cc"/>
          <w:u w:val="single"/>
        </w:rPr>
      </w:pPr>
      <w:r w:rsidDel="00000000" w:rsidR="00000000" w:rsidRPr="00000000">
        <w:rPr>
          <w:b w:val="1"/>
          <w:bCs w:val="1"/>
          <w:rtl w:val="0"/>
        </w:rPr>
        <w:t xml:space="preserve">Immunization history:</w:t>
      </w:r>
      <w:r w:rsidDel="00000000" w:rsidR="00000000" w:rsidRPr="00000000">
        <w:rPr>
          <w:rtl w:val="0"/>
        </w:rPr>
        <w:t xml:space="preserve"> The child was born on </w:t>
      </w:r>
      <w:r w:rsidDel="00000000" w:rsidR="00000000" w:rsidRPr="00000000">
        <w:rPr>
          <w:b w:val="1"/>
          <w:bCs w:val="1"/>
          <w:rtl w:val="0"/>
        </w:rPr>
        <w:t xml:space="preserve">15 May 2019</w:t>
      </w:r>
      <w:r w:rsidDel="00000000" w:rsidR="00000000" w:rsidRPr="00000000">
        <w:rPr>
          <w:rtl w:val="0"/>
        </w:rPr>
        <w:t xml:space="preserve">. The family reported he was scheduled for </w:t>
      </w:r>
      <w:r w:rsidDel="00000000" w:rsidR="00000000" w:rsidRPr="00000000">
        <w:rPr>
          <w:b w:val="1"/>
          <w:bCs w:val="1"/>
          <w:rtl w:val="0"/>
        </w:rPr>
        <w:t xml:space="preserve">hepatitis A vaccination after 12 months</w:t>
      </w:r>
      <w:r w:rsidDel="00000000" w:rsidR="00000000" w:rsidRPr="00000000">
        <w:rPr>
          <w:rtl w:val="0"/>
        </w:rPr>
        <w:t xml:space="preserve"> but missed it because local clinics temporarily stopped routine visits during the </w:t>
      </w:r>
      <w:r w:rsidDel="00000000" w:rsidR="00000000" w:rsidRPr="00000000">
        <w:rPr>
          <w:b w:val="1"/>
          <w:bCs w:val="1"/>
          <w:rtl w:val="0"/>
        </w:rPr>
        <w:t xml:space="preserve">COVID-19 lockdown period (May–June 2020)</w:t>
      </w:r>
      <w:r w:rsidDel="00000000" w:rsidR="00000000" w:rsidRPr="00000000">
        <w:rPr>
          <w:rtl w:val="0"/>
        </w:rPr>
        <w:t xml:space="preserve"> and the family did not return for catch-up afterward. Large-scale routine immunization disruptions during the pandemic have been documented globally, with substantial numbers of children missing routine doses in 2020–2021. [1,2]</w:t>
      </w:r>
      <w:hyperlink r:id="rId6">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Exposure context:</w:t>
      </w:r>
      <w:r w:rsidDel="00000000" w:rsidR="00000000" w:rsidRPr="00000000">
        <w:rPr>
          <w:rtl w:val="0"/>
        </w:rPr>
        <w:t xml:space="preserve"> Household used intermittently supplied municipal water with storage in containers; meals often included street food. No known contact with “jaundice” was identified, though two classmates had recent febrile illnesses.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r0rrsenubv8" w:id="2"/>
      <w:bookmarkEnd w:id="2"/>
      <w:r w:rsidDel="00000000" w:rsidR="00000000" w:rsidRPr="00000000">
        <w:rPr>
          <w:b w:val="1"/>
          <w:bCs w:val="1"/>
          <w:color w:val="000000"/>
          <w:sz w:val="26"/>
          <w:szCs w:val="26"/>
          <w:rtl w:val="0"/>
        </w:rPr>
        <w:t xml:space="preserve">Examination</w:t>
      </w:r>
    </w:p>
    <w:p w:rsidR="00000000" w:rsidDel="00000000" w:rsidP="00000000" w:rsidRDefault="00000000" w:rsidRPr="00000000" w14:paraId="00000007">
      <w:pPr>
        <w:spacing w:after="240" w:before="240" w:lineRule="auto"/>
        <w:rPr/>
      </w:pPr>
      <w:r w:rsidDel="00000000" w:rsidR="00000000" w:rsidRPr="00000000">
        <w:rPr>
          <w:rtl w:val="0"/>
        </w:rPr>
        <w:t xml:space="preserve">On arrival he was alert, interactive, and hemodynamically stable.</w:t>
      </w:r>
    </w:p>
    <w:p w:rsidR="00000000" w:rsidDel="00000000" w:rsidP="00000000" w:rsidRDefault="00000000" w:rsidRPr="00000000" w14:paraId="00000008">
      <w:pPr>
        <w:numPr>
          <w:ilvl w:val="0"/>
          <w:numId w:val="9"/>
        </w:numPr>
        <w:spacing w:after="0" w:afterAutospacing="0" w:before="240" w:lineRule="auto"/>
        <w:ind w:left="720" w:hanging="360"/>
      </w:pPr>
      <w:r w:rsidDel="00000000" w:rsidR="00000000" w:rsidRPr="00000000">
        <w:rPr>
          <w:rtl w:val="0"/>
        </w:rPr>
        <w:t xml:space="preserve">Temperature 37.6 °C, HR 96/min, RR 20/min, BP 102/64 mmHg, SpO₂ 99% (room air)</w:t>
        <w:br w:type="textWrapping"/>
      </w:r>
    </w:p>
    <w:p w:rsidR="00000000" w:rsidDel="00000000" w:rsidP="00000000" w:rsidRDefault="00000000" w:rsidRPr="00000000" w14:paraId="00000009">
      <w:pPr>
        <w:numPr>
          <w:ilvl w:val="0"/>
          <w:numId w:val="9"/>
        </w:numPr>
        <w:spacing w:after="0" w:afterAutospacing="0" w:before="0" w:beforeAutospacing="0" w:lineRule="auto"/>
        <w:ind w:left="720" w:hanging="360"/>
      </w:pPr>
      <w:r w:rsidDel="00000000" w:rsidR="00000000" w:rsidRPr="00000000">
        <w:rPr>
          <w:rtl w:val="0"/>
        </w:rPr>
        <w:t xml:space="preserve">Mild dehydration; </w:t>
      </w:r>
      <w:r w:rsidDel="00000000" w:rsidR="00000000" w:rsidRPr="00000000">
        <w:rPr>
          <w:b w:val="1"/>
          <w:bCs w:val="1"/>
          <w:rtl w:val="0"/>
        </w:rPr>
        <w:t xml:space="preserve">scleral icterus present</w:t>
      </w:r>
      <w:r w:rsidDel="00000000" w:rsidR="00000000" w:rsidRPr="00000000">
        <w:rPr>
          <w:rtl w:val="0"/>
        </w:rPr>
        <w:t xml:space="preserve">; no rash; no edema; no bleeding</w:t>
        <w:br w:type="textWrapping"/>
      </w:r>
    </w:p>
    <w:p w:rsidR="00000000" w:rsidDel="00000000" w:rsidP="00000000" w:rsidRDefault="00000000" w:rsidRPr="00000000" w14:paraId="0000000A">
      <w:pPr>
        <w:numPr>
          <w:ilvl w:val="0"/>
          <w:numId w:val="9"/>
        </w:numPr>
        <w:spacing w:after="0" w:afterAutospacing="0" w:before="0" w:beforeAutospacing="0" w:lineRule="auto"/>
        <w:ind w:left="720" w:hanging="360"/>
      </w:pPr>
      <w:r w:rsidDel="00000000" w:rsidR="00000000" w:rsidRPr="00000000">
        <w:rPr>
          <w:rtl w:val="0"/>
        </w:rPr>
        <w:t xml:space="preserve">Abdomen: liver palpable </w:t>
      </w:r>
      <w:r w:rsidDel="00000000" w:rsidR="00000000" w:rsidRPr="00000000">
        <w:rPr>
          <w:b w:val="1"/>
          <w:bCs w:val="1"/>
          <w:rtl w:val="0"/>
        </w:rPr>
        <w:t xml:space="preserve">2.5 cm</w:t>
      </w:r>
      <w:r w:rsidDel="00000000" w:rsidR="00000000" w:rsidRPr="00000000">
        <w:rPr>
          <w:rtl w:val="0"/>
        </w:rPr>
        <w:t xml:space="preserve"> below right costal margin, soft, mildly tender; no splenomegaly; no ascites</w:t>
        <w:br w:type="textWrapping"/>
      </w:r>
    </w:p>
    <w:p w:rsidR="00000000" w:rsidDel="00000000" w:rsidP="00000000" w:rsidRDefault="00000000" w:rsidRPr="00000000" w14:paraId="0000000B">
      <w:pPr>
        <w:numPr>
          <w:ilvl w:val="0"/>
          <w:numId w:val="9"/>
        </w:numPr>
        <w:spacing w:after="240" w:before="0" w:beforeAutospacing="0" w:lineRule="auto"/>
        <w:ind w:left="720" w:hanging="360"/>
      </w:pPr>
      <w:r w:rsidDel="00000000" w:rsidR="00000000" w:rsidRPr="00000000">
        <w:rPr>
          <w:rtl w:val="0"/>
        </w:rPr>
        <w:t xml:space="preserve">Neurologic exam normal; </w:t>
      </w:r>
      <w:r w:rsidDel="00000000" w:rsidR="00000000" w:rsidRPr="00000000">
        <w:rPr>
          <w:b w:val="1"/>
          <w:bCs w:val="1"/>
          <w:rtl w:val="0"/>
        </w:rPr>
        <w:t xml:space="preserve">no encephalopathy</w:t>
        <w:br w:type="textWrapping"/>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kzg4wpc724xa" w:id="3"/>
      <w:bookmarkEnd w:id="3"/>
      <w:r w:rsidDel="00000000" w:rsidR="00000000" w:rsidRPr="00000000">
        <w:rPr>
          <w:b w:val="1"/>
          <w:bCs w:val="1"/>
          <w:color w:val="000000"/>
          <w:sz w:val="26"/>
          <w:szCs w:val="26"/>
          <w:rtl w:val="0"/>
        </w:rPr>
        <w:t xml:space="preserve">Diagnostic assessment</w:t>
      </w:r>
    </w:p>
    <w:p w:rsidR="00000000" w:rsidDel="00000000" w:rsidP="00000000" w:rsidRDefault="00000000" w:rsidRPr="00000000" w14:paraId="0000000D">
      <w:pPr>
        <w:spacing w:after="240" w:before="240" w:lineRule="auto"/>
        <w:rPr/>
      </w:pPr>
      <w:r w:rsidDel="00000000" w:rsidR="00000000" w:rsidRPr="00000000">
        <w:rPr>
          <w:rtl w:val="0"/>
        </w:rPr>
        <w:t xml:space="preserve">Baseline investigations demonstrated acute hepatitis with preserved synthetic function:</w:t>
      </w:r>
    </w:p>
    <w:p w:rsidR="00000000" w:rsidDel="00000000" w:rsidP="00000000" w:rsidRDefault="00000000" w:rsidRPr="00000000" w14:paraId="0000000E">
      <w:pPr>
        <w:numPr>
          <w:ilvl w:val="0"/>
          <w:numId w:val="19"/>
        </w:numPr>
        <w:spacing w:after="0" w:afterAutospacing="0" w:before="240" w:lineRule="auto"/>
        <w:ind w:left="720" w:hanging="360"/>
      </w:pPr>
      <w:r w:rsidDel="00000000" w:rsidR="00000000" w:rsidRPr="00000000">
        <w:rPr>
          <w:rtl w:val="0"/>
        </w:rPr>
        <w:t xml:space="preserve">Hb 12.2 g/dL; TLC 7,400/µL; Platelets 2.62 × 10⁵/µL</w:t>
        <w:br w:type="textWrapping"/>
      </w:r>
    </w:p>
    <w:p w:rsidR="00000000" w:rsidDel="00000000" w:rsidP="00000000" w:rsidRDefault="00000000" w:rsidRPr="00000000" w14:paraId="0000000F">
      <w:pPr>
        <w:numPr>
          <w:ilvl w:val="0"/>
          <w:numId w:val="19"/>
        </w:numPr>
        <w:spacing w:after="0" w:afterAutospacing="0" w:before="0" w:beforeAutospacing="0" w:lineRule="auto"/>
        <w:ind w:left="720" w:hanging="360"/>
      </w:pPr>
      <w:r w:rsidDel="00000000" w:rsidR="00000000" w:rsidRPr="00000000">
        <w:rPr>
          <w:rtl w:val="0"/>
        </w:rPr>
        <w:t xml:space="preserve">Total bilirubin </w:t>
      </w:r>
      <w:r w:rsidDel="00000000" w:rsidR="00000000" w:rsidRPr="00000000">
        <w:rPr>
          <w:b w:val="1"/>
          <w:bCs w:val="1"/>
          <w:rtl w:val="0"/>
        </w:rPr>
        <w:t xml:space="preserve">7.8 mg/dL</w:t>
      </w:r>
      <w:r w:rsidDel="00000000" w:rsidR="00000000" w:rsidRPr="00000000">
        <w:rPr>
          <w:rtl w:val="0"/>
        </w:rPr>
        <w:t xml:space="preserve">; direct bilirubin </w:t>
      </w:r>
      <w:r w:rsidDel="00000000" w:rsidR="00000000" w:rsidRPr="00000000">
        <w:rPr>
          <w:b w:val="1"/>
          <w:bCs w:val="1"/>
          <w:rtl w:val="0"/>
        </w:rPr>
        <w:t xml:space="preserve">5.2 mg/dL</w:t>
        <w:br w:type="textWrapping"/>
      </w:r>
    </w:p>
    <w:p w:rsidR="00000000" w:rsidDel="00000000" w:rsidP="00000000" w:rsidRDefault="00000000" w:rsidRPr="00000000" w14:paraId="00000010">
      <w:pPr>
        <w:numPr>
          <w:ilvl w:val="0"/>
          <w:numId w:val="19"/>
        </w:numPr>
        <w:spacing w:after="0" w:afterAutospacing="0" w:before="0" w:beforeAutospacing="0" w:lineRule="auto"/>
        <w:ind w:left="720" w:hanging="360"/>
      </w:pPr>
      <w:r w:rsidDel="00000000" w:rsidR="00000000" w:rsidRPr="00000000">
        <w:rPr>
          <w:rtl w:val="0"/>
        </w:rPr>
        <w:t xml:space="preserve">ALT </w:t>
      </w:r>
      <w:r w:rsidDel="00000000" w:rsidR="00000000" w:rsidRPr="00000000">
        <w:rPr>
          <w:b w:val="1"/>
          <w:bCs w:val="1"/>
          <w:rtl w:val="0"/>
        </w:rPr>
        <w:t xml:space="preserve">1,980 U/L</w:t>
      </w:r>
      <w:r w:rsidDel="00000000" w:rsidR="00000000" w:rsidRPr="00000000">
        <w:rPr>
          <w:rtl w:val="0"/>
        </w:rPr>
        <w:t xml:space="preserve">; AST </w:t>
      </w:r>
      <w:r w:rsidDel="00000000" w:rsidR="00000000" w:rsidRPr="00000000">
        <w:rPr>
          <w:b w:val="1"/>
          <w:bCs w:val="1"/>
          <w:rtl w:val="0"/>
        </w:rPr>
        <w:t xml:space="preserve">1,420 U/L</w:t>
        <w:br w:type="textWrapping"/>
      </w:r>
    </w:p>
    <w:p w:rsidR="00000000" w:rsidDel="00000000" w:rsidP="00000000" w:rsidRDefault="00000000" w:rsidRPr="00000000" w14:paraId="00000011">
      <w:pPr>
        <w:numPr>
          <w:ilvl w:val="0"/>
          <w:numId w:val="19"/>
        </w:numPr>
        <w:spacing w:after="0" w:afterAutospacing="0" w:before="0" w:beforeAutospacing="0" w:lineRule="auto"/>
        <w:ind w:left="720" w:hanging="360"/>
      </w:pPr>
      <w:r w:rsidDel="00000000" w:rsidR="00000000" w:rsidRPr="00000000">
        <w:rPr>
          <w:rtl w:val="0"/>
        </w:rPr>
        <w:t xml:space="preserve">ALP </w:t>
      </w:r>
      <w:r w:rsidDel="00000000" w:rsidR="00000000" w:rsidRPr="00000000">
        <w:rPr>
          <w:b w:val="1"/>
          <w:bCs w:val="1"/>
          <w:rtl w:val="0"/>
        </w:rPr>
        <w:t xml:space="preserve">312 U/L</w:t>
      </w:r>
      <w:r w:rsidDel="00000000" w:rsidR="00000000" w:rsidRPr="00000000">
        <w:rPr>
          <w:rtl w:val="0"/>
        </w:rPr>
        <w:t xml:space="preserve">; GGT </w:t>
      </w:r>
      <w:r w:rsidDel="00000000" w:rsidR="00000000" w:rsidRPr="00000000">
        <w:rPr>
          <w:b w:val="1"/>
          <w:bCs w:val="1"/>
          <w:rtl w:val="0"/>
        </w:rPr>
        <w:t xml:space="preserve">88 U/L</w:t>
        <w:br w:type="textWrapping"/>
      </w:r>
    </w:p>
    <w:p w:rsidR="00000000" w:rsidDel="00000000" w:rsidP="00000000" w:rsidRDefault="00000000" w:rsidRPr="00000000" w14:paraId="00000012">
      <w:pPr>
        <w:numPr>
          <w:ilvl w:val="0"/>
          <w:numId w:val="19"/>
        </w:numPr>
        <w:spacing w:after="0" w:afterAutospacing="0" w:before="0" w:beforeAutospacing="0" w:lineRule="auto"/>
        <w:ind w:left="720" w:hanging="360"/>
      </w:pPr>
      <w:r w:rsidDel="00000000" w:rsidR="00000000" w:rsidRPr="00000000">
        <w:rPr>
          <w:rtl w:val="0"/>
        </w:rPr>
        <w:t xml:space="preserve">Albumin </w:t>
      </w:r>
      <w:r w:rsidDel="00000000" w:rsidR="00000000" w:rsidRPr="00000000">
        <w:rPr>
          <w:b w:val="1"/>
          <w:bCs w:val="1"/>
          <w:rtl w:val="0"/>
        </w:rPr>
        <w:t xml:space="preserve">4.0 g/dL</w:t>
        <w:br w:type="textWrapping"/>
      </w:r>
    </w:p>
    <w:p w:rsidR="00000000" w:rsidDel="00000000" w:rsidP="00000000" w:rsidRDefault="00000000" w:rsidRPr="00000000" w14:paraId="00000013">
      <w:pPr>
        <w:numPr>
          <w:ilvl w:val="0"/>
          <w:numId w:val="19"/>
        </w:numPr>
        <w:spacing w:after="0" w:afterAutospacing="0" w:before="0" w:beforeAutospacing="0" w:lineRule="auto"/>
        <w:ind w:left="720" w:hanging="360"/>
      </w:pPr>
      <w:r w:rsidDel="00000000" w:rsidR="00000000" w:rsidRPr="00000000">
        <w:rPr>
          <w:rtl w:val="0"/>
        </w:rPr>
        <w:t xml:space="preserve">PT 12.8 s; </w:t>
      </w:r>
      <w:r w:rsidDel="00000000" w:rsidR="00000000" w:rsidRPr="00000000">
        <w:rPr>
          <w:b w:val="1"/>
          <w:bCs w:val="1"/>
          <w:rtl w:val="0"/>
        </w:rPr>
        <w:t xml:space="preserve">INR 1.08</w:t>
        <w:br w:type="textWrapping"/>
      </w:r>
    </w:p>
    <w:p w:rsidR="00000000" w:rsidDel="00000000" w:rsidP="00000000" w:rsidRDefault="00000000" w:rsidRPr="00000000" w14:paraId="00000014">
      <w:pPr>
        <w:numPr>
          <w:ilvl w:val="0"/>
          <w:numId w:val="19"/>
        </w:numPr>
        <w:spacing w:after="0" w:afterAutospacing="0" w:before="0" w:beforeAutospacing="0" w:lineRule="auto"/>
        <w:ind w:left="720" w:hanging="360"/>
      </w:pPr>
      <w:r w:rsidDel="00000000" w:rsidR="00000000" w:rsidRPr="00000000">
        <w:rPr>
          <w:rtl w:val="0"/>
        </w:rPr>
        <w:t xml:space="preserve">Random glucose 88 mg/dL; Urea 19 mg/dL; Creatinine 0.46 mg/dL</w:t>
        <w:br w:type="textWrapping"/>
      </w:r>
    </w:p>
    <w:p w:rsidR="00000000" w:rsidDel="00000000" w:rsidP="00000000" w:rsidRDefault="00000000" w:rsidRPr="00000000" w14:paraId="00000015">
      <w:pPr>
        <w:numPr>
          <w:ilvl w:val="0"/>
          <w:numId w:val="19"/>
        </w:numPr>
        <w:spacing w:after="240" w:before="0" w:beforeAutospacing="0" w:lineRule="auto"/>
        <w:ind w:left="720" w:hanging="360"/>
      </w:pPr>
      <w:r w:rsidDel="00000000" w:rsidR="00000000" w:rsidRPr="00000000">
        <w:rPr>
          <w:rtl w:val="0"/>
        </w:rPr>
        <w:t xml:space="preserve">Urine: bile pigments/salts present; urobilinogen increased</w:t>
        <w:br w:type="textWrapping"/>
      </w:r>
    </w:p>
    <w:p w:rsidR="00000000" w:rsidDel="00000000" w:rsidP="00000000" w:rsidRDefault="00000000" w:rsidRPr="00000000" w14:paraId="00000016">
      <w:pPr>
        <w:spacing w:after="240" w:before="240" w:lineRule="auto"/>
        <w:rPr/>
      </w:pPr>
      <w:r w:rsidDel="00000000" w:rsidR="00000000" w:rsidRPr="00000000">
        <w:rPr>
          <w:rtl w:val="0"/>
        </w:rPr>
        <w:t xml:space="preserve">Serology:</w:t>
      </w:r>
    </w:p>
    <w:p w:rsidR="00000000" w:rsidDel="00000000" w:rsidP="00000000" w:rsidRDefault="00000000" w:rsidRPr="00000000" w14:paraId="00000017">
      <w:pPr>
        <w:numPr>
          <w:ilvl w:val="0"/>
          <w:numId w:val="8"/>
        </w:numPr>
        <w:spacing w:after="0" w:afterAutospacing="0" w:before="240" w:lineRule="auto"/>
        <w:ind w:left="720" w:hanging="360"/>
      </w:pPr>
      <w:r w:rsidDel="00000000" w:rsidR="00000000" w:rsidRPr="00000000">
        <w:rPr>
          <w:b w:val="1"/>
          <w:bCs w:val="1"/>
          <w:rtl w:val="0"/>
        </w:rPr>
        <w:t xml:space="preserve">IgM anti-HAV: positive</w:t>
        <w:br w:type="textWrapping"/>
      </w:r>
    </w:p>
    <w:p w:rsidR="00000000" w:rsidDel="00000000" w:rsidP="00000000" w:rsidRDefault="00000000" w:rsidRPr="00000000" w14:paraId="00000018">
      <w:pPr>
        <w:numPr>
          <w:ilvl w:val="0"/>
          <w:numId w:val="8"/>
        </w:numPr>
        <w:spacing w:after="0" w:afterAutospacing="0" w:before="0" w:beforeAutospacing="0" w:lineRule="auto"/>
        <w:ind w:left="720" w:hanging="360"/>
      </w:pPr>
      <w:r w:rsidDel="00000000" w:rsidR="00000000" w:rsidRPr="00000000">
        <w:rPr>
          <w:rtl w:val="0"/>
        </w:rPr>
        <w:t xml:space="preserve">HBsAg: negative</w:t>
        <w:br w:type="textWrapping"/>
      </w:r>
    </w:p>
    <w:p w:rsidR="00000000" w:rsidDel="00000000" w:rsidP="00000000" w:rsidRDefault="00000000" w:rsidRPr="00000000" w14:paraId="00000019">
      <w:pPr>
        <w:numPr>
          <w:ilvl w:val="0"/>
          <w:numId w:val="8"/>
        </w:numPr>
        <w:spacing w:after="0" w:afterAutospacing="0" w:before="0" w:beforeAutospacing="0" w:lineRule="auto"/>
        <w:ind w:left="720" w:hanging="360"/>
      </w:pPr>
      <w:r w:rsidDel="00000000" w:rsidR="00000000" w:rsidRPr="00000000">
        <w:rPr>
          <w:rtl w:val="0"/>
        </w:rPr>
        <w:t xml:space="preserve">Anti-HCV antibody: negative</w:t>
        <w:br w:type="textWrapping"/>
      </w:r>
    </w:p>
    <w:p w:rsidR="00000000" w:rsidDel="00000000" w:rsidP="00000000" w:rsidRDefault="00000000" w:rsidRPr="00000000" w14:paraId="0000001A">
      <w:pPr>
        <w:numPr>
          <w:ilvl w:val="0"/>
          <w:numId w:val="8"/>
        </w:numPr>
        <w:spacing w:after="240" w:before="0" w:beforeAutospacing="0" w:lineRule="auto"/>
        <w:ind w:left="720" w:hanging="360"/>
      </w:pPr>
      <w:r w:rsidDel="00000000" w:rsidR="00000000" w:rsidRPr="00000000">
        <w:rPr>
          <w:rtl w:val="0"/>
        </w:rPr>
        <w:t xml:space="preserve">IgM anti-HEV: negative</w:t>
        <w:br w:type="textWrapping"/>
      </w:r>
    </w:p>
    <w:p w:rsidR="00000000" w:rsidDel="00000000" w:rsidP="00000000" w:rsidRDefault="00000000" w:rsidRPr="00000000" w14:paraId="0000001B">
      <w:pPr>
        <w:spacing w:after="240" w:before="240" w:lineRule="auto"/>
        <w:rPr/>
      </w:pPr>
      <w:r w:rsidDel="00000000" w:rsidR="00000000" w:rsidRPr="00000000">
        <w:rPr>
          <w:rtl w:val="0"/>
        </w:rPr>
        <w:t xml:space="preserve">Ultrasound abdomen: mild hepatomegaly (liver span 13.6 cm), periportal echogenicity, mild gallbladder wall edema; </w:t>
      </w:r>
      <w:r w:rsidDel="00000000" w:rsidR="00000000" w:rsidRPr="00000000">
        <w:rPr>
          <w:b w:val="1"/>
          <w:bCs w:val="1"/>
          <w:rtl w:val="0"/>
        </w:rPr>
        <w:t xml:space="preserve">no intrahepatic/extrahepatic biliary duct dilatation</w:t>
      </w:r>
      <w:r w:rsidDel="00000000" w:rsidR="00000000" w:rsidRPr="00000000">
        <w:rPr>
          <w:rtl w:val="0"/>
        </w:rPr>
        <w:t xml:space="preserve">; CBD 2.8 mm; portal vein patent; no ascites.</w:t>
      </w:r>
    </w:p>
    <w:p w:rsidR="00000000" w:rsidDel="00000000" w:rsidP="00000000" w:rsidRDefault="00000000" w:rsidRPr="00000000" w14:paraId="0000001C">
      <w:pPr>
        <w:spacing w:after="240" w:before="240" w:lineRule="auto"/>
        <w:rPr>
          <w:color w:val="1155cc"/>
          <w:u w:val="single"/>
        </w:rPr>
      </w:pPr>
      <w:r w:rsidDel="00000000" w:rsidR="00000000" w:rsidRPr="00000000">
        <w:rPr>
          <w:rtl w:val="0"/>
        </w:rPr>
        <w:t xml:space="preserve">The findings were consistent with </w:t>
      </w:r>
      <w:r w:rsidDel="00000000" w:rsidR="00000000" w:rsidRPr="00000000">
        <w:rPr>
          <w:b w:val="1"/>
          <w:bCs w:val="1"/>
          <w:rtl w:val="0"/>
        </w:rPr>
        <w:t xml:space="preserve">acute hepatitis A</w:t>
      </w:r>
      <w:r w:rsidDel="00000000" w:rsidR="00000000" w:rsidRPr="00000000">
        <w:rPr>
          <w:rtl w:val="0"/>
        </w:rPr>
        <w:t xml:space="preserve">. HAV is transmitted primarily by the fecal–oral route and management is supportive (no specific antiviral therapy). [3,4]</w:t>
      </w:r>
      <w:hyperlink r:id="rId7">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b8cpt6c1bcp6" w:id="4"/>
      <w:bookmarkEnd w:id="4"/>
      <w:r w:rsidDel="00000000" w:rsidR="00000000" w:rsidRPr="00000000">
        <w:rPr>
          <w:b w:val="1"/>
          <w:bCs w:val="1"/>
          <w:color w:val="000000"/>
          <w:sz w:val="26"/>
          <w:szCs w:val="26"/>
          <w:rtl w:val="0"/>
        </w:rPr>
        <w:t xml:space="preserve">Therapeutic intervention</w:t>
      </w:r>
    </w:p>
    <w:p w:rsidR="00000000" w:rsidDel="00000000" w:rsidP="00000000" w:rsidRDefault="00000000" w:rsidRPr="00000000" w14:paraId="0000001E">
      <w:pPr>
        <w:spacing w:after="240" w:before="240" w:lineRule="auto"/>
        <w:rPr/>
      </w:pPr>
      <w:r w:rsidDel="00000000" w:rsidR="00000000" w:rsidRPr="00000000">
        <w:rPr>
          <w:rtl w:val="0"/>
        </w:rPr>
        <w:t xml:space="preserve">He was managed as an outpatient due to stable vitals, normal mentation, and preserved synthetic function. Supportive care included:</w:t>
      </w:r>
    </w:p>
    <w:p w:rsidR="00000000" w:rsidDel="00000000" w:rsidP="00000000" w:rsidRDefault="00000000" w:rsidRPr="00000000" w14:paraId="0000001F">
      <w:pPr>
        <w:numPr>
          <w:ilvl w:val="0"/>
          <w:numId w:val="12"/>
        </w:numPr>
        <w:spacing w:after="0" w:afterAutospacing="0" w:before="240" w:lineRule="auto"/>
        <w:ind w:left="720" w:hanging="360"/>
      </w:pPr>
      <w:r w:rsidDel="00000000" w:rsidR="00000000" w:rsidRPr="00000000">
        <w:rPr>
          <w:rtl w:val="0"/>
        </w:rPr>
        <w:t xml:space="preserve">Oral rehydration and calorie-dense diet; rest at home for 1 week</w:t>
        <w:br w:type="textWrapping"/>
      </w:r>
    </w:p>
    <w:p w:rsidR="00000000" w:rsidDel="00000000" w:rsidP="00000000" w:rsidRDefault="00000000" w:rsidRPr="00000000" w14:paraId="00000020">
      <w:pPr>
        <w:numPr>
          <w:ilvl w:val="0"/>
          <w:numId w:val="12"/>
        </w:numPr>
        <w:spacing w:after="0" w:afterAutospacing="0" w:before="0" w:beforeAutospacing="0" w:lineRule="auto"/>
        <w:ind w:left="720" w:hanging="360"/>
      </w:pPr>
      <w:r w:rsidDel="00000000" w:rsidR="00000000" w:rsidRPr="00000000">
        <w:rPr>
          <w:rtl w:val="0"/>
        </w:rPr>
        <w:t xml:space="preserve">Ondansetron 0.15 mg/kg/dose as needed for vomiting (max 2 doses/day for 48 hours)</w:t>
        <w:br w:type="textWrapping"/>
      </w:r>
    </w:p>
    <w:p w:rsidR="00000000" w:rsidDel="00000000" w:rsidP="00000000" w:rsidRDefault="00000000" w:rsidRPr="00000000" w14:paraId="00000021">
      <w:pPr>
        <w:numPr>
          <w:ilvl w:val="0"/>
          <w:numId w:val="12"/>
        </w:numPr>
        <w:spacing w:after="240" w:before="0" w:beforeAutospacing="0" w:lineRule="auto"/>
        <w:ind w:left="720" w:hanging="360"/>
      </w:pPr>
      <w:r w:rsidDel="00000000" w:rsidR="00000000" w:rsidRPr="00000000">
        <w:rPr>
          <w:rtl w:val="0"/>
        </w:rPr>
        <w:t xml:space="preserve">Strict avoidance of unnecessary medications and herbal “liver tonics”; paracetamol was limited to </w:t>
      </w:r>
      <w:r w:rsidDel="00000000" w:rsidR="00000000" w:rsidRPr="00000000">
        <w:rPr>
          <w:b w:val="1"/>
          <w:bCs w:val="1"/>
          <w:rtl w:val="0"/>
        </w:rPr>
        <w:t xml:space="preserve">10–15 mg/kg/dose</w:t>
      </w:r>
      <w:r w:rsidDel="00000000" w:rsidR="00000000" w:rsidRPr="00000000">
        <w:rPr>
          <w:rtl w:val="0"/>
        </w:rPr>
        <w:t xml:space="preserve"> only if fever &gt;38.5 °C, with emphasis on avoiding overuse (WHO notes avoiding unnecessary medicines that may affect the liver). [3]</w:t>
      </w:r>
      <w:hyperlink r:id="rId8">
        <w:r w:rsidDel="00000000" w:rsidR="00000000" w:rsidRPr="00000000">
          <w:rPr>
            <w:rtl w:val="0"/>
          </w:rPr>
          <w:t xml:space="preserve"> </w:t>
        </w:r>
      </w:hyperlink>
      <w:hyperlink r:id="rId9">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Prevention counseling</w:t>
      </w:r>
    </w:p>
    <w:p w:rsidR="00000000" w:rsidDel="00000000" w:rsidP="00000000" w:rsidRDefault="00000000" w:rsidRPr="00000000" w14:paraId="00000023">
      <w:pPr>
        <w:spacing w:after="240" w:before="240" w:lineRule="auto"/>
        <w:rPr>
          <w:color w:val="1155cc"/>
          <w:u w:val="single"/>
        </w:rPr>
      </w:pPr>
      <w:r w:rsidDel="00000000" w:rsidR="00000000" w:rsidRPr="00000000">
        <w:rPr>
          <w:rtl w:val="0"/>
        </w:rPr>
        <w:t xml:space="preserve">The family was counseled on hygiene and safe water practices and on completing catch-up vaccinations. CDC guidance emphasizes vaccination as prevention and notes that immune globulin can be used for post-exposure prophylaxis within 2 weeks in specific scenarios; the general principle of prompt contact management was discussed (local policy-dependent). [4]</w:t>
      </w:r>
      <w:hyperlink r:id="rId10">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oskk6ili2mjj" w:id="5"/>
      <w:bookmarkEnd w:id="5"/>
      <w:r w:rsidDel="00000000" w:rsidR="00000000" w:rsidRPr="00000000">
        <w:rPr>
          <w:b w:val="1"/>
          <w:bCs w:val="1"/>
          <w:color w:val="000000"/>
          <w:sz w:val="26"/>
          <w:szCs w:val="26"/>
          <w:rtl w:val="0"/>
        </w:rPr>
        <w:t xml:space="preserve">Follow-up and outcomes</w:t>
      </w:r>
    </w:p>
    <w:p w:rsidR="00000000" w:rsidDel="00000000" w:rsidP="00000000" w:rsidRDefault="00000000" w:rsidRPr="00000000" w14:paraId="00000025">
      <w:pPr>
        <w:spacing w:after="240" w:before="240" w:lineRule="auto"/>
        <w:rPr/>
      </w:pPr>
      <w:r w:rsidDel="00000000" w:rsidR="00000000" w:rsidRPr="00000000">
        <w:rPr>
          <w:rtl w:val="0"/>
        </w:rPr>
        <w:t xml:space="preserve">He improved clinically over 10–14 days with resolution of fever and vomiting by Day 4 of follow-up and gradual clearing of jaundice. No relapse occurred.</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Trend of key labs</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545"/>
        <w:gridCol w:w="1485"/>
        <w:gridCol w:w="1215"/>
        <w:gridCol w:w="1215"/>
        <w:gridCol w:w="1110"/>
        <w:gridCol w:w="780"/>
        <w:tblGridChange w:id="0">
          <w:tblGrid>
            <w:gridCol w:w="1695"/>
            <w:gridCol w:w="1545"/>
            <w:gridCol w:w="1485"/>
            <w:gridCol w:w="1215"/>
            <w:gridCol w:w="1215"/>
            <w:gridCol w:w="1110"/>
            <w:gridCol w:w="78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Timepoint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TB (mg/dL)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DB (mg/dL)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ALT (U/L)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AST (U/L)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GGT (U/L)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INR</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Day 0 (presentation)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1980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1420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88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1.08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Day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980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660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76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1.05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Week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210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148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54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1.02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Week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1.00</w:t>
            </w:r>
          </w:p>
        </w:tc>
      </w:tr>
    </w:tbl>
    <w:p w:rsidR="00000000" w:rsidDel="00000000" w:rsidP="00000000" w:rsidRDefault="00000000" w:rsidRPr="00000000" w14:paraId="0000004A">
      <w:pPr>
        <w:spacing w:after="240" w:before="240" w:lineRule="auto"/>
        <w:rPr/>
      </w:pPr>
      <w:r w:rsidDel="00000000" w:rsidR="00000000" w:rsidRPr="00000000">
        <w:rPr>
          <w:rtl w:val="0"/>
        </w:rPr>
        <w:t xml:space="preserve">He returned to school after 2 weeks. At the 6-week visit, appetite and energy were normal and liver enzymes had normalized.</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2isyg1afmy9k" w:id="6"/>
      <w:bookmarkEnd w:id="6"/>
      <w:r w:rsidDel="00000000" w:rsidR="00000000" w:rsidRPr="00000000">
        <w:rPr>
          <w:b w:val="1"/>
          <w:bCs w:val="1"/>
          <w:color w:val="000000"/>
          <w:sz w:val="26"/>
          <w:szCs w:val="26"/>
          <w:rtl w:val="0"/>
        </w:rPr>
        <w:t xml:space="preserve">Discussion</w:t>
      </w:r>
    </w:p>
    <w:p w:rsidR="00000000" w:rsidDel="00000000" w:rsidP="00000000" w:rsidRDefault="00000000" w:rsidRPr="00000000" w14:paraId="0000004C">
      <w:pPr>
        <w:spacing w:after="240" w:before="240" w:lineRule="auto"/>
        <w:rPr/>
      </w:pPr>
      <w:r w:rsidDel="00000000" w:rsidR="00000000" w:rsidRPr="00000000">
        <w:rPr>
          <w:rtl w:val="0"/>
        </w:rPr>
        <w:t xml:space="preserve">This case illustrates a preventable infection occurring after a </w:t>
      </w:r>
      <w:r w:rsidDel="00000000" w:rsidR="00000000" w:rsidRPr="00000000">
        <w:rPr>
          <w:b w:val="1"/>
          <w:bCs w:val="1"/>
          <w:rtl w:val="0"/>
        </w:rPr>
        <w:t xml:space="preserve">missed vaccination window</w:t>
      </w:r>
      <w:r w:rsidDel="00000000" w:rsidR="00000000" w:rsidRPr="00000000">
        <w:rPr>
          <w:rtl w:val="0"/>
        </w:rPr>
        <w:t xml:space="preserve"> during the COVID-19 era. Hepatitis A remains closely linked to fecal–oral transmission and sanitation/water conditions, and most cases are self-limited with supportive management. [3,4] However, even uncomplicated HAV leads to missed school days, caregiver work loss, and household transmission risk—costs that matter in real life.</w:t>
      </w:r>
    </w:p>
    <w:p w:rsidR="00000000" w:rsidDel="00000000" w:rsidP="00000000" w:rsidRDefault="00000000" w:rsidRPr="00000000" w14:paraId="0000004D">
      <w:pPr>
        <w:spacing w:after="240" w:before="240" w:lineRule="auto"/>
        <w:rPr>
          <w:color w:val="1155cc"/>
          <w:u w:val="single"/>
        </w:rPr>
      </w:pPr>
      <w:r w:rsidDel="00000000" w:rsidR="00000000" w:rsidRPr="00000000">
        <w:rPr>
          <w:rtl w:val="0"/>
        </w:rPr>
        <w:t xml:space="preserve">Global surveillance has documented substantial disruption of routine immunization services during 2020–2021, leaving millions of children behind on scheduled doses and creating immunity gaps that can surface later as preventable infections. [1,2]</w:t>
      </w:r>
      <w:hyperlink r:id="rId11">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4E">
      <w:pPr>
        <w:spacing w:after="240" w:before="240" w:lineRule="auto"/>
        <w:rPr>
          <w:color w:val="1155cc"/>
          <w:u w:val="single"/>
        </w:rPr>
      </w:pPr>
      <w:r w:rsidDel="00000000" w:rsidR="00000000" w:rsidRPr="00000000">
        <w:rPr>
          <w:rtl w:val="0"/>
        </w:rPr>
        <w:t xml:space="preserve">For India, the Indian Academy of Pediatrics recommends hepatitis A vaccination for children </w:t>
      </w:r>
      <w:r w:rsidDel="00000000" w:rsidR="00000000" w:rsidRPr="00000000">
        <w:rPr>
          <w:rFonts w:ascii="Arial Unicode MS" w:cs="Arial Unicode MS" w:eastAsia="Arial Unicode MS" w:hAnsi="Arial Unicode MS"/>
          <w:b w:val="1"/>
          <w:bCs w:val="1"/>
          <w:rtl w:val="0"/>
        </w:rPr>
        <w:t xml:space="preserve">≥12 months</w:t>
      </w:r>
      <w:r w:rsidDel="00000000" w:rsidR="00000000" w:rsidRPr="00000000">
        <w:rPr>
          <w:rtl w:val="0"/>
        </w:rPr>
        <w:t xml:space="preserve">, with </w:t>
      </w:r>
      <w:r w:rsidDel="00000000" w:rsidR="00000000" w:rsidRPr="00000000">
        <w:rPr>
          <w:b w:val="1"/>
          <w:bCs w:val="1"/>
          <w:rtl w:val="0"/>
        </w:rPr>
        <w:t xml:space="preserve">two doses 0 and 6 months apart</w:t>
      </w:r>
      <w:r w:rsidDel="00000000" w:rsidR="00000000" w:rsidRPr="00000000">
        <w:rPr>
          <w:rtl w:val="0"/>
        </w:rPr>
        <w:t xml:space="preserve"> for inactivated vaccines (brand-specific schedules exist). [5]</w:t>
      </w:r>
      <w:hyperlink r:id="rId12">
        <w:r w:rsidDel="00000000" w:rsidR="00000000" w:rsidRPr="00000000">
          <w:rPr>
            <w:rtl w:val="0"/>
          </w:rPr>
          <w:t xml:space="preserve"> </w:t>
        </w:r>
      </w:hyperlink>
      <w:r w:rsidDel="00000000" w:rsidR="00000000" w:rsidRPr="00000000">
        <w:rPr>
          <w:rtl w:val="0"/>
        </w:rPr>
        <w:t xml:space="preserve">In settings where HAV epidemiology is shifting and susceptibility may persist into later childhood in some populations, vaccine gaps can translate into older-child symptomatic hepatitis and outbreaks. [6]</w:t>
      </w:r>
      <w:hyperlink r:id="rId13">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k3wosyxm13is" w:id="7"/>
      <w:bookmarkEnd w:id="7"/>
      <w:r w:rsidDel="00000000" w:rsidR="00000000" w:rsidRPr="00000000">
        <w:rPr>
          <w:b w:val="1"/>
          <w:bCs w:val="1"/>
          <w:color w:val="000000"/>
          <w:sz w:val="26"/>
          <w:szCs w:val="26"/>
          <w:rtl w:val="0"/>
        </w:rPr>
        <w:t xml:space="preserve">Learning points</w:t>
      </w:r>
    </w:p>
    <w:p w:rsidR="00000000" w:rsidDel="00000000" w:rsidP="00000000" w:rsidRDefault="00000000" w:rsidRPr="00000000" w14:paraId="00000050">
      <w:pPr>
        <w:numPr>
          <w:ilvl w:val="0"/>
          <w:numId w:val="14"/>
        </w:numPr>
        <w:spacing w:after="0" w:afterAutospacing="0" w:before="240" w:lineRule="auto"/>
        <w:ind w:left="720" w:hanging="360"/>
      </w:pPr>
      <w:r w:rsidDel="00000000" w:rsidR="00000000" w:rsidRPr="00000000">
        <w:rPr>
          <w:rtl w:val="0"/>
        </w:rPr>
        <w:t xml:space="preserve">HAV is usually self-limited and treated supportively; there is no specific antiviral therapy. [3,4]</w:t>
      </w:r>
      <w:hyperlink r:id="rId14">
        <w:r w:rsidDel="00000000" w:rsidR="00000000" w:rsidRPr="00000000">
          <w:rPr>
            <w:rtl w:val="0"/>
          </w:rPr>
          <w:t xml:space="preserve"> </w:t>
        </w:r>
      </w:hyperlink>
      <w:hyperlink r:id="rId15">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51">
      <w:pPr>
        <w:numPr>
          <w:ilvl w:val="0"/>
          <w:numId w:val="14"/>
        </w:numPr>
        <w:spacing w:after="0" w:afterAutospacing="0" w:before="0" w:beforeAutospacing="0" w:lineRule="auto"/>
        <w:ind w:left="720" w:hanging="360"/>
      </w:pPr>
      <w:r w:rsidDel="00000000" w:rsidR="00000000" w:rsidRPr="00000000">
        <w:rPr>
          <w:rtl w:val="0"/>
        </w:rPr>
        <w:t xml:space="preserve">COVID-19–era disruption of routine immunization created “missed windows” that can later present as preventable infections. [1,2]</w:t>
      </w:r>
      <w:hyperlink r:id="rId16">
        <w:r w:rsidDel="00000000" w:rsidR="00000000" w:rsidRPr="00000000">
          <w:rPr>
            <w:rtl w:val="0"/>
          </w:rPr>
          <w:t xml:space="preserve"> </w:t>
        </w:r>
      </w:hyperlink>
      <w:hyperlink r:id="rId17">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52">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Inactivated hepatitis A vaccines are recommended from ≥12 months with a 0–6 month 2-dose schedule per IAP guidance. [5]</w:t>
      </w:r>
      <w:hyperlink r:id="rId18">
        <w:r w:rsidDel="00000000" w:rsidR="00000000" w:rsidRPr="00000000">
          <w:rPr>
            <w:rtl w:val="0"/>
          </w:rPr>
          <w:t xml:space="preserve"> </w:t>
        </w:r>
      </w:hyperlink>
      <w:hyperlink r:id="rId19">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53">
      <w:pPr>
        <w:numPr>
          <w:ilvl w:val="0"/>
          <w:numId w:val="14"/>
        </w:numPr>
        <w:spacing w:after="0" w:afterAutospacing="0" w:before="0" w:beforeAutospacing="0" w:lineRule="auto"/>
        <w:ind w:left="720" w:hanging="360"/>
      </w:pPr>
      <w:r w:rsidDel="00000000" w:rsidR="00000000" w:rsidRPr="00000000">
        <w:rPr>
          <w:rtl w:val="0"/>
        </w:rPr>
        <w:t xml:space="preserve">Vaccination and hygiene/safe water practices are the key preventive strategies against hepatitis A. [3,4]</w:t>
      </w:r>
      <w:hyperlink r:id="rId20">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54">
      <w:pPr>
        <w:numPr>
          <w:ilvl w:val="0"/>
          <w:numId w:val="14"/>
        </w:numPr>
        <w:spacing w:after="240" w:before="0" w:beforeAutospacing="0" w:lineRule="auto"/>
        <w:ind w:left="720" w:hanging="360"/>
      </w:pPr>
      <w:r w:rsidDel="00000000" w:rsidR="00000000" w:rsidRPr="00000000">
        <w:rPr>
          <w:rtl w:val="0"/>
        </w:rPr>
        <w:t xml:space="preserve">Children who missed hepatitis A vaccination should be actively identified and given catch-up doses to close susceptibility gaps and prevent illness and complications. [7]</w:t>
      </w:r>
      <w:hyperlink r:id="rId21">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nutcs3n850q5" w:id="8"/>
      <w:bookmarkEnd w:id="8"/>
      <w:r w:rsidDel="00000000" w:rsidR="00000000" w:rsidRPr="00000000">
        <w:rPr>
          <w:b w:val="1"/>
          <w:bCs w:val="1"/>
          <w:sz w:val="34"/>
          <w:szCs w:val="34"/>
          <w:rtl w:val="0"/>
        </w:rPr>
        <w:t xml:space="preserve">References </w:t>
      </w:r>
    </w:p>
    <w:p w:rsidR="00000000" w:rsidDel="00000000" w:rsidP="00000000" w:rsidRDefault="00000000" w:rsidRPr="00000000" w14:paraId="00000057">
      <w:pPr>
        <w:numPr>
          <w:ilvl w:val="0"/>
          <w:numId w:val="13"/>
        </w:numPr>
        <w:spacing w:after="0" w:afterAutospacing="0" w:before="240" w:lineRule="auto"/>
        <w:ind w:left="720" w:hanging="360"/>
      </w:pPr>
      <w:r w:rsidDel="00000000" w:rsidR="00000000" w:rsidRPr="00000000">
        <w:rPr>
          <w:rtl w:val="0"/>
        </w:rPr>
        <w:t xml:space="preserve">United Nations Children’s Fund (UNICEF). COVID-19 pandemic leads to major backsliding on childhood vaccinations, new WHO, UNICEF data shows [Internet]. New York: UNICEF; 2021 Jul 15 [cited 2025 Dec 18]. Available from: UNICEF website.</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UNICEF</w:t>
          <w:br w:type="textWrapping"/>
        </w:r>
      </w:hyperlink>
      <w:r w:rsidDel="00000000" w:rsidR="00000000" w:rsidRPr="00000000">
        <w:rPr>
          <w:rtl w:val="0"/>
        </w:rPr>
      </w:r>
    </w:p>
    <w:p w:rsidR="00000000" w:rsidDel="00000000" w:rsidP="00000000" w:rsidRDefault="00000000" w:rsidRPr="00000000" w14:paraId="00000058">
      <w:pPr>
        <w:numPr>
          <w:ilvl w:val="0"/>
          <w:numId w:val="13"/>
        </w:numPr>
        <w:spacing w:after="0" w:afterAutospacing="0" w:before="0" w:beforeAutospacing="0" w:lineRule="auto"/>
        <w:ind w:left="720" w:hanging="360"/>
      </w:pPr>
      <w:r w:rsidDel="00000000" w:rsidR="00000000" w:rsidRPr="00000000">
        <w:rPr>
          <w:rtl w:val="0"/>
        </w:rPr>
        <w:t xml:space="preserve">World Health Organization. COVID-19 pandemic fuels largest continued backslide in vaccinations in three decades [Internet]. Geneva: WHO; 2022 Jul 15 [cited 2025 Dec 18]. Available from: WHO website.</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World Health Organization</w:t>
          <w:br w:type="textWrapping"/>
        </w:r>
      </w:hyperlink>
      <w:r w:rsidDel="00000000" w:rsidR="00000000" w:rsidRPr="00000000">
        <w:rPr>
          <w:rtl w:val="0"/>
        </w:rPr>
      </w:r>
    </w:p>
    <w:p w:rsidR="00000000" w:rsidDel="00000000" w:rsidP="00000000" w:rsidRDefault="00000000" w:rsidRPr="00000000" w14:paraId="00000059">
      <w:pPr>
        <w:numPr>
          <w:ilvl w:val="0"/>
          <w:numId w:val="13"/>
        </w:numPr>
        <w:spacing w:after="0" w:afterAutospacing="0" w:before="0" w:beforeAutospacing="0" w:lineRule="auto"/>
        <w:ind w:left="720" w:hanging="360"/>
      </w:pPr>
      <w:r w:rsidDel="00000000" w:rsidR="00000000" w:rsidRPr="00000000">
        <w:rPr>
          <w:rtl w:val="0"/>
        </w:rPr>
        <w:t xml:space="preserve">World Health Organization. Hepatitis A [Internet]. Geneva: WHO; 2025 Feb 12 [cited 2025 Dec 18]. Available from: WHO website.</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World Health Organization</w:t>
          <w:br w:type="textWrapping"/>
        </w:r>
      </w:hyperlink>
      <w:r w:rsidDel="00000000" w:rsidR="00000000" w:rsidRPr="00000000">
        <w:rPr>
          <w:rtl w:val="0"/>
        </w:rPr>
      </w:r>
    </w:p>
    <w:p w:rsidR="00000000" w:rsidDel="00000000" w:rsidP="00000000" w:rsidRDefault="00000000" w:rsidRPr="00000000" w14:paraId="0000005A">
      <w:pPr>
        <w:numPr>
          <w:ilvl w:val="0"/>
          <w:numId w:val="13"/>
        </w:numPr>
        <w:spacing w:after="0" w:afterAutospacing="0" w:before="0" w:beforeAutospacing="0" w:lineRule="auto"/>
        <w:ind w:left="720" w:hanging="360"/>
      </w:pPr>
      <w:r w:rsidDel="00000000" w:rsidR="00000000" w:rsidRPr="00000000">
        <w:rPr>
          <w:rtl w:val="0"/>
        </w:rPr>
        <w:t xml:space="preserve">Centers for Disease Control and Prevention. Clinical care of hepatitis A [Internet]. Atlanta (GA): CDC; 2025 Jan 31 [cited 2025 Dec 18]. Available from: CDC website.</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CDC</w:t>
          <w:br w:type="textWrapping"/>
        </w:r>
      </w:hyperlink>
      <w:r w:rsidDel="00000000" w:rsidR="00000000" w:rsidRPr="00000000">
        <w:rPr>
          <w:rtl w:val="0"/>
        </w:rPr>
      </w:r>
    </w:p>
    <w:p w:rsidR="00000000" w:rsidDel="00000000" w:rsidP="00000000" w:rsidRDefault="00000000" w:rsidRPr="00000000" w14:paraId="0000005B">
      <w:pPr>
        <w:numPr>
          <w:ilvl w:val="0"/>
          <w:numId w:val="13"/>
        </w:numPr>
        <w:spacing w:after="0" w:afterAutospacing="0" w:before="0" w:beforeAutospacing="0" w:lineRule="auto"/>
        <w:ind w:left="720" w:hanging="360"/>
      </w:pPr>
      <w:r w:rsidDel="00000000" w:rsidR="00000000" w:rsidRPr="00000000">
        <w:rPr>
          <w:rtl w:val="0"/>
        </w:rPr>
        <w:t xml:space="preserve">Chatterjee K, et al. Indian Academy of Pediatrics (IAP) Advisory Committee on Vaccines and Immunization Practices (ACVIP): Recommended Immunization Schedule (2023) and update on immunization for children aged 0 through 18 years. Indian Pediatr. 2024 Jan 15. (E-pub ahead of print).</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indianpediatrics.net</w:t>
          <w:br w:type="textWrapping"/>
        </w:r>
      </w:hyperlink>
      <w:r w:rsidDel="00000000" w:rsidR="00000000" w:rsidRPr="00000000">
        <w:rPr>
          <w:rtl w:val="0"/>
        </w:rPr>
      </w:r>
    </w:p>
    <w:p w:rsidR="00000000" w:rsidDel="00000000" w:rsidP="00000000" w:rsidRDefault="00000000" w:rsidRPr="00000000" w14:paraId="0000005C">
      <w:pPr>
        <w:numPr>
          <w:ilvl w:val="0"/>
          <w:numId w:val="13"/>
        </w:numPr>
        <w:spacing w:after="0" w:afterAutospacing="0" w:before="0" w:beforeAutospacing="0" w:lineRule="auto"/>
        <w:ind w:left="720" w:hanging="360"/>
      </w:pPr>
      <w:r w:rsidDel="00000000" w:rsidR="00000000" w:rsidRPr="00000000">
        <w:rPr>
          <w:rtl w:val="0"/>
        </w:rPr>
        <w:t xml:space="preserve">Agrawal A, Singh S, Kolhapure S, Hoet B, Arankalle V, Mitra M. Increasing burden of hepatitis A in adolescents and adults and the need for long-term protection: a review from the Indian subcontinent. Infect Dis Ther. 2019;8(4):483–497.</w:t>
      </w:r>
    </w:p>
    <w:p w:rsidR="00000000" w:rsidDel="00000000" w:rsidP="00000000" w:rsidRDefault="00000000" w:rsidRPr="00000000" w14:paraId="0000005D">
      <w:pPr>
        <w:numPr>
          <w:ilvl w:val="0"/>
          <w:numId w:val="13"/>
        </w:numPr>
        <w:spacing w:after="240" w:before="0" w:beforeAutospacing="0" w:lineRule="auto"/>
        <w:ind w:left="720" w:hanging="360"/>
        <w:rPr>
          <w:u w:val="none"/>
        </w:rPr>
      </w:pPr>
      <w:r w:rsidDel="00000000" w:rsidR="00000000" w:rsidRPr="00000000">
        <w:rPr>
          <w:rtl w:val="0"/>
        </w:rPr>
        <w:t xml:space="preserve">Centers for Disease Control and Prevention. Child Immunization Schedule Notes: Hepatitis A vaccination [Internet]. Atlanta (GA): CDC;. Available from: https://www.cdc.gov/vaccines/hcp/imz-schedules/child-adolescent-notes.html</w:t>
      </w:r>
    </w:p>
    <w:p w:rsidR="00000000" w:rsidDel="00000000" w:rsidP="00000000" w:rsidRDefault="00000000" w:rsidRPr="00000000" w14:paraId="0000005E">
      <w:pPr>
        <w:spacing w:after="240" w:before="240" w:lineRule="auto"/>
        <w:ind w:left="720" w:firstLine="0"/>
        <w:rPr/>
      </w:pP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i w:val="1"/>
          <w:iCs w:val="1"/>
          <w:color w:val="000000"/>
          <w:sz w:val="26"/>
          <w:szCs w:val="26"/>
        </w:rPr>
      </w:pPr>
      <w:bookmarkStart w:colFirst="0" w:colLast="0" w:name="_t0oltsk22s73" w:id="9"/>
      <w:bookmarkEnd w:id="9"/>
      <w:r w:rsidDel="00000000" w:rsidR="00000000" w:rsidRPr="00000000">
        <w:rPr>
          <w:b w:val="1"/>
          <w:bCs w:val="1"/>
          <w:color w:val="000000"/>
          <w:sz w:val="26"/>
          <w:szCs w:val="26"/>
          <w:rtl w:val="0"/>
        </w:rPr>
        <w:t xml:space="preserve">Case 2: Unvaccinated 11-year-old with prolonged school absence </w: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qk6h7pv9lstu" w:id="10"/>
      <w:bookmarkEnd w:id="10"/>
      <w:r w:rsidDel="00000000" w:rsidR="00000000" w:rsidRPr="00000000">
        <w:rPr>
          <w:b w:val="1"/>
          <w:bCs w:val="1"/>
          <w:color w:val="000000"/>
          <w:sz w:val="26"/>
          <w:szCs w:val="26"/>
          <w:rtl w:val="0"/>
        </w:rPr>
        <w:t xml:space="preserve">Case presentation</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An 11-year-old boy (weight 34.2 kg) from an urban middle-income locality presented with 8 days of fever (Tmax 38.7 °C), malaise, anorexia, and nausea, followed by 6 days of dark urine and progressive jaundice. He developed generalized pruritus by day 4 of jaundice, worse at night, leading to severe sleep disturbance. There was no history of bleeding, altered sensorium, clay-colored stools, or prior liver disease. No blood transfusions or injectable drug exposures were reported. The family frequently ate outside (street food 2–3 times/week) and used intermittently supplied municipal water with home storage.</w:t>
      </w:r>
    </w:p>
    <w:p w:rsidR="00000000" w:rsidDel="00000000" w:rsidP="00000000" w:rsidRDefault="00000000" w:rsidRPr="00000000" w14:paraId="00000062">
      <w:pPr>
        <w:spacing w:after="240" w:before="240" w:lineRule="auto"/>
        <w:rPr>
          <w:b w:val="1"/>
          <w:bCs w:val="1"/>
          <w:color w:val="1155cc"/>
          <w:u w:val="single"/>
        </w:rPr>
      </w:pPr>
      <w:r w:rsidDel="00000000" w:rsidR="00000000" w:rsidRPr="00000000">
        <w:rPr>
          <w:b w:val="1"/>
          <w:bCs w:val="1"/>
          <w:rtl w:val="0"/>
        </w:rPr>
        <w:t xml:space="preserve">Immunization history: The child had not received hepatitis A vaccination. Parents stated it was “optional” and was deferred during 2020–2021 because routine visits were disrupted and later not caught up. Large declines in routine childhood vaccination coverage during the COVID-19 period have been documented by WHO/UNICEF. [1,2]</w:t>
      </w:r>
      <w:hyperlink r:id="rId32">
        <w:r w:rsidDel="00000000" w:rsidR="00000000" w:rsidRPr="00000000">
          <w:rPr>
            <w:b w:val="1"/>
            <w:bCs w:val="1"/>
            <w:color w:val="1155cc"/>
            <w:u w:val="single"/>
            <w:rtl w:val="0"/>
          </w:rPr>
          <w:br w:type="textWrapping"/>
        </w:r>
      </w:hyperlink>
      <w:r w:rsidDel="00000000" w:rsidR="00000000" w:rsidRPr="00000000">
        <w:rPr>
          <w:rFonts w:ascii="Arial Unicode MS" w:cs="Arial Unicode MS" w:eastAsia="Arial Unicode MS" w:hAnsi="Arial Unicode MS"/>
          <w:b w:val="1"/>
          <w:bCs w:val="1"/>
          <w:rtl w:val="0"/>
        </w:rPr>
        <w:t xml:space="preserve"> Hepatitis A vaccination is recommended from ≥12 months of age in a 2-dose (0 and 6 months) schedule in IAP guidance for inactivated vaccines. [5]</w:t>
      </w:r>
      <w:hyperlink r:id="rId33">
        <w:r w:rsidDel="00000000" w:rsidR="00000000" w:rsidRPr="00000000">
          <w:rPr>
            <w:b w:val="1"/>
            <w:bCs w:val="1"/>
            <w:rtl w:val="0"/>
          </w:rPr>
          <w:t xml:space="preserve"> </w:t>
        </w:r>
      </w:hyperlink>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sntzm32j7it3" w:id="11"/>
      <w:bookmarkEnd w:id="11"/>
      <w:r w:rsidDel="00000000" w:rsidR="00000000" w:rsidRPr="00000000">
        <w:rPr>
          <w:b w:val="1"/>
          <w:bCs w:val="1"/>
          <w:color w:val="000000"/>
          <w:sz w:val="26"/>
          <w:szCs w:val="26"/>
          <w:rtl w:val="0"/>
        </w:rPr>
        <w:t xml:space="preserve">Examination</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On presentation he was alert and hemodynamically stable.</w:t>
      </w:r>
    </w:p>
    <w:p w:rsidR="00000000" w:rsidDel="00000000" w:rsidP="00000000" w:rsidRDefault="00000000" w:rsidRPr="00000000" w14:paraId="00000065">
      <w:pPr>
        <w:numPr>
          <w:ilvl w:val="0"/>
          <w:numId w:val="6"/>
        </w:numPr>
        <w:spacing w:after="0" w:afterAutospacing="0" w:before="240" w:lineRule="auto"/>
        <w:ind w:left="720" w:hanging="360"/>
        <w:rPr>
          <w:b w:val="1"/>
          <w:bCs w:val="1"/>
        </w:rPr>
      </w:pPr>
      <w:r w:rsidDel="00000000" w:rsidR="00000000" w:rsidRPr="00000000">
        <w:rPr>
          <w:b w:val="1"/>
          <w:bCs w:val="1"/>
          <w:rtl w:val="0"/>
        </w:rPr>
        <w:t xml:space="preserve">Temperature 37.2 °C, HR 88/min, RR 18/min, BP 110/70 mmHg, SpO₂ 99% (room air)</w:t>
        <w:br w:type="textWrapping"/>
      </w:r>
    </w:p>
    <w:p w:rsidR="00000000" w:rsidDel="00000000" w:rsidP="00000000" w:rsidRDefault="00000000" w:rsidRPr="00000000" w14:paraId="00000066">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Marked scleral icterus and multiple excoriation marks over trunk/limbs</w:t>
        <w:br w:type="textWrapping"/>
      </w:r>
    </w:p>
    <w:p w:rsidR="00000000" w:rsidDel="00000000" w:rsidP="00000000" w:rsidRDefault="00000000" w:rsidRPr="00000000" w14:paraId="00000067">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No pallor, edema, rash, or bleeding manifestations</w:t>
        <w:br w:type="textWrapping"/>
      </w:r>
    </w:p>
    <w:p w:rsidR="00000000" w:rsidDel="00000000" w:rsidP="00000000" w:rsidRDefault="00000000" w:rsidRPr="00000000" w14:paraId="00000068">
      <w:pPr>
        <w:numPr>
          <w:ilvl w:val="0"/>
          <w:numId w:val="6"/>
        </w:numPr>
        <w:spacing w:after="0" w:afterAutospacing="0" w:before="0" w:beforeAutospacing="0" w:lineRule="auto"/>
        <w:ind w:left="720" w:hanging="360"/>
      </w:pPr>
      <w:r w:rsidDel="00000000" w:rsidR="00000000" w:rsidRPr="00000000">
        <w:rPr>
          <w:b w:val="1"/>
          <w:bCs w:val="1"/>
          <w:rtl w:val="0"/>
        </w:rPr>
        <w:t xml:space="preserve">Abdomen: liver palpable 3 cm below right costal margin, soft, mildly tender; no splenomegaly; no ascites</w:t>
        <w:br w:type="textWrapping"/>
      </w:r>
    </w:p>
    <w:p w:rsidR="00000000" w:rsidDel="00000000" w:rsidP="00000000" w:rsidRDefault="00000000" w:rsidRPr="00000000" w14:paraId="00000069">
      <w:pPr>
        <w:numPr>
          <w:ilvl w:val="0"/>
          <w:numId w:val="6"/>
        </w:numPr>
        <w:spacing w:after="240" w:before="0" w:beforeAutospacing="0" w:lineRule="auto"/>
        <w:ind w:left="720" w:hanging="360"/>
      </w:pPr>
      <w:r w:rsidDel="00000000" w:rsidR="00000000" w:rsidRPr="00000000">
        <w:rPr>
          <w:b w:val="1"/>
          <w:bCs w:val="1"/>
          <w:rtl w:val="0"/>
        </w:rPr>
        <w:t xml:space="preserve">Neurological exam normal; no encephalopathy</w:t>
        <w:br w:type="textWrapping"/>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krjxu95psj21" w:id="12"/>
      <w:bookmarkEnd w:id="12"/>
      <w:r w:rsidDel="00000000" w:rsidR="00000000" w:rsidRPr="00000000">
        <w:rPr>
          <w:b w:val="1"/>
          <w:bCs w:val="1"/>
          <w:color w:val="000000"/>
          <w:sz w:val="26"/>
          <w:szCs w:val="26"/>
          <w:rtl w:val="0"/>
        </w:rPr>
        <w:t xml:space="preserve">Diagnostic assessment</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Initial labs demonstrated acute hepatitis with conjugated hyperbilirubinemia and preserved synthetic function:</w:t>
      </w:r>
    </w:p>
    <w:p w:rsidR="00000000" w:rsidDel="00000000" w:rsidP="00000000" w:rsidRDefault="00000000" w:rsidRPr="00000000" w14:paraId="0000006C">
      <w:pPr>
        <w:numPr>
          <w:ilvl w:val="0"/>
          <w:numId w:val="22"/>
        </w:numPr>
        <w:spacing w:after="0" w:afterAutospacing="0" w:before="240" w:lineRule="auto"/>
        <w:ind w:left="720" w:hanging="360"/>
        <w:rPr>
          <w:b w:val="1"/>
          <w:bCs w:val="1"/>
        </w:rPr>
      </w:pPr>
      <w:r w:rsidDel="00000000" w:rsidR="00000000" w:rsidRPr="00000000">
        <w:rPr>
          <w:b w:val="1"/>
          <w:bCs w:val="1"/>
          <w:rtl w:val="0"/>
        </w:rPr>
        <w:t xml:space="preserve">Hb 12.6 g/dL; TLC 6,900/µL; Platelets 2.18 × 10⁵/µL</w:t>
        <w:br w:type="textWrapping"/>
      </w:r>
    </w:p>
    <w:p w:rsidR="00000000" w:rsidDel="00000000" w:rsidP="00000000" w:rsidRDefault="00000000" w:rsidRPr="00000000" w14:paraId="0000006D">
      <w:pPr>
        <w:numPr>
          <w:ilvl w:val="0"/>
          <w:numId w:val="22"/>
        </w:numPr>
        <w:spacing w:after="0" w:afterAutospacing="0" w:before="0" w:beforeAutospacing="0" w:lineRule="auto"/>
        <w:ind w:left="720" w:hanging="360"/>
      </w:pPr>
      <w:r w:rsidDel="00000000" w:rsidR="00000000" w:rsidRPr="00000000">
        <w:rPr>
          <w:b w:val="1"/>
          <w:bCs w:val="1"/>
          <w:rtl w:val="0"/>
        </w:rPr>
        <w:t xml:space="preserve">Total bilirubin 14.2 mg/dL; direct bilirubin 10.1 mg/dL</w:t>
        <w:br w:type="textWrapping"/>
      </w:r>
    </w:p>
    <w:p w:rsidR="00000000" w:rsidDel="00000000" w:rsidP="00000000" w:rsidRDefault="00000000" w:rsidRPr="00000000" w14:paraId="0000006E">
      <w:pPr>
        <w:numPr>
          <w:ilvl w:val="0"/>
          <w:numId w:val="22"/>
        </w:numPr>
        <w:spacing w:after="0" w:afterAutospacing="0" w:before="0" w:beforeAutospacing="0" w:lineRule="auto"/>
        <w:ind w:left="720" w:hanging="360"/>
      </w:pPr>
      <w:r w:rsidDel="00000000" w:rsidR="00000000" w:rsidRPr="00000000">
        <w:rPr>
          <w:b w:val="1"/>
          <w:bCs w:val="1"/>
          <w:rtl w:val="0"/>
        </w:rPr>
        <w:t xml:space="preserve">ALT 1,620 U/L; AST 980 U/L</w:t>
        <w:br w:type="textWrapping"/>
      </w:r>
    </w:p>
    <w:p w:rsidR="00000000" w:rsidDel="00000000" w:rsidP="00000000" w:rsidRDefault="00000000" w:rsidRPr="00000000" w14:paraId="0000006F">
      <w:pPr>
        <w:numPr>
          <w:ilvl w:val="0"/>
          <w:numId w:val="22"/>
        </w:numPr>
        <w:spacing w:after="0" w:afterAutospacing="0" w:before="0" w:beforeAutospacing="0" w:lineRule="auto"/>
        <w:ind w:left="720" w:hanging="360"/>
      </w:pPr>
      <w:r w:rsidDel="00000000" w:rsidR="00000000" w:rsidRPr="00000000">
        <w:rPr>
          <w:b w:val="1"/>
          <w:bCs w:val="1"/>
          <w:rtl w:val="0"/>
        </w:rPr>
        <w:t xml:space="preserve">ALP 468 U/L; GGT 192 U/L</w:t>
        <w:br w:type="textWrapping"/>
      </w:r>
    </w:p>
    <w:p w:rsidR="00000000" w:rsidDel="00000000" w:rsidP="00000000" w:rsidRDefault="00000000" w:rsidRPr="00000000" w14:paraId="00000070">
      <w:pPr>
        <w:numPr>
          <w:ilvl w:val="0"/>
          <w:numId w:val="22"/>
        </w:numPr>
        <w:spacing w:after="0" w:afterAutospacing="0" w:before="0" w:beforeAutospacing="0" w:lineRule="auto"/>
        <w:ind w:left="720" w:hanging="360"/>
      </w:pPr>
      <w:r w:rsidDel="00000000" w:rsidR="00000000" w:rsidRPr="00000000">
        <w:rPr>
          <w:b w:val="1"/>
          <w:bCs w:val="1"/>
          <w:rtl w:val="0"/>
        </w:rPr>
        <w:t xml:space="preserve">Albumin 4.2 g/dL</w:t>
        <w:br w:type="textWrapping"/>
      </w:r>
    </w:p>
    <w:p w:rsidR="00000000" w:rsidDel="00000000" w:rsidP="00000000" w:rsidRDefault="00000000" w:rsidRPr="00000000" w14:paraId="00000071">
      <w:pPr>
        <w:numPr>
          <w:ilvl w:val="0"/>
          <w:numId w:val="22"/>
        </w:numPr>
        <w:spacing w:after="0" w:afterAutospacing="0" w:before="0" w:beforeAutospacing="0" w:lineRule="auto"/>
        <w:ind w:left="720" w:hanging="360"/>
      </w:pPr>
      <w:r w:rsidDel="00000000" w:rsidR="00000000" w:rsidRPr="00000000">
        <w:rPr>
          <w:b w:val="1"/>
          <w:bCs w:val="1"/>
          <w:rtl w:val="0"/>
        </w:rPr>
        <w:t xml:space="preserve">PT 12.6 s; INR 1.06</w:t>
        <w:br w:type="textWrapping"/>
      </w:r>
    </w:p>
    <w:p w:rsidR="00000000" w:rsidDel="00000000" w:rsidP="00000000" w:rsidRDefault="00000000" w:rsidRPr="00000000" w14:paraId="00000072">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Random glucose 94 mg/dL; Urea 22 mg/dL; Creatinine 0.68 mg/dL</w:t>
        <w:br w:type="textWrapping"/>
      </w:r>
    </w:p>
    <w:p w:rsidR="00000000" w:rsidDel="00000000" w:rsidP="00000000" w:rsidRDefault="00000000" w:rsidRPr="00000000" w14:paraId="00000073">
      <w:pPr>
        <w:numPr>
          <w:ilvl w:val="0"/>
          <w:numId w:val="22"/>
        </w:numPr>
        <w:spacing w:after="240" w:before="0" w:beforeAutospacing="0" w:lineRule="auto"/>
        <w:ind w:left="720" w:hanging="360"/>
        <w:rPr>
          <w:b w:val="1"/>
          <w:bCs w:val="1"/>
        </w:rPr>
      </w:pPr>
      <w:r w:rsidDel="00000000" w:rsidR="00000000" w:rsidRPr="00000000">
        <w:rPr>
          <w:b w:val="1"/>
          <w:bCs w:val="1"/>
          <w:rtl w:val="0"/>
        </w:rPr>
        <w:t xml:space="preserve">Urine: bile pigments/salts present; urobilinogen increased</w:t>
        <w:br w:type="textWrapping"/>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Serology:</w:t>
      </w:r>
    </w:p>
    <w:p w:rsidR="00000000" w:rsidDel="00000000" w:rsidP="00000000" w:rsidRDefault="00000000" w:rsidRPr="00000000" w14:paraId="00000075">
      <w:pPr>
        <w:numPr>
          <w:ilvl w:val="0"/>
          <w:numId w:val="17"/>
        </w:numPr>
        <w:spacing w:after="0" w:afterAutospacing="0" w:before="240" w:lineRule="auto"/>
        <w:ind w:left="720" w:hanging="360"/>
        <w:rPr>
          <w:b w:val="1"/>
          <w:bCs w:val="1"/>
        </w:rPr>
      </w:pPr>
      <w:r w:rsidDel="00000000" w:rsidR="00000000" w:rsidRPr="00000000">
        <w:rPr>
          <w:b w:val="1"/>
          <w:bCs w:val="1"/>
          <w:rtl w:val="0"/>
        </w:rPr>
        <w:t xml:space="preserve">IgM anti-HAV: positive</w:t>
        <w:br w:type="textWrapping"/>
      </w:r>
    </w:p>
    <w:p w:rsidR="00000000" w:rsidDel="00000000" w:rsidP="00000000" w:rsidRDefault="00000000" w:rsidRPr="00000000" w14:paraId="00000076">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IgM anti-HEV: negative</w:t>
        <w:br w:type="textWrapping"/>
      </w:r>
    </w:p>
    <w:p w:rsidR="00000000" w:rsidDel="00000000" w:rsidP="00000000" w:rsidRDefault="00000000" w:rsidRPr="00000000" w14:paraId="00000077">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HBsAg: negative</w:t>
        <w:br w:type="textWrapping"/>
      </w:r>
    </w:p>
    <w:p w:rsidR="00000000" w:rsidDel="00000000" w:rsidP="00000000" w:rsidRDefault="00000000" w:rsidRPr="00000000" w14:paraId="00000078">
      <w:pPr>
        <w:numPr>
          <w:ilvl w:val="0"/>
          <w:numId w:val="17"/>
        </w:numPr>
        <w:spacing w:after="240" w:before="0" w:beforeAutospacing="0" w:lineRule="auto"/>
        <w:ind w:left="720" w:hanging="360"/>
        <w:rPr>
          <w:b w:val="1"/>
          <w:bCs w:val="1"/>
        </w:rPr>
      </w:pPr>
      <w:r w:rsidDel="00000000" w:rsidR="00000000" w:rsidRPr="00000000">
        <w:rPr>
          <w:b w:val="1"/>
          <w:bCs w:val="1"/>
          <w:rtl w:val="0"/>
        </w:rPr>
        <w:t xml:space="preserve">Anti-HCV antibody: negative</w:t>
        <w:br w:type="textWrapping"/>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Ultrasound abdomen: mild hepatomegaly (liver span 15.8 cm), periportal echogenicity; mild gallbladder wall edema; no intra/extrahepatic biliary duct dilatation; CBD 3.4 mm; portal vein patent; no ascites.</w:t>
      </w:r>
    </w:p>
    <w:p w:rsidR="00000000" w:rsidDel="00000000" w:rsidP="00000000" w:rsidRDefault="00000000" w:rsidRPr="00000000" w14:paraId="0000007A">
      <w:pPr>
        <w:spacing w:after="240" w:before="240" w:lineRule="auto"/>
        <w:rPr>
          <w:b w:val="1"/>
          <w:bCs w:val="1"/>
          <w:color w:val="1155cc"/>
          <w:u w:val="single"/>
        </w:rPr>
      </w:pPr>
      <w:r w:rsidDel="00000000" w:rsidR="00000000" w:rsidRPr="00000000">
        <w:rPr>
          <w:b w:val="1"/>
          <w:bCs w:val="1"/>
          <w:rtl w:val="0"/>
        </w:rPr>
        <w:t xml:space="preserve">Overall impression: acute hepatitis A with a cholestatic/pruritus-predominant course. Hepatitis A is fecal–oral, typically self-limited, does not become chronic, and has no specific antiviral treatment (supportive care). [3,4]</w:t>
      </w:r>
      <w:hyperlink r:id="rId34">
        <w:r w:rsidDel="00000000" w:rsidR="00000000" w:rsidRPr="00000000">
          <w:rPr>
            <w:b w:val="1"/>
            <w:bCs w:val="1"/>
            <w:color w:val="1155cc"/>
            <w:u w:val="single"/>
            <w:rtl w:val="0"/>
          </w:rPr>
          <w:br w:type="textWrapping"/>
        </w:r>
      </w:hyperlink>
      <w:r w:rsidDel="00000000" w:rsidR="00000000" w:rsidRPr="00000000">
        <w:rPr>
          <w:b w:val="1"/>
          <w:bCs w:val="1"/>
          <w:rtl w:val="0"/>
        </w:rPr>
        <w:t xml:space="preserve"> Prolonged cholestasis with severe pruritus is a recognized but uncommon complication of HAV. [9,10]</w:t>
      </w:r>
      <w:hyperlink r:id="rId35">
        <w:r w:rsidDel="00000000" w:rsidR="00000000" w:rsidRPr="00000000">
          <w:rPr>
            <w:b w:val="1"/>
            <w:bCs w:val="1"/>
            <w:rtl w:val="0"/>
          </w:rPr>
          <w:t xml:space="preserve"> </w:t>
        </w:r>
      </w:hyperlink>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i0z8bmptgvnl" w:id="13"/>
      <w:bookmarkEnd w:id="13"/>
      <w:r w:rsidDel="00000000" w:rsidR="00000000" w:rsidRPr="00000000">
        <w:rPr>
          <w:b w:val="1"/>
          <w:bCs w:val="1"/>
          <w:color w:val="000000"/>
          <w:sz w:val="26"/>
          <w:szCs w:val="26"/>
          <w:rtl w:val="0"/>
        </w:rPr>
        <w:t xml:space="preserve">Therapeutic intervention</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He was managed as an outpatient with close follow-up (stable vitals, normal mentation, preserved INR). Treatment focused on supportive care and symptom control:</w:t>
      </w:r>
    </w:p>
    <w:p w:rsidR="00000000" w:rsidDel="00000000" w:rsidP="00000000" w:rsidRDefault="00000000" w:rsidRPr="00000000" w14:paraId="0000007D">
      <w:pPr>
        <w:numPr>
          <w:ilvl w:val="0"/>
          <w:numId w:val="21"/>
        </w:numPr>
        <w:spacing w:after="0" w:afterAutospacing="0" w:before="240" w:lineRule="auto"/>
        <w:ind w:left="720" w:hanging="360"/>
      </w:pPr>
      <w:r w:rsidDel="00000000" w:rsidR="00000000" w:rsidRPr="00000000">
        <w:rPr>
          <w:b w:val="1"/>
          <w:bCs w:val="1"/>
          <w:rtl w:val="0"/>
        </w:rPr>
        <w:t xml:space="preserve">Supportive care: oral hydration, small frequent meals, rest, avoidance of alcohol exposure and unnecessary medications; strict avoidance of herbal “liver tonics.” (No specific HAV antiviral therapy is recommended.) [4]</w:t>
      </w:r>
      <w:hyperlink r:id="rId36">
        <w:r w:rsidDel="00000000" w:rsidR="00000000" w:rsidRPr="00000000">
          <w:rPr>
            <w:b w:val="1"/>
            <w:bCs w:val="1"/>
            <w:rtl w:val="0"/>
          </w:rPr>
          <w:t xml:space="preserve"> </w:t>
        </w:r>
      </w:hyperlink>
      <w:hyperlink r:id="rId37">
        <w:r w:rsidDel="00000000" w:rsidR="00000000" w:rsidRPr="00000000">
          <w:rPr>
            <w:b w:val="1"/>
            <w:bCs w:val="1"/>
            <w:color w:val="1155cc"/>
            <w:u w:val="single"/>
            <w:rtl w:val="0"/>
          </w:rPr>
          <w:br w:type="textWrapping"/>
        </w:r>
      </w:hyperlink>
      <w:r w:rsidDel="00000000" w:rsidR="00000000" w:rsidRPr="00000000">
        <w:rPr>
          <w:rtl w:val="0"/>
        </w:rPr>
      </w:r>
    </w:p>
    <w:p w:rsidR="00000000" w:rsidDel="00000000" w:rsidP="00000000" w:rsidRDefault="00000000" w:rsidRPr="00000000" w14:paraId="0000007E">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Pruritus management (stepwise):</w:t>
        <w:br w:type="textWrapping"/>
      </w:r>
    </w:p>
    <w:p w:rsidR="00000000" w:rsidDel="00000000" w:rsidP="00000000" w:rsidRDefault="00000000" w:rsidRPr="00000000" w14:paraId="0000007F">
      <w:pPr>
        <w:numPr>
          <w:ilvl w:val="0"/>
          <w:numId w:val="10"/>
        </w:numPr>
        <w:spacing w:after="0" w:afterAutospacing="0" w:before="0" w:beforeAutospacing="0" w:lineRule="auto"/>
        <w:ind w:left="720" w:hanging="360"/>
      </w:pPr>
      <w:r w:rsidDel="00000000" w:rsidR="00000000" w:rsidRPr="00000000">
        <w:rPr>
          <w:b w:val="1"/>
          <w:bCs w:val="1"/>
          <w:rtl w:val="0"/>
        </w:rPr>
        <w:t xml:space="preserve">Cholestyramine  4 g twice daily (separated from other meds by 2–4 h) </w:t>
        <w:br w:type="textWrapping"/>
        <w:t xml:space="preserve">^</w:t>
      </w:r>
      <w:r w:rsidDel="00000000" w:rsidR="00000000" w:rsidRPr="00000000">
        <w:rPr>
          <w:i w:val="1"/>
          <w:iCs w:val="1"/>
          <w:rtl w:val="0"/>
        </w:rPr>
        <w:t xml:space="preserve">to be dissolved in water or milk to be divided in two or three doses and before meals.</w:t>
      </w:r>
      <w:r w:rsidDel="00000000" w:rsidR="00000000" w:rsidRPr="00000000">
        <w:rPr>
          <w:b w:val="1"/>
          <w:bCs w:val="1"/>
          <w:i w:val="1"/>
          <w:iCs w:val="1"/>
          <w:rtl w:val="0"/>
        </w:rPr>
        <w:t xml:space="preserve"> </w:t>
      </w:r>
    </w:p>
    <w:p w:rsidR="00000000" w:rsidDel="00000000" w:rsidP="00000000" w:rsidRDefault="00000000" w:rsidRPr="00000000" w14:paraId="00000080">
      <w:pPr>
        <w:numPr>
          <w:ilvl w:val="0"/>
          <w:numId w:val="10"/>
        </w:numPr>
        <w:spacing w:after="0" w:afterAutospacing="0" w:before="0" w:beforeAutospacing="0" w:lineRule="auto"/>
        <w:ind w:left="720" w:hanging="360"/>
      </w:pPr>
      <w:r w:rsidDel="00000000" w:rsidR="00000000" w:rsidRPr="00000000">
        <w:rPr>
          <w:b w:val="1"/>
          <w:bCs w:val="1"/>
          <w:rtl w:val="0"/>
        </w:rPr>
        <w:t xml:space="preserve">Hydroxyzine 10 mg at bedtime for sleep disturbance (short course; sedation counseling)</w:t>
        <w:br w:type="textWrapping"/>
      </w:r>
    </w:p>
    <w:p w:rsidR="00000000" w:rsidDel="00000000" w:rsidP="00000000" w:rsidRDefault="00000000" w:rsidRPr="00000000" w14:paraId="00000081">
      <w:pPr>
        <w:numPr>
          <w:ilvl w:val="0"/>
          <w:numId w:val="10"/>
        </w:numPr>
        <w:spacing w:after="0" w:afterAutospacing="0" w:before="0" w:beforeAutospacing="0" w:lineRule="auto"/>
        <w:ind w:left="720" w:hanging="360"/>
      </w:pPr>
      <w:r w:rsidDel="00000000" w:rsidR="00000000" w:rsidRPr="00000000">
        <w:rPr>
          <w:b w:val="1"/>
          <w:bCs w:val="1"/>
          <w:rtl w:val="0"/>
        </w:rPr>
        <w:t xml:space="preserve">Ursodeoxycholic acid (UDCA) 10 mg/kg/day in 2 divided doses (symptom-directed use under follow-up)</w:t>
        <w:br w:type="textWrapping"/>
        <w:t xml:space="preserve"> Pediatric reviews describe cholestyramine, UDCA, hydroxyzine, and rifampicin among conventional options for cholestatic pruritus in children. [7,8]</w:t>
      </w:r>
      <w:hyperlink r:id="rId38">
        <w:r w:rsidDel="00000000" w:rsidR="00000000" w:rsidRPr="00000000">
          <w:rPr>
            <w:b w:val="1"/>
            <w:bCs w:val="1"/>
            <w:rtl w:val="0"/>
          </w:rPr>
          <w:t xml:space="preserve"> </w:t>
        </w:r>
      </w:hyperlink>
      <w:hyperlink r:id="rId39">
        <w:r w:rsidDel="00000000" w:rsidR="00000000" w:rsidRPr="00000000">
          <w:rPr>
            <w:b w:val="1"/>
            <w:bCs w:val="1"/>
            <w:color w:val="1155cc"/>
            <w:u w:val="single"/>
            <w:rtl w:val="0"/>
          </w:rPr>
          <w:br w:type="textWrapping"/>
        </w:r>
      </w:hyperlink>
      <w:r w:rsidDel="00000000" w:rsidR="00000000" w:rsidRPr="00000000">
        <w:rPr>
          <w:rtl w:val="0"/>
        </w:rPr>
      </w:r>
    </w:p>
    <w:p w:rsidR="00000000" w:rsidDel="00000000" w:rsidP="00000000" w:rsidRDefault="00000000" w:rsidRPr="00000000" w14:paraId="00000082">
      <w:pPr>
        <w:numPr>
          <w:ilvl w:val="0"/>
          <w:numId w:val="2"/>
        </w:numPr>
        <w:spacing w:after="240" w:before="0" w:beforeAutospacing="0" w:lineRule="auto"/>
        <w:ind w:left="720" w:hanging="360"/>
      </w:pPr>
      <w:r w:rsidDel="00000000" w:rsidR="00000000" w:rsidRPr="00000000">
        <w:rPr>
          <w:b w:val="1"/>
          <w:bCs w:val="1"/>
          <w:rtl w:val="0"/>
        </w:rPr>
        <w:t xml:space="preserve">Monitoring &amp; safety-net: repeat LFT/INR at 7–10 days, then 2–4 weekly; emergency return for persistent vomiting/dehydration, bleeding, confusion/excessive sleepiness, severe abdominal pain, rapidly rising jaundice.</w:t>
        <w:br w:type="textWrapping"/>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92dw1vzirbq" w:id="14"/>
      <w:bookmarkEnd w:id="14"/>
      <w:r w:rsidDel="00000000" w:rsidR="00000000" w:rsidRPr="00000000">
        <w:rPr>
          <w:b w:val="1"/>
          <w:bCs w:val="1"/>
          <w:color w:val="000000"/>
          <w:sz w:val="26"/>
          <w:szCs w:val="26"/>
          <w:rtl w:val="0"/>
        </w:rPr>
        <w:t xml:space="preserve">Follow-up and outcomes</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Fever resolved within 3–4 days of first visit, appetite improved gradually, but pruritus and fatigue persisted for several weeks. The child missed 29 school days (approximately 6 weeks), including scheduled unit tests, primarily due to sleep disruption from itching and daytime fatigue.</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Trend of key labs</w:t>
      </w:r>
    </w:p>
    <w:tbl>
      <w:tblPr>
        <w:tblStyle w:val="Table2"/>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200"/>
        <w:gridCol w:w="1215"/>
        <w:gridCol w:w="1050"/>
        <w:gridCol w:w="1050"/>
        <w:gridCol w:w="1050"/>
        <w:gridCol w:w="1095"/>
        <w:gridCol w:w="1125"/>
        <w:tblGridChange w:id="0">
          <w:tblGrid>
            <w:gridCol w:w="1800"/>
            <w:gridCol w:w="1200"/>
            <w:gridCol w:w="1215"/>
            <w:gridCol w:w="1050"/>
            <w:gridCol w:w="1050"/>
            <w:gridCol w:w="1050"/>
            <w:gridCol w:w="1095"/>
            <w:gridCol w:w="112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jc w:val="center"/>
              <w:rPr>
                <w:b w:val="1"/>
                <w:bCs w:val="1"/>
              </w:rPr>
            </w:pPr>
            <w:r w:rsidDel="00000000" w:rsidR="00000000" w:rsidRPr="00000000">
              <w:rPr>
                <w:b w:val="1"/>
                <w:bCs w:val="1"/>
                <w:rtl w:val="0"/>
              </w:rPr>
              <w:t xml:space="preserve">Timepoint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jc w:val="center"/>
              <w:rPr>
                <w:b w:val="1"/>
                <w:bCs w:val="1"/>
              </w:rPr>
            </w:pPr>
            <w:r w:rsidDel="00000000" w:rsidR="00000000" w:rsidRPr="00000000">
              <w:rPr>
                <w:b w:val="1"/>
                <w:bCs w:val="1"/>
                <w:rtl w:val="0"/>
              </w:rPr>
              <w:t xml:space="preserve">TB (mg/dL)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jc w:val="center"/>
              <w:rPr>
                <w:b w:val="1"/>
                <w:bCs w:val="1"/>
              </w:rPr>
            </w:pPr>
            <w:r w:rsidDel="00000000" w:rsidR="00000000" w:rsidRPr="00000000">
              <w:rPr>
                <w:b w:val="1"/>
                <w:bCs w:val="1"/>
                <w:rtl w:val="0"/>
              </w:rPr>
              <w:t xml:space="preserve">DB (mg/dL)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jc w:val="center"/>
              <w:rPr>
                <w:b w:val="1"/>
                <w:bCs w:val="1"/>
              </w:rPr>
            </w:pPr>
            <w:r w:rsidDel="00000000" w:rsidR="00000000" w:rsidRPr="00000000">
              <w:rPr>
                <w:b w:val="1"/>
                <w:bCs w:val="1"/>
                <w:rtl w:val="0"/>
              </w:rPr>
              <w:t xml:space="preserve">ALT (U/L)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jc w:val="center"/>
              <w:rPr>
                <w:b w:val="1"/>
                <w:bCs w:val="1"/>
              </w:rPr>
            </w:pPr>
            <w:r w:rsidDel="00000000" w:rsidR="00000000" w:rsidRPr="00000000">
              <w:rPr>
                <w:b w:val="1"/>
                <w:bCs w:val="1"/>
                <w:rtl w:val="0"/>
              </w:rPr>
              <w:t xml:space="preserve">AST (U/L)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jc w:val="center"/>
              <w:rPr>
                <w:b w:val="1"/>
                <w:bCs w:val="1"/>
              </w:rPr>
            </w:pPr>
            <w:r w:rsidDel="00000000" w:rsidR="00000000" w:rsidRPr="00000000">
              <w:rPr>
                <w:b w:val="1"/>
                <w:bCs w:val="1"/>
                <w:rtl w:val="0"/>
              </w:rPr>
              <w:t xml:space="preserve">ALP (U/L)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jc w:val="center"/>
              <w:rPr>
                <w:b w:val="1"/>
                <w:bCs w:val="1"/>
              </w:rPr>
            </w:pPr>
            <w:r w:rsidDel="00000000" w:rsidR="00000000" w:rsidRPr="00000000">
              <w:rPr>
                <w:b w:val="1"/>
                <w:bCs w:val="1"/>
                <w:rtl w:val="0"/>
              </w:rPr>
              <w:t xml:space="preserve">GGT (U/L)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jc w:val="center"/>
              <w:rPr>
                <w:b w:val="1"/>
                <w:bCs w:val="1"/>
              </w:rPr>
            </w:pPr>
            <w:r w:rsidDel="00000000" w:rsidR="00000000" w:rsidRPr="00000000">
              <w:rPr>
                <w:b w:val="1"/>
                <w:bCs w:val="1"/>
                <w:rtl w:val="0"/>
              </w:rPr>
              <w:t xml:space="preserve">INR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b w:val="1"/>
                <w:bCs w:val="1"/>
              </w:rPr>
            </w:pPr>
            <w:r w:rsidDel="00000000" w:rsidR="00000000" w:rsidRPr="00000000">
              <w:rPr>
                <w:b w:val="1"/>
                <w:bCs w:val="1"/>
                <w:rtl w:val="0"/>
              </w:rPr>
              <w:t xml:space="preserve">Day 0 (presentation)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b w:val="1"/>
                <w:bCs w:val="1"/>
              </w:rPr>
            </w:pPr>
            <w:r w:rsidDel="00000000" w:rsidR="00000000" w:rsidRPr="00000000">
              <w:rPr>
                <w:b w:val="1"/>
                <w:bCs w:val="1"/>
                <w:rtl w:val="0"/>
              </w:rPr>
              <w:t xml:space="preserve">14.2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b w:val="1"/>
                <w:bCs w:val="1"/>
              </w:rPr>
            </w:pPr>
            <w:r w:rsidDel="00000000" w:rsidR="00000000" w:rsidRPr="00000000">
              <w:rPr>
                <w:b w:val="1"/>
                <w:bCs w:val="1"/>
                <w:rtl w:val="0"/>
              </w:rPr>
              <w:t xml:space="preserve">10.1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b w:val="1"/>
                <w:bCs w:val="1"/>
              </w:rPr>
            </w:pPr>
            <w:r w:rsidDel="00000000" w:rsidR="00000000" w:rsidRPr="00000000">
              <w:rPr>
                <w:b w:val="1"/>
                <w:bCs w:val="1"/>
                <w:rtl w:val="0"/>
              </w:rPr>
              <w:t xml:space="preserve">1620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b w:val="1"/>
                <w:bCs w:val="1"/>
              </w:rPr>
            </w:pPr>
            <w:r w:rsidDel="00000000" w:rsidR="00000000" w:rsidRPr="00000000">
              <w:rPr>
                <w:b w:val="1"/>
                <w:bCs w:val="1"/>
                <w:rtl w:val="0"/>
              </w:rPr>
              <w:t xml:space="preserve">980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b w:val="1"/>
                <w:bCs w:val="1"/>
              </w:rPr>
            </w:pPr>
            <w:r w:rsidDel="00000000" w:rsidR="00000000" w:rsidRPr="00000000">
              <w:rPr>
                <w:b w:val="1"/>
                <w:bCs w:val="1"/>
                <w:rtl w:val="0"/>
              </w:rPr>
              <w:t xml:space="preserve">468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b w:val="1"/>
                <w:bCs w:val="1"/>
              </w:rPr>
            </w:pPr>
            <w:r w:rsidDel="00000000" w:rsidR="00000000" w:rsidRPr="00000000">
              <w:rPr>
                <w:b w:val="1"/>
                <w:bCs w:val="1"/>
                <w:rtl w:val="0"/>
              </w:rPr>
              <w:t xml:space="preserve">192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b w:val="1"/>
                <w:bCs w:val="1"/>
              </w:rPr>
            </w:pPr>
            <w:r w:rsidDel="00000000" w:rsidR="00000000" w:rsidRPr="00000000">
              <w:rPr>
                <w:b w:val="1"/>
                <w:bCs w:val="1"/>
                <w:rtl w:val="0"/>
              </w:rPr>
              <w:t xml:space="preserve">1.06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b w:val="1"/>
                <w:bCs w:val="1"/>
              </w:rPr>
            </w:pPr>
            <w:r w:rsidDel="00000000" w:rsidR="00000000" w:rsidRPr="00000000">
              <w:rPr>
                <w:b w:val="1"/>
                <w:bCs w:val="1"/>
                <w:rtl w:val="0"/>
              </w:rPr>
              <w:t xml:space="preserve">Day 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b w:val="1"/>
                <w:bCs w:val="1"/>
              </w:rPr>
            </w:pPr>
            <w:r w:rsidDel="00000000" w:rsidR="00000000" w:rsidRPr="00000000">
              <w:rPr>
                <w:b w:val="1"/>
                <w:bCs w:val="1"/>
                <w:rtl w:val="0"/>
              </w:rPr>
              <w:t xml:space="preserve">16.0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b w:val="1"/>
                <w:bCs w:val="1"/>
              </w:rPr>
            </w:pPr>
            <w:r w:rsidDel="00000000" w:rsidR="00000000" w:rsidRPr="00000000">
              <w:rPr>
                <w:b w:val="1"/>
                <w:bCs w:val="1"/>
                <w:rtl w:val="0"/>
              </w:rPr>
              <w:t xml:space="preserve">11.6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b w:val="1"/>
                <w:bCs w:val="1"/>
              </w:rPr>
            </w:pPr>
            <w:r w:rsidDel="00000000" w:rsidR="00000000" w:rsidRPr="00000000">
              <w:rPr>
                <w:b w:val="1"/>
                <w:bCs w:val="1"/>
                <w:rtl w:val="0"/>
              </w:rPr>
              <w:t xml:space="preserve">980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b w:val="1"/>
                <w:bCs w:val="1"/>
              </w:rPr>
            </w:pPr>
            <w:r w:rsidDel="00000000" w:rsidR="00000000" w:rsidRPr="00000000">
              <w:rPr>
                <w:b w:val="1"/>
                <w:bCs w:val="1"/>
                <w:rtl w:val="0"/>
              </w:rPr>
              <w:t xml:space="preserve">620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b w:val="1"/>
                <w:bCs w:val="1"/>
              </w:rPr>
            </w:pPr>
            <w:r w:rsidDel="00000000" w:rsidR="00000000" w:rsidRPr="00000000">
              <w:rPr>
                <w:b w:val="1"/>
                <w:bCs w:val="1"/>
                <w:rtl w:val="0"/>
              </w:rPr>
              <w:t xml:space="preserve">512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b w:val="1"/>
                <w:bCs w:val="1"/>
              </w:rPr>
            </w:pPr>
            <w:r w:rsidDel="00000000" w:rsidR="00000000" w:rsidRPr="00000000">
              <w:rPr>
                <w:b w:val="1"/>
                <w:bCs w:val="1"/>
                <w:rtl w:val="0"/>
              </w:rPr>
              <w:t xml:space="preserve">206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b w:val="1"/>
                <w:bCs w:val="1"/>
              </w:rPr>
            </w:pPr>
            <w:r w:rsidDel="00000000" w:rsidR="00000000" w:rsidRPr="00000000">
              <w:rPr>
                <w:b w:val="1"/>
                <w:bCs w:val="1"/>
                <w:rtl w:val="0"/>
              </w:rPr>
              <w:t xml:space="preserve">1.05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b w:val="1"/>
                <w:bCs w:val="1"/>
              </w:rPr>
            </w:pPr>
            <w:r w:rsidDel="00000000" w:rsidR="00000000" w:rsidRPr="00000000">
              <w:rPr>
                <w:b w:val="1"/>
                <w:bCs w:val="1"/>
                <w:rtl w:val="0"/>
              </w:rPr>
              <w:t xml:space="preserve">Week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b w:val="1"/>
                <w:bCs w:val="1"/>
              </w:rPr>
            </w:pPr>
            <w:r w:rsidDel="00000000" w:rsidR="00000000" w:rsidRPr="00000000">
              <w:rPr>
                <w:b w:val="1"/>
                <w:bCs w:val="1"/>
                <w:rtl w:val="0"/>
              </w:rPr>
              <w:t xml:space="preserve">12.4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b w:val="1"/>
                <w:bCs w:val="1"/>
              </w:rPr>
            </w:pPr>
            <w:r w:rsidDel="00000000" w:rsidR="00000000" w:rsidRPr="00000000">
              <w:rPr>
                <w:b w:val="1"/>
                <w:bCs w:val="1"/>
                <w:rtl w:val="0"/>
              </w:rPr>
              <w:t xml:space="preserve">8.8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b w:val="1"/>
                <w:bCs w:val="1"/>
              </w:rPr>
            </w:pPr>
            <w:r w:rsidDel="00000000" w:rsidR="00000000" w:rsidRPr="00000000">
              <w:rPr>
                <w:b w:val="1"/>
                <w:bCs w:val="1"/>
                <w:rtl w:val="0"/>
              </w:rPr>
              <w:t xml:space="preserve">310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b w:val="1"/>
                <w:bCs w:val="1"/>
              </w:rPr>
            </w:pPr>
            <w:r w:rsidDel="00000000" w:rsidR="00000000" w:rsidRPr="00000000">
              <w:rPr>
                <w:b w:val="1"/>
                <w:bCs w:val="1"/>
                <w:rtl w:val="0"/>
              </w:rPr>
              <w:t xml:space="preserve">210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b w:val="1"/>
                <w:bCs w:val="1"/>
              </w:rPr>
            </w:pPr>
            <w:r w:rsidDel="00000000" w:rsidR="00000000" w:rsidRPr="00000000">
              <w:rPr>
                <w:b w:val="1"/>
                <w:bCs w:val="1"/>
                <w:rtl w:val="0"/>
              </w:rPr>
              <w:t xml:space="preserve">462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b w:val="1"/>
                <w:bCs w:val="1"/>
              </w:rPr>
            </w:pPr>
            <w:r w:rsidDel="00000000" w:rsidR="00000000" w:rsidRPr="00000000">
              <w:rPr>
                <w:b w:val="1"/>
                <w:bCs w:val="1"/>
                <w:rtl w:val="0"/>
              </w:rPr>
              <w:t xml:space="preserve">168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b w:val="1"/>
                <w:bCs w:val="1"/>
              </w:rPr>
            </w:pPr>
            <w:r w:rsidDel="00000000" w:rsidR="00000000" w:rsidRPr="00000000">
              <w:rPr>
                <w:b w:val="1"/>
                <w:bCs w:val="1"/>
                <w:rtl w:val="0"/>
              </w:rPr>
              <w:t xml:space="preserve">1.03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b w:val="1"/>
                <w:bCs w:val="1"/>
              </w:rPr>
            </w:pPr>
            <w:r w:rsidDel="00000000" w:rsidR="00000000" w:rsidRPr="00000000">
              <w:rPr>
                <w:b w:val="1"/>
                <w:bCs w:val="1"/>
                <w:rtl w:val="0"/>
              </w:rPr>
              <w:t xml:space="preserve">Week 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b w:val="1"/>
                <w:bCs w:val="1"/>
              </w:rPr>
            </w:pPr>
            <w:r w:rsidDel="00000000" w:rsidR="00000000" w:rsidRPr="00000000">
              <w:rPr>
                <w:b w:val="1"/>
                <w:bCs w:val="1"/>
                <w:rtl w:val="0"/>
              </w:rPr>
              <w:t xml:space="preserve">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b w:val="1"/>
                <w:bCs w:val="1"/>
              </w:rPr>
            </w:pPr>
            <w:r w:rsidDel="00000000" w:rsidR="00000000" w:rsidRPr="00000000">
              <w:rPr>
                <w:b w:val="1"/>
                <w:bCs w:val="1"/>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b w:val="1"/>
                <w:bCs w:val="1"/>
              </w:rPr>
            </w:pPr>
            <w:r w:rsidDel="00000000" w:rsidR="00000000" w:rsidRPr="00000000">
              <w:rPr>
                <w:b w:val="1"/>
                <w:bCs w:val="1"/>
                <w:rtl w:val="0"/>
              </w:rPr>
              <w:t xml:space="preserve">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b w:val="1"/>
                <w:bCs w:val="1"/>
              </w:rPr>
            </w:pPr>
            <w:r w:rsidDel="00000000" w:rsidR="00000000" w:rsidRPr="00000000">
              <w:rPr>
                <w:b w:val="1"/>
                <w:bCs w:val="1"/>
                <w:rtl w:val="0"/>
              </w:rPr>
              <w:t xml:space="preserve">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b w:val="1"/>
                <w:bCs w:val="1"/>
              </w:rPr>
            </w:pPr>
            <w:r w:rsidDel="00000000" w:rsidR="00000000" w:rsidRPr="00000000">
              <w:rPr>
                <w:b w:val="1"/>
                <w:bCs w:val="1"/>
                <w:rtl w:val="0"/>
              </w:rPr>
              <w:t xml:space="preserve">240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b w:val="1"/>
                <w:bCs w:val="1"/>
              </w:rPr>
            </w:pPr>
            <w:r w:rsidDel="00000000" w:rsidR="00000000" w:rsidRPr="00000000">
              <w:rPr>
                <w:b w:val="1"/>
                <w:bCs w:val="1"/>
                <w:rtl w:val="0"/>
              </w:rPr>
              <w:t xml:space="preserve">84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b w:val="1"/>
                <w:bCs w:val="1"/>
              </w:rPr>
            </w:pPr>
            <w:r w:rsidDel="00000000" w:rsidR="00000000" w:rsidRPr="00000000">
              <w:rPr>
                <w:b w:val="1"/>
                <w:bCs w:val="1"/>
                <w:rtl w:val="0"/>
              </w:rPr>
              <w:t xml:space="preserve">1.01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b w:val="1"/>
                <w:bCs w:val="1"/>
              </w:rPr>
            </w:pPr>
            <w:r w:rsidDel="00000000" w:rsidR="00000000" w:rsidRPr="00000000">
              <w:rPr>
                <w:b w:val="1"/>
                <w:bCs w:val="1"/>
                <w:rtl w:val="0"/>
              </w:rPr>
              <w:t xml:space="preserve">Week 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b w:val="1"/>
                <w:bCs w:val="1"/>
              </w:rPr>
            </w:pPr>
            <w:r w:rsidDel="00000000" w:rsidR="00000000" w:rsidRPr="00000000">
              <w:rPr>
                <w:b w:val="1"/>
                <w:bCs w:val="1"/>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b w:val="1"/>
                <w:bCs w:val="1"/>
              </w:rPr>
            </w:pPr>
            <w:r w:rsidDel="00000000" w:rsidR="00000000" w:rsidRPr="00000000">
              <w:rPr>
                <w:b w:val="1"/>
                <w:bCs w:val="1"/>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b w:val="1"/>
                <w:bCs w:val="1"/>
              </w:rPr>
            </w:pPr>
            <w:r w:rsidDel="00000000" w:rsidR="00000000" w:rsidRPr="00000000">
              <w:rPr>
                <w:b w:val="1"/>
                <w:bCs w:val="1"/>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b w:val="1"/>
                <w:bCs w:val="1"/>
              </w:rPr>
            </w:pPr>
            <w:r w:rsidDel="00000000" w:rsidR="00000000" w:rsidRPr="00000000">
              <w:rPr>
                <w:b w:val="1"/>
                <w:bCs w:val="1"/>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b w:val="1"/>
                <w:bCs w:val="1"/>
              </w:rPr>
            </w:pPr>
            <w:r w:rsidDel="00000000" w:rsidR="00000000" w:rsidRPr="00000000">
              <w:rPr>
                <w:b w:val="1"/>
                <w:bCs w:val="1"/>
                <w:rtl w:val="0"/>
              </w:rPr>
              <w:t xml:space="preserve">176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b w:val="1"/>
                <w:bCs w:val="1"/>
              </w:rPr>
            </w:pPr>
            <w:r w:rsidDel="00000000" w:rsidR="00000000" w:rsidRPr="00000000">
              <w:rPr>
                <w:b w:val="1"/>
                <w:bCs w:val="1"/>
                <w:rtl w:val="0"/>
              </w:rPr>
              <w:t xml:space="preserve">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b w:val="1"/>
                <w:bCs w:val="1"/>
              </w:rPr>
            </w:pPr>
            <w:r w:rsidDel="00000000" w:rsidR="00000000" w:rsidRPr="00000000">
              <w:rPr>
                <w:b w:val="1"/>
                <w:bCs w:val="1"/>
                <w:rtl w:val="0"/>
              </w:rPr>
              <w:t xml:space="preserve">1.00</w:t>
            </w:r>
          </w:p>
        </w:tc>
      </w:tr>
    </w:tbl>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Clinically, pruritus improved substantially by week 6 and resolved by week 10; jaundice cleared by week 12. No relapse occurred over 6 months of follow-up.</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teiqbysbyq64" w:id="15"/>
      <w:bookmarkEnd w:id="15"/>
      <w:r w:rsidDel="00000000" w:rsidR="00000000" w:rsidRPr="00000000">
        <w:rPr>
          <w:b w:val="1"/>
          <w:bCs w:val="1"/>
          <w:color w:val="000000"/>
          <w:sz w:val="26"/>
          <w:szCs w:val="26"/>
          <w:rtl w:val="0"/>
        </w:rPr>
        <w:t xml:space="preserve">Discussion</w:t>
      </w:r>
    </w:p>
    <w:p w:rsidR="00000000" w:rsidDel="00000000" w:rsidP="00000000" w:rsidRDefault="00000000" w:rsidRPr="00000000" w14:paraId="000000B8">
      <w:pPr>
        <w:spacing w:after="240" w:before="240" w:lineRule="auto"/>
        <w:rPr>
          <w:b w:val="1"/>
          <w:bCs w:val="1"/>
          <w:color w:val="1155cc"/>
          <w:u w:val="single"/>
        </w:rPr>
      </w:pPr>
      <w:r w:rsidDel="00000000" w:rsidR="00000000" w:rsidRPr="00000000">
        <w:rPr>
          <w:b w:val="1"/>
          <w:bCs w:val="1"/>
          <w:rtl w:val="0"/>
        </w:rPr>
        <w:t xml:space="preserve">This case demonstrates how delayed or missed hepatitis A vaccination can translate into significant morbidity in older children. HAV is transmitted fecal–orally and remains closely linked to sanitation and safe water; most cases are self-limited and treated supportively without antivirals, and infection does not become chronic. [3,4]</w:t>
      </w:r>
      <w:hyperlink r:id="rId40">
        <w:r w:rsidDel="00000000" w:rsidR="00000000" w:rsidRPr="00000000">
          <w:rPr>
            <w:b w:val="1"/>
            <w:bCs w:val="1"/>
            <w:rtl w:val="0"/>
          </w:rPr>
          <w:t xml:space="preserve"> </w:t>
        </w:r>
      </w:hyperlink>
      <w:r w:rsidDel="00000000" w:rsidR="00000000" w:rsidRPr="00000000">
        <w:rPr>
          <w:b w:val="1"/>
          <w:bCs w:val="1"/>
          <w:rtl w:val="0"/>
        </w:rPr>
        <w:t xml:space="preserve">In adolescents and older children, however, symptomatic illness can be more disruptive, and a subset develops prolonged cholestasis with intense pruritus, leading to extended functional impairment (sleep loss, school absenteeism). This complication has been described in case reports and reviews of HAV cholestasis. [9,10]</w:t>
      </w:r>
      <w:hyperlink r:id="rId41">
        <w:r w:rsidDel="00000000" w:rsidR="00000000" w:rsidRPr="00000000">
          <w:rPr>
            <w:b w:val="1"/>
            <w:bCs w:val="1"/>
            <w:rtl w:val="0"/>
          </w:rPr>
          <w:t xml:space="preserve"> </w:t>
        </w:r>
      </w:hyperlink>
      <w:r w:rsidDel="00000000" w:rsidR="00000000" w:rsidRPr="00000000">
        <w:rPr>
          <w:rtl w:val="0"/>
        </w:rPr>
      </w:r>
    </w:p>
    <w:p w:rsidR="00000000" w:rsidDel="00000000" w:rsidP="00000000" w:rsidRDefault="00000000" w:rsidRPr="00000000" w14:paraId="000000B9">
      <w:pPr>
        <w:spacing w:after="240" w:before="240" w:lineRule="auto"/>
        <w:rPr>
          <w:b w:val="1"/>
          <w:bCs w:val="1"/>
          <w:color w:val="1155cc"/>
          <w:u w:val="single"/>
        </w:rPr>
      </w:pPr>
      <w:r w:rsidDel="00000000" w:rsidR="00000000" w:rsidRPr="00000000">
        <w:rPr>
          <w:b w:val="1"/>
          <w:bCs w:val="1"/>
          <w:rtl w:val="0"/>
        </w:rPr>
        <w:t xml:space="preserve">The context is also epidemiologically plausible: evidence from the Indian subcontinent suggests a shift toward intermediate endemicity in certain pockets, leaving more children susceptible into later childhood and adolescence, thereby increasing the burden of symptomatic disease. [6]</w:t>
      </w:r>
      <w:hyperlink r:id="rId42">
        <w:r w:rsidDel="00000000" w:rsidR="00000000" w:rsidRPr="00000000">
          <w:rPr>
            <w:b w:val="1"/>
            <w:bCs w:val="1"/>
            <w:rtl w:val="0"/>
          </w:rPr>
          <w:t xml:space="preserve"> </w:t>
        </w:r>
      </w:hyperlink>
      <w:r w:rsidDel="00000000" w:rsidR="00000000" w:rsidRPr="00000000">
        <w:rPr>
          <w:rtl w:val="0"/>
        </w:rPr>
      </w:r>
    </w:p>
    <w:p w:rsidR="00000000" w:rsidDel="00000000" w:rsidP="00000000" w:rsidRDefault="00000000" w:rsidRPr="00000000" w14:paraId="000000BA">
      <w:pPr>
        <w:spacing w:after="240" w:before="240" w:lineRule="auto"/>
        <w:rPr>
          <w:b w:val="1"/>
          <w:bCs w:val="1"/>
          <w:color w:val="1155cc"/>
          <w:u w:val="single"/>
        </w:rPr>
      </w:pPr>
      <w:r w:rsidDel="00000000" w:rsidR="00000000" w:rsidRPr="00000000">
        <w:rPr>
          <w:b w:val="1"/>
          <w:bCs w:val="1"/>
          <w:rtl w:val="0"/>
        </w:rPr>
        <w:t xml:space="preserve">Vaccination remains the most reliable prevention strategy. The CDC recommends vaccination for children and catch-up for unvaccinated children/adolescents, and notes that hepatitis A vaccines are highly effective. [4,11]</w:t>
      </w:r>
      <w:hyperlink r:id="rId43">
        <w:r w:rsidDel="00000000" w:rsidR="00000000" w:rsidRPr="00000000">
          <w:rPr>
            <w:b w:val="1"/>
            <w:bCs w:val="1"/>
            <w:rtl w:val="0"/>
          </w:rPr>
          <w:t xml:space="preserve"> </w:t>
        </w:r>
      </w:hyperlink>
      <w:r w:rsidDel="00000000" w:rsidR="00000000" w:rsidRPr="00000000">
        <w:rPr>
          <w:rFonts w:ascii="Arial Unicode MS" w:cs="Arial Unicode MS" w:eastAsia="Arial Unicode MS" w:hAnsi="Arial Unicode MS"/>
          <w:b w:val="1"/>
          <w:bCs w:val="1"/>
          <w:rtl w:val="0"/>
        </w:rPr>
        <w:t xml:space="preserve">IAP guidance recommends hepatitis A vaccination for children ≥12 months, with a 2-dose 0–6 month schedule for inactivated vaccines. [5]</w:t>
      </w:r>
      <w:hyperlink r:id="rId44">
        <w:r w:rsidDel="00000000" w:rsidR="00000000" w:rsidRPr="00000000">
          <w:rPr>
            <w:b w:val="1"/>
            <w:bCs w:val="1"/>
            <w:rtl w:val="0"/>
          </w:rPr>
          <w:t xml:space="preserve"> </w:t>
        </w:r>
      </w:hyperlink>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3o2gymgu89xm" w:id="16"/>
      <w:bookmarkEnd w:id="16"/>
      <w:r w:rsidDel="00000000" w:rsidR="00000000" w:rsidRPr="00000000">
        <w:rPr>
          <w:b w:val="1"/>
          <w:bCs w:val="1"/>
          <w:color w:val="000000"/>
          <w:sz w:val="26"/>
          <w:szCs w:val="26"/>
          <w:rtl w:val="0"/>
        </w:rPr>
        <w:t xml:space="preserve">Learning points</w:t>
      </w:r>
    </w:p>
    <w:p w:rsidR="00000000" w:rsidDel="00000000" w:rsidP="00000000" w:rsidRDefault="00000000" w:rsidRPr="00000000" w14:paraId="000000BC">
      <w:pPr>
        <w:numPr>
          <w:ilvl w:val="0"/>
          <w:numId w:val="1"/>
        </w:numPr>
        <w:spacing w:after="0" w:afterAutospacing="0" w:before="240" w:lineRule="auto"/>
        <w:ind w:left="720" w:hanging="360"/>
        <w:rPr>
          <w:b w:val="1"/>
          <w:bCs w:val="1"/>
        </w:rPr>
      </w:pPr>
      <w:r w:rsidDel="00000000" w:rsidR="00000000" w:rsidRPr="00000000">
        <w:rPr>
          <w:b w:val="1"/>
          <w:bCs w:val="1"/>
          <w:rtl w:val="0"/>
        </w:rPr>
        <w:t xml:space="preserve">HAV is fecal–oral; management is supportive with no specific antiviral therapy; it does not become chronic. [3,4]</w:t>
      </w:r>
      <w:hyperlink r:id="rId45">
        <w:r w:rsidDel="00000000" w:rsidR="00000000" w:rsidRPr="00000000">
          <w:rPr>
            <w:b w:val="1"/>
            <w:bCs w:val="1"/>
            <w:rtl w:val="0"/>
          </w:rPr>
          <w:t xml:space="preserve"> </w:t>
        </w:r>
      </w:hyperlink>
      <w:r w:rsidDel="00000000" w:rsidR="00000000" w:rsidRPr="00000000">
        <w:rPr>
          <w:rtl w:val="0"/>
        </w:rPr>
      </w:r>
    </w:p>
    <w:p w:rsidR="00000000" w:rsidDel="00000000" w:rsidP="00000000" w:rsidRDefault="00000000" w:rsidRPr="00000000" w14:paraId="000000BD">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Prolonged cholestasis with severe pruritus is an uncommon but documented HAV phenotype and can cause major school/work disruption. [9,10]</w:t>
      </w:r>
      <w:hyperlink r:id="rId46">
        <w:r w:rsidDel="00000000" w:rsidR="00000000" w:rsidRPr="00000000">
          <w:rPr>
            <w:b w:val="1"/>
            <w:bCs w:val="1"/>
            <w:rtl w:val="0"/>
          </w:rPr>
          <w:t xml:space="preserve"> </w:t>
        </w:r>
      </w:hyperlink>
      <w:r w:rsidDel="00000000" w:rsidR="00000000" w:rsidRPr="00000000">
        <w:rPr>
          <w:rtl w:val="0"/>
        </w:rPr>
      </w:r>
    </w:p>
    <w:p w:rsidR="00000000" w:rsidDel="00000000" w:rsidP="00000000" w:rsidRDefault="00000000" w:rsidRPr="00000000" w14:paraId="000000BE">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Pediatric cholestatic pruritus can be managed stepwise (e.g., cholestyramine/UDCA/hydroxyzine; consider rifampicin in refractory cases under monitoring). [7,8]</w:t>
      </w:r>
      <w:hyperlink r:id="rId47">
        <w:r w:rsidDel="00000000" w:rsidR="00000000" w:rsidRPr="00000000">
          <w:rPr>
            <w:b w:val="1"/>
            <w:bCs w:val="1"/>
            <w:rtl w:val="0"/>
          </w:rPr>
          <w:t xml:space="preserve"> </w:t>
        </w:r>
      </w:hyperlink>
      <w:r w:rsidDel="00000000" w:rsidR="00000000" w:rsidRPr="00000000">
        <w:rPr>
          <w:rtl w:val="0"/>
        </w:rPr>
      </w:r>
    </w:p>
    <w:p w:rsidR="00000000" w:rsidDel="00000000" w:rsidP="00000000" w:rsidRDefault="00000000" w:rsidRPr="00000000" w14:paraId="000000BF">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Missed vaccination opportunities during the COVID-era service disruption have contributed to immunity gaps; catch-up matters. [1,2]</w:t>
      </w:r>
      <w:hyperlink r:id="rId48">
        <w:r w:rsidDel="00000000" w:rsidR="00000000" w:rsidRPr="00000000">
          <w:rPr>
            <w:b w:val="1"/>
            <w:bCs w:val="1"/>
            <w:rtl w:val="0"/>
          </w:rPr>
          <w:t xml:space="preserve"> </w:t>
        </w:r>
      </w:hyperlink>
      <w:r w:rsidDel="00000000" w:rsidR="00000000" w:rsidRPr="00000000">
        <w:rPr>
          <w:rtl w:val="0"/>
        </w:rPr>
      </w:r>
    </w:p>
    <w:p w:rsidR="00000000" w:rsidDel="00000000" w:rsidP="00000000" w:rsidRDefault="00000000" w:rsidRPr="00000000" w14:paraId="000000C0">
      <w:pPr>
        <w:numPr>
          <w:ilvl w:val="0"/>
          <w:numId w:val="1"/>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Hepatitis A vaccination is recommended from ≥12 months (IAP) and is highly effective (CDC). [5,11]</w:t>
      </w:r>
      <w:hyperlink r:id="rId49">
        <w:r w:rsidDel="00000000" w:rsidR="00000000" w:rsidRPr="00000000">
          <w:rPr>
            <w:b w:val="1"/>
            <w:bCs w:val="1"/>
            <w:rtl w:val="0"/>
          </w:rPr>
          <w:t xml:space="preserve"> </w:t>
        </w:r>
      </w:hyperlink>
      <w:r w:rsidDel="00000000" w:rsidR="00000000" w:rsidRPr="00000000">
        <w:rPr>
          <w:rtl w:val="0"/>
        </w:rPr>
      </w:r>
    </w:p>
    <w:p w:rsidR="00000000" w:rsidDel="00000000" w:rsidP="00000000" w:rsidRDefault="00000000" w:rsidRPr="00000000" w14:paraId="000000C1">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Children who miss hepatitis A vaccination during disruptions (e.g., COVID-era) should be actively identified and vaccinated before exposure, because catch-up closes immunity gaps and prevents symptomatic disease and its complications in older children/adolescents. [4,11]</w:t>
      </w:r>
    </w:p>
    <w:p w:rsidR="00000000" w:rsidDel="00000000" w:rsidP="00000000" w:rsidRDefault="00000000" w:rsidRPr="00000000" w14:paraId="000000C2">
      <w:pPr>
        <w:spacing w:after="240" w:before="240" w:lineRule="auto"/>
        <w:ind w:left="720" w:firstLine="0"/>
        <w:rPr>
          <w:b w:val="1"/>
          <w:bCs w:val="1"/>
          <w:color w:val="1155cc"/>
          <w:u w:val="single"/>
        </w:rPr>
      </w:pPr>
      <w:r w:rsidDel="00000000" w:rsidR="00000000" w:rsidRPr="00000000">
        <w:rPr>
          <w:rtl w:val="0"/>
        </w:rPr>
      </w:r>
    </w:p>
    <w:p w:rsidR="00000000" w:rsidDel="00000000" w:rsidP="00000000" w:rsidRDefault="00000000" w:rsidRPr="00000000" w14:paraId="000000C3">
      <w:pPr>
        <w:rPr>
          <w:b w:val="1"/>
          <w:bCs w:val="1"/>
        </w:rPr>
      </w:pP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7buyur7yqry0" w:id="17"/>
      <w:bookmarkEnd w:id="17"/>
      <w:r w:rsidDel="00000000" w:rsidR="00000000" w:rsidRPr="00000000">
        <w:rPr>
          <w:b w:val="1"/>
          <w:bCs w:val="1"/>
          <w:sz w:val="34"/>
          <w:szCs w:val="34"/>
          <w:rtl w:val="0"/>
        </w:rPr>
        <w:t xml:space="preserve">References </w:t>
      </w:r>
    </w:p>
    <w:p w:rsidR="00000000" w:rsidDel="00000000" w:rsidP="00000000" w:rsidRDefault="00000000" w:rsidRPr="00000000" w14:paraId="000000C5">
      <w:pPr>
        <w:numPr>
          <w:ilvl w:val="0"/>
          <w:numId w:val="18"/>
        </w:numPr>
        <w:spacing w:after="0" w:afterAutospacing="0" w:before="240" w:lineRule="auto"/>
        <w:ind w:left="720" w:hanging="360"/>
        <w:rPr>
          <w:b w:val="1"/>
          <w:bCs w:val="1"/>
        </w:rPr>
      </w:pPr>
      <w:r w:rsidDel="00000000" w:rsidR="00000000" w:rsidRPr="00000000">
        <w:rPr>
          <w:b w:val="1"/>
          <w:bCs w:val="1"/>
          <w:rtl w:val="0"/>
        </w:rPr>
        <w:t xml:space="preserve">UNICEF. COVID-19 pandemic leads to major backsliding on childhood vaccinations, new WHO, UNICEF data shows [Internet]. New York: UNICEF; 2021 Jul 15 [cited 2025 Dec 18]. Available from: UNICEF website.</w:t>
      </w:r>
      <w:hyperlink r:id="rId50">
        <w:r w:rsidDel="00000000" w:rsidR="00000000" w:rsidRPr="00000000">
          <w:rPr>
            <w:b w:val="1"/>
            <w:bCs w:val="1"/>
            <w:rtl w:val="0"/>
          </w:rPr>
          <w:t xml:space="preserve"> </w:t>
        </w:r>
      </w:hyperlink>
      <w:hyperlink r:id="rId51">
        <w:r w:rsidDel="00000000" w:rsidR="00000000" w:rsidRPr="00000000">
          <w:rPr>
            <w:b w:val="1"/>
            <w:bCs w:val="1"/>
            <w:color w:val="1155cc"/>
            <w:u w:val="single"/>
            <w:rtl w:val="0"/>
          </w:rPr>
          <w:t xml:space="preserve">UNICEF</w:t>
          <w:br w:type="textWrapping"/>
        </w:r>
      </w:hyperlink>
      <w:r w:rsidDel="00000000" w:rsidR="00000000" w:rsidRPr="00000000">
        <w:rPr>
          <w:rtl w:val="0"/>
        </w:rPr>
      </w:r>
    </w:p>
    <w:p w:rsidR="00000000" w:rsidDel="00000000" w:rsidP="00000000" w:rsidRDefault="00000000" w:rsidRPr="00000000" w14:paraId="000000C6">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World Health Organization. COVID-19 pandemic fuels largest continued backslide in vaccinations in three decades [Internet]. Geneva: WHO; 2022 Jul 15 [cited 2025 Dec 18]. Available from: WHO website.</w:t>
      </w:r>
      <w:hyperlink r:id="rId52">
        <w:r w:rsidDel="00000000" w:rsidR="00000000" w:rsidRPr="00000000">
          <w:rPr>
            <w:b w:val="1"/>
            <w:bCs w:val="1"/>
            <w:rtl w:val="0"/>
          </w:rPr>
          <w:t xml:space="preserve"> </w:t>
        </w:r>
      </w:hyperlink>
      <w:hyperlink r:id="rId53">
        <w:r w:rsidDel="00000000" w:rsidR="00000000" w:rsidRPr="00000000">
          <w:rPr>
            <w:b w:val="1"/>
            <w:bCs w:val="1"/>
            <w:color w:val="1155cc"/>
            <w:u w:val="single"/>
            <w:rtl w:val="0"/>
          </w:rPr>
          <w:t xml:space="preserve">World Health Organization</w:t>
          <w:br w:type="textWrapping"/>
        </w:r>
      </w:hyperlink>
      <w:r w:rsidDel="00000000" w:rsidR="00000000" w:rsidRPr="00000000">
        <w:rPr>
          <w:rtl w:val="0"/>
        </w:rPr>
      </w:r>
    </w:p>
    <w:p w:rsidR="00000000" w:rsidDel="00000000" w:rsidP="00000000" w:rsidRDefault="00000000" w:rsidRPr="00000000" w14:paraId="000000C7">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World Health Organization. Hepatitis A [Internet]. Geneva: WHO; 2025 Feb 12 [cited 2025 Dec 18]. Available from: WHO website.</w:t>
      </w:r>
      <w:hyperlink r:id="rId54">
        <w:r w:rsidDel="00000000" w:rsidR="00000000" w:rsidRPr="00000000">
          <w:rPr>
            <w:b w:val="1"/>
            <w:bCs w:val="1"/>
            <w:rtl w:val="0"/>
          </w:rPr>
          <w:t xml:space="preserve"> </w:t>
        </w:r>
      </w:hyperlink>
      <w:hyperlink r:id="rId55">
        <w:r w:rsidDel="00000000" w:rsidR="00000000" w:rsidRPr="00000000">
          <w:rPr>
            <w:b w:val="1"/>
            <w:bCs w:val="1"/>
            <w:color w:val="1155cc"/>
            <w:u w:val="single"/>
            <w:rtl w:val="0"/>
          </w:rPr>
          <w:t xml:space="preserve">World Health Organization</w:t>
          <w:br w:type="textWrapping"/>
        </w:r>
      </w:hyperlink>
      <w:r w:rsidDel="00000000" w:rsidR="00000000" w:rsidRPr="00000000">
        <w:rPr>
          <w:rtl w:val="0"/>
        </w:rPr>
      </w:r>
    </w:p>
    <w:p w:rsidR="00000000" w:rsidDel="00000000" w:rsidP="00000000" w:rsidRDefault="00000000" w:rsidRPr="00000000" w14:paraId="000000C8">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Centers for Disease Control and Prevention. Clinical care of hepatitis A [Internet]. Atlanta (GA): CDC; 2025 Jan 31 [cited 2025 Dec 18]. Available from: CDC website.</w:t>
      </w:r>
      <w:hyperlink r:id="rId56">
        <w:r w:rsidDel="00000000" w:rsidR="00000000" w:rsidRPr="00000000">
          <w:rPr>
            <w:b w:val="1"/>
            <w:bCs w:val="1"/>
            <w:rtl w:val="0"/>
          </w:rPr>
          <w:t xml:space="preserve"> </w:t>
        </w:r>
      </w:hyperlink>
      <w:hyperlink r:id="rId57">
        <w:r w:rsidDel="00000000" w:rsidR="00000000" w:rsidRPr="00000000">
          <w:rPr>
            <w:b w:val="1"/>
            <w:bCs w:val="1"/>
            <w:color w:val="1155cc"/>
            <w:u w:val="single"/>
            <w:rtl w:val="0"/>
          </w:rPr>
          <w:t xml:space="preserve">CDC</w:t>
          <w:br w:type="textWrapping"/>
        </w:r>
      </w:hyperlink>
      <w:r w:rsidDel="00000000" w:rsidR="00000000" w:rsidRPr="00000000">
        <w:rPr>
          <w:rtl w:val="0"/>
        </w:rPr>
      </w:r>
    </w:p>
    <w:p w:rsidR="00000000" w:rsidDel="00000000" w:rsidP="00000000" w:rsidRDefault="00000000" w:rsidRPr="00000000" w14:paraId="000000C9">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Chatterjee K, et al. Indian Academy of Pediatrics (IAP) ACVIP: Recommended Immunization Schedule (2023) and update on immunization for children aged 0 through 18 years [PDF]. Indian Pediatr. 2024 Jan 15.</w:t>
      </w:r>
      <w:hyperlink r:id="rId58">
        <w:r w:rsidDel="00000000" w:rsidR="00000000" w:rsidRPr="00000000">
          <w:rPr>
            <w:b w:val="1"/>
            <w:bCs w:val="1"/>
            <w:rtl w:val="0"/>
          </w:rPr>
          <w:t xml:space="preserve"> </w:t>
        </w:r>
      </w:hyperlink>
      <w:hyperlink r:id="rId59">
        <w:r w:rsidDel="00000000" w:rsidR="00000000" w:rsidRPr="00000000">
          <w:rPr>
            <w:b w:val="1"/>
            <w:bCs w:val="1"/>
            <w:color w:val="1155cc"/>
            <w:u w:val="single"/>
            <w:rtl w:val="0"/>
          </w:rPr>
          <w:t xml:space="preserve">Indian Pediatrics</w:t>
          <w:br w:type="textWrapping"/>
        </w:r>
      </w:hyperlink>
      <w:r w:rsidDel="00000000" w:rsidR="00000000" w:rsidRPr="00000000">
        <w:rPr>
          <w:rtl w:val="0"/>
        </w:rPr>
      </w:r>
    </w:p>
    <w:p w:rsidR="00000000" w:rsidDel="00000000" w:rsidP="00000000" w:rsidRDefault="00000000" w:rsidRPr="00000000" w14:paraId="000000CA">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Agrawal A, Singh S, Kolhapure S, Hoet B, Arankalle V, Mitra M. Increasing burden of hepatitis A in adolescents and adults and the need for long-term protection: a review from the Indian subcontinent. Infect Dis Ther. 2019;8(4):483–497. doi:10.1007/s40121-019-00270-9.</w:t>
      </w:r>
      <w:hyperlink r:id="rId60">
        <w:r w:rsidDel="00000000" w:rsidR="00000000" w:rsidRPr="00000000">
          <w:rPr>
            <w:b w:val="1"/>
            <w:bCs w:val="1"/>
            <w:rtl w:val="0"/>
          </w:rPr>
          <w:t xml:space="preserve"> </w:t>
        </w:r>
      </w:hyperlink>
      <w:hyperlink r:id="rId61">
        <w:r w:rsidDel="00000000" w:rsidR="00000000" w:rsidRPr="00000000">
          <w:rPr>
            <w:b w:val="1"/>
            <w:bCs w:val="1"/>
            <w:color w:val="1155cc"/>
            <w:u w:val="single"/>
            <w:rtl w:val="0"/>
          </w:rPr>
          <w:t xml:space="preserve">PubMed+1</w:t>
          <w:br w:type="textWrapping"/>
        </w:r>
      </w:hyperlink>
      <w:r w:rsidDel="00000000" w:rsidR="00000000" w:rsidRPr="00000000">
        <w:rPr>
          <w:rtl w:val="0"/>
        </w:rPr>
      </w:r>
    </w:p>
    <w:p w:rsidR="00000000" w:rsidDel="00000000" w:rsidP="00000000" w:rsidRDefault="00000000" w:rsidRPr="00000000" w14:paraId="000000CB">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Rodrigo M, Chien D, Karnsakul W. Cholestatic pruritus in children: conventional therapies and beyond. Biology (Basel). 2023;12(5):756. doi:10.3390/biology12050756.</w:t>
      </w:r>
      <w:hyperlink r:id="rId62">
        <w:r w:rsidDel="00000000" w:rsidR="00000000" w:rsidRPr="00000000">
          <w:rPr>
            <w:b w:val="1"/>
            <w:bCs w:val="1"/>
            <w:rtl w:val="0"/>
          </w:rPr>
          <w:t xml:space="preserve"> </w:t>
        </w:r>
      </w:hyperlink>
      <w:hyperlink r:id="rId63">
        <w:r w:rsidDel="00000000" w:rsidR="00000000" w:rsidRPr="00000000">
          <w:rPr>
            <w:b w:val="1"/>
            <w:bCs w:val="1"/>
            <w:color w:val="1155cc"/>
            <w:u w:val="single"/>
            <w:rtl w:val="0"/>
          </w:rPr>
          <w:t xml:space="preserve">PubMed+1</w:t>
          <w:br w:type="textWrapping"/>
        </w:r>
      </w:hyperlink>
      <w:r w:rsidDel="00000000" w:rsidR="00000000" w:rsidRPr="00000000">
        <w:rPr>
          <w:rtl w:val="0"/>
        </w:rPr>
      </w:r>
    </w:p>
    <w:p w:rsidR="00000000" w:rsidDel="00000000" w:rsidP="00000000" w:rsidRDefault="00000000" w:rsidRPr="00000000" w14:paraId="000000CC">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Cies JJ, Giamalis JN. Treatment of cholestatic pruritus in children. Am J Health Syst Pharm. 2007;64(11):1157–1162. doi:10.2146/ajhp060453.</w:t>
      </w:r>
      <w:hyperlink r:id="rId64">
        <w:r w:rsidDel="00000000" w:rsidR="00000000" w:rsidRPr="00000000">
          <w:rPr>
            <w:b w:val="1"/>
            <w:bCs w:val="1"/>
            <w:rtl w:val="0"/>
          </w:rPr>
          <w:t xml:space="preserve"> </w:t>
        </w:r>
      </w:hyperlink>
      <w:hyperlink r:id="rId65">
        <w:r w:rsidDel="00000000" w:rsidR="00000000" w:rsidRPr="00000000">
          <w:rPr>
            <w:b w:val="1"/>
            <w:bCs w:val="1"/>
            <w:color w:val="1155cc"/>
            <w:u w:val="single"/>
            <w:rtl w:val="0"/>
          </w:rPr>
          <w:t xml:space="preserve">PubMed</w:t>
          <w:br w:type="textWrapping"/>
        </w:r>
      </w:hyperlink>
      <w:r w:rsidDel="00000000" w:rsidR="00000000" w:rsidRPr="00000000">
        <w:rPr>
          <w:rtl w:val="0"/>
        </w:rPr>
      </w:r>
    </w:p>
    <w:p w:rsidR="00000000" w:rsidDel="00000000" w:rsidP="00000000" w:rsidRDefault="00000000" w:rsidRPr="00000000" w14:paraId="000000CD">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Saboo AR, Vijaykumar R, Save SU, Bavdekar SB. Prolonged cholestasis following hepatitis A virus infection: revisiting the role of steroids. J Glob Infect Dis. 2012;4(3):185–186.</w:t>
      </w:r>
      <w:hyperlink r:id="rId66">
        <w:r w:rsidDel="00000000" w:rsidR="00000000" w:rsidRPr="00000000">
          <w:rPr>
            <w:b w:val="1"/>
            <w:bCs w:val="1"/>
            <w:rtl w:val="0"/>
          </w:rPr>
          <w:t xml:space="preserve"> </w:t>
        </w:r>
      </w:hyperlink>
      <w:hyperlink r:id="rId67">
        <w:r w:rsidDel="00000000" w:rsidR="00000000" w:rsidRPr="00000000">
          <w:rPr>
            <w:b w:val="1"/>
            <w:bCs w:val="1"/>
            <w:color w:val="1155cc"/>
            <w:u w:val="single"/>
            <w:rtl w:val="0"/>
          </w:rPr>
          <w:t xml:space="preserve">LWW Journals</w:t>
        </w:r>
      </w:hyperlink>
      <w:r w:rsidDel="00000000" w:rsidR="00000000" w:rsidRPr="00000000">
        <w:rPr>
          <w:rtl w:val="0"/>
        </w:rPr>
      </w:r>
    </w:p>
    <w:p w:rsidR="00000000" w:rsidDel="00000000" w:rsidP="00000000" w:rsidRDefault="00000000" w:rsidRPr="00000000" w14:paraId="000000CE">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Alebaji MB, Mehair AS, Shahrour OI, Elkhatib FA, Alkaabi EH, Alkuwaiti NS. Prolonged cholestasis following acute hepatitis A infection: case report and review of literature. Cureus. 2023;15(5):e38511.</w:t>
      </w:r>
      <w:hyperlink r:id="rId68">
        <w:r w:rsidDel="00000000" w:rsidR="00000000" w:rsidRPr="00000000">
          <w:rPr>
            <w:b w:val="1"/>
            <w:bCs w:val="1"/>
            <w:rtl w:val="0"/>
          </w:rPr>
          <w:t xml:space="preserve"> </w:t>
        </w:r>
      </w:hyperlink>
      <w:hyperlink r:id="rId69">
        <w:r w:rsidDel="00000000" w:rsidR="00000000" w:rsidRPr="00000000">
          <w:rPr>
            <w:b w:val="1"/>
            <w:bCs w:val="1"/>
            <w:color w:val="1155cc"/>
            <w:u w:val="single"/>
            <w:rtl w:val="0"/>
          </w:rPr>
          <w:t xml:space="preserve">PubMed</w:t>
          <w:br w:type="textWrapping"/>
        </w:r>
      </w:hyperlink>
      <w:r w:rsidDel="00000000" w:rsidR="00000000" w:rsidRPr="00000000">
        <w:rPr>
          <w:rtl w:val="0"/>
        </w:rPr>
      </w:r>
    </w:p>
    <w:p w:rsidR="00000000" w:rsidDel="00000000" w:rsidP="00000000" w:rsidRDefault="00000000" w:rsidRPr="00000000" w14:paraId="000000CF">
      <w:pPr>
        <w:numPr>
          <w:ilvl w:val="0"/>
          <w:numId w:val="18"/>
        </w:numPr>
        <w:spacing w:after="240" w:before="0" w:beforeAutospacing="0" w:lineRule="auto"/>
        <w:ind w:left="720" w:hanging="360"/>
        <w:rPr>
          <w:b w:val="1"/>
          <w:bCs w:val="1"/>
        </w:rPr>
      </w:pPr>
      <w:r w:rsidDel="00000000" w:rsidR="00000000" w:rsidRPr="00000000">
        <w:rPr>
          <w:b w:val="1"/>
          <w:bCs w:val="1"/>
          <w:rtl w:val="0"/>
        </w:rPr>
        <w:t xml:space="preserve">Centers for Disease Control and Prevention. Hepatitis A vaccine administration [Internet]. Atlanta (GA): CDC; 2025 Jan 31 [cited 2025 Dec 18]. Available from: CDC website.</w:t>
      </w:r>
      <w:hyperlink r:id="rId70">
        <w:r w:rsidDel="00000000" w:rsidR="00000000" w:rsidRPr="00000000">
          <w:rPr>
            <w:b w:val="1"/>
            <w:bCs w:val="1"/>
            <w:rtl w:val="0"/>
          </w:rPr>
          <w:t xml:space="preserve"> </w:t>
        </w:r>
      </w:hyperlink>
      <w:hyperlink r:id="rId71">
        <w:r w:rsidDel="00000000" w:rsidR="00000000" w:rsidRPr="00000000">
          <w:rPr>
            <w:b w:val="1"/>
            <w:bCs w:val="1"/>
            <w:color w:val="1155cc"/>
            <w:u w:val="single"/>
            <w:rtl w:val="0"/>
          </w:rPr>
          <w:t xml:space="preserve">CDC</w:t>
        </w:r>
      </w:hyperlink>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b w:val="1"/>
          <w:bCs w:val="1"/>
          <w:i w:val="1"/>
          <w:iCs w:val="1"/>
          <w:color w:val="000000"/>
          <w:sz w:val="26"/>
          <w:szCs w:val="26"/>
        </w:rPr>
      </w:pPr>
      <w:bookmarkStart w:colFirst="0" w:colLast="0" w:name="_c1g98dona0ch" w:id="18"/>
      <w:bookmarkEnd w:id="18"/>
      <w:r w:rsidDel="00000000" w:rsidR="00000000" w:rsidRPr="00000000">
        <w:rPr>
          <w:b w:val="1"/>
          <w:bCs w:val="1"/>
          <w:color w:val="000000"/>
          <w:sz w:val="26"/>
          <w:szCs w:val="26"/>
          <w:rtl w:val="0"/>
        </w:rPr>
        <w:t xml:space="preserve">Case 3: Parental hesitancy around vaccines leading to an outbreak </w:t>
      </w:r>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jlyka9m6qfqw" w:id="19"/>
      <w:bookmarkEnd w:id="19"/>
      <w:r w:rsidDel="00000000" w:rsidR="00000000" w:rsidRPr="00000000">
        <w:rPr>
          <w:b w:val="1"/>
          <w:bCs w:val="1"/>
          <w:color w:val="000000"/>
          <w:sz w:val="26"/>
          <w:szCs w:val="26"/>
          <w:rtl w:val="0"/>
        </w:rPr>
        <w:t xml:space="preserve">Case presentation</w:t>
      </w:r>
    </w:p>
    <w:p w:rsidR="00000000" w:rsidDel="00000000" w:rsidP="00000000" w:rsidRDefault="00000000" w:rsidRPr="00000000" w14:paraId="000000D3">
      <w:pPr>
        <w:spacing w:after="240" w:before="240" w:lineRule="auto"/>
        <w:rPr/>
      </w:pPr>
      <w:r w:rsidDel="00000000" w:rsidR="00000000" w:rsidRPr="00000000">
        <w:rPr>
          <w:rtl w:val="0"/>
        </w:rPr>
        <w:t xml:space="preserve">A 7-year-4-month-old boy (weight 24.1 kg) from a high-density apartment cluster presented with </w:t>
      </w:r>
      <w:r w:rsidDel="00000000" w:rsidR="00000000" w:rsidRPr="00000000">
        <w:rPr>
          <w:b w:val="1"/>
          <w:bCs w:val="1"/>
          <w:rtl w:val="0"/>
        </w:rPr>
        <w:t xml:space="preserve">5 days</w:t>
      </w:r>
      <w:r w:rsidDel="00000000" w:rsidR="00000000" w:rsidRPr="00000000">
        <w:rPr>
          <w:rtl w:val="0"/>
        </w:rPr>
        <w:t xml:space="preserve"> of fever (Tmax 38.8 °C), anorexia, and nausea, followed by </w:t>
      </w:r>
      <w:r w:rsidDel="00000000" w:rsidR="00000000" w:rsidRPr="00000000">
        <w:rPr>
          <w:b w:val="1"/>
          <w:bCs w:val="1"/>
          <w:rtl w:val="0"/>
        </w:rPr>
        <w:t xml:space="preserve">2 days</w:t>
      </w:r>
      <w:r w:rsidDel="00000000" w:rsidR="00000000" w:rsidRPr="00000000">
        <w:rPr>
          <w:rtl w:val="0"/>
        </w:rPr>
        <w:t xml:space="preserve"> of dark urine and jaundice. He had mild, diffuse abdominal discomfort but </w:t>
      </w:r>
      <w:r w:rsidDel="00000000" w:rsidR="00000000" w:rsidRPr="00000000">
        <w:rPr>
          <w:b w:val="1"/>
          <w:bCs w:val="1"/>
          <w:rtl w:val="0"/>
        </w:rPr>
        <w:t xml:space="preserve">no bleeding, no altered sensorium, no clay-colored stools</w:t>
      </w:r>
      <w:r w:rsidDel="00000000" w:rsidR="00000000" w:rsidRPr="00000000">
        <w:rPr>
          <w:rtl w:val="0"/>
        </w:rPr>
        <w:t xml:space="preserve">, and no prior liver disease. The family used shared overhead water tanks and reported frequent community potlucks.</w:t>
      </w:r>
    </w:p>
    <w:p w:rsidR="00000000" w:rsidDel="00000000" w:rsidP="00000000" w:rsidRDefault="00000000" w:rsidRPr="00000000" w14:paraId="000000D4">
      <w:pPr>
        <w:spacing w:after="240" w:before="240" w:lineRule="auto"/>
        <w:rPr>
          <w:color w:val="1155cc"/>
          <w:u w:val="single"/>
        </w:rPr>
      </w:pPr>
      <w:r w:rsidDel="00000000" w:rsidR="00000000" w:rsidRPr="00000000">
        <w:rPr>
          <w:rtl w:val="0"/>
        </w:rPr>
        <w:t xml:space="preserve">Hepatitis A spreads through ingestion of contaminated food/water or direct contact with an infectious person. [1,2]</w:t>
      </w:r>
      <w:hyperlink r:id="rId72">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D5">
      <w:pPr>
        <w:spacing w:after="240" w:before="240" w:lineRule="auto"/>
        <w:rPr>
          <w:color w:val="1155cc"/>
          <w:u w:val="single"/>
        </w:rPr>
      </w:pPr>
      <w:r w:rsidDel="00000000" w:rsidR="00000000" w:rsidRPr="00000000">
        <w:rPr>
          <w:b w:val="1"/>
          <w:bCs w:val="1"/>
          <w:rtl w:val="0"/>
        </w:rPr>
        <w:t xml:space="preserve">Immunization history &amp; hesitancy:</w:t>
      </w:r>
      <w:r w:rsidDel="00000000" w:rsidR="00000000" w:rsidRPr="00000000">
        <w:rPr>
          <w:rtl w:val="0"/>
        </w:rPr>
        <w:t xml:space="preserve"> The child had received routine primary vaccines but the parents repeatedly declined “optional” vaccines including hepatitis A, citing fear of “liver overload,” WhatsApp-forward misinformation, and a prior episode of fever after another vaccine in infancy. This fits the WHO SAGE description of vaccine hesitancy as delay/refusal despite availability, shaped by confidence/convenience/complacency factors. [3]</w:t>
      </w:r>
      <w:hyperlink r:id="rId73">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bio8pm7liic8" w:id="20"/>
      <w:bookmarkEnd w:id="20"/>
      <w:r w:rsidDel="00000000" w:rsidR="00000000" w:rsidRPr="00000000">
        <w:rPr>
          <w:b w:val="1"/>
          <w:bCs w:val="1"/>
          <w:color w:val="000000"/>
          <w:sz w:val="26"/>
          <w:szCs w:val="26"/>
          <w:rtl w:val="0"/>
        </w:rPr>
        <w:t xml:space="preserve">Examination</w:t>
      </w:r>
    </w:p>
    <w:p w:rsidR="00000000" w:rsidDel="00000000" w:rsidP="00000000" w:rsidRDefault="00000000" w:rsidRPr="00000000" w14:paraId="000000D7">
      <w:pPr>
        <w:numPr>
          <w:ilvl w:val="0"/>
          <w:numId w:val="3"/>
        </w:numPr>
        <w:spacing w:after="0" w:afterAutospacing="0" w:before="240" w:lineRule="auto"/>
        <w:ind w:left="720" w:hanging="360"/>
      </w:pPr>
      <w:r w:rsidDel="00000000" w:rsidR="00000000" w:rsidRPr="00000000">
        <w:rPr>
          <w:rtl w:val="0"/>
        </w:rPr>
        <w:t xml:space="preserve">Temperature 37.9 °C, HR 102/min, RR 20/min, BP 104/66 mmHg, SpO₂ 99% (room air)</w:t>
        <w:br w:type="textWrapping"/>
      </w:r>
    </w:p>
    <w:p w:rsidR="00000000" w:rsidDel="00000000" w:rsidP="00000000" w:rsidRDefault="00000000" w:rsidRPr="00000000" w14:paraId="000000D8">
      <w:pPr>
        <w:numPr>
          <w:ilvl w:val="0"/>
          <w:numId w:val="3"/>
        </w:numPr>
        <w:spacing w:after="0" w:afterAutospacing="0" w:before="0" w:beforeAutospacing="0" w:lineRule="auto"/>
        <w:ind w:left="720" w:hanging="360"/>
      </w:pPr>
      <w:r w:rsidDel="00000000" w:rsidR="00000000" w:rsidRPr="00000000">
        <w:rPr>
          <w:rtl w:val="0"/>
        </w:rPr>
        <w:t xml:space="preserve">Icterus present; no rash; no edema; no petechiae</w:t>
        <w:br w:type="textWrapping"/>
      </w:r>
    </w:p>
    <w:p w:rsidR="00000000" w:rsidDel="00000000" w:rsidP="00000000" w:rsidRDefault="00000000" w:rsidRPr="00000000" w14:paraId="000000D9">
      <w:pPr>
        <w:numPr>
          <w:ilvl w:val="0"/>
          <w:numId w:val="3"/>
        </w:numPr>
        <w:spacing w:after="0" w:afterAutospacing="0" w:before="0" w:beforeAutospacing="0" w:lineRule="auto"/>
        <w:ind w:left="720" w:hanging="360"/>
      </w:pPr>
      <w:r w:rsidDel="00000000" w:rsidR="00000000" w:rsidRPr="00000000">
        <w:rPr>
          <w:rtl w:val="0"/>
        </w:rPr>
        <w:t xml:space="preserve">Abdomen: liver palpable </w:t>
      </w:r>
      <w:r w:rsidDel="00000000" w:rsidR="00000000" w:rsidRPr="00000000">
        <w:rPr>
          <w:b w:val="1"/>
          <w:bCs w:val="1"/>
          <w:rtl w:val="0"/>
        </w:rPr>
        <w:t xml:space="preserve">2 cm</w:t>
      </w:r>
      <w:r w:rsidDel="00000000" w:rsidR="00000000" w:rsidRPr="00000000">
        <w:rPr>
          <w:rtl w:val="0"/>
        </w:rPr>
        <w:t xml:space="preserve"> below right costal margin, soft, mildly tender; no splenomegaly; no ascites</w:t>
        <w:br w:type="textWrapping"/>
      </w:r>
    </w:p>
    <w:p w:rsidR="00000000" w:rsidDel="00000000" w:rsidP="00000000" w:rsidRDefault="00000000" w:rsidRPr="00000000" w14:paraId="000000DA">
      <w:pPr>
        <w:numPr>
          <w:ilvl w:val="0"/>
          <w:numId w:val="3"/>
        </w:numPr>
        <w:spacing w:after="240" w:before="0" w:beforeAutospacing="0" w:lineRule="auto"/>
        <w:ind w:left="720" w:hanging="360"/>
      </w:pPr>
      <w:r w:rsidDel="00000000" w:rsidR="00000000" w:rsidRPr="00000000">
        <w:rPr>
          <w:rtl w:val="0"/>
        </w:rPr>
        <w:t xml:space="preserve">Neurologic exam normal; </w:t>
      </w:r>
      <w:r w:rsidDel="00000000" w:rsidR="00000000" w:rsidRPr="00000000">
        <w:rPr>
          <w:b w:val="1"/>
          <w:bCs w:val="1"/>
          <w:rtl w:val="0"/>
        </w:rPr>
        <w:t xml:space="preserve">no encephalopathy</w:t>
        <w:br w:type="textWrapping"/>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suy2du1fc86n" w:id="21"/>
      <w:bookmarkEnd w:id="21"/>
      <w:r w:rsidDel="00000000" w:rsidR="00000000" w:rsidRPr="00000000">
        <w:rPr>
          <w:b w:val="1"/>
          <w:bCs w:val="1"/>
          <w:color w:val="000000"/>
          <w:sz w:val="26"/>
          <w:szCs w:val="26"/>
          <w:rtl w:val="0"/>
        </w:rPr>
        <w:t xml:space="preserve">Diagnostic assessment</w:t>
      </w:r>
    </w:p>
    <w:p w:rsidR="00000000" w:rsidDel="00000000" w:rsidP="00000000" w:rsidRDefault="00000000" w:rsidRPr="00000000" w14:paraId="000000DC">
      <w:pPr>
        <w:spacing w:after="240" w:before="240" w:lineRule="auto"/>
        <w:rPr/>
      </w:pPr>
      <w:r w:rsidDel="00000000" w:rsidR="00000000" w:rsidRPr="00000000">
        <w:rPr>
          <w:rtl w:val="0"/>
        </w:rPr>
        <w:t xml:space="preserve">Initial investigations showed acute hepatitis with preserved synthetic function:</w:t>
      </w:r>
    </w:p>
    <w:p w:rsidR="00000000" w:rsidDel="00000000" w:rsidP="00000000" w:rsidRDefault="00000000" w:rsidRPr="00000000" w14:paraId="000000DD">
      <w:pPr>
        <w:numPr>
          <w:ilvl w:val="0"/>
          <w:numId w:val="15"/>
        </w:numPr>
        <w:spacing w:after="0" w:afterAutospacing="0" w:before="240" w:lineRule="auto"/>
        <w:ind w:left="720" w:hanging="360"/>
      </w:pPr>
      <w:r w:rsidDel="00000000" w:rsidR="00000000" w:rsidRPr="00000000">
        <w:rPr>
          <w:rtl w:val="0"/>
        </w:rPr>
        <w:t xml:space="preserve">Hb 12.1 g/dL; TLC 8,200/µL; Platelets 2.44 × 10⁵/µL</w:t>
        <w:br w:type="textWrapping"/>
      </w:r>
    </w:p>
    <w:p w:rsidR="00000000" w:rsidDel="00000000" w:rsidP="00000000" w:rsidRDefault="00000000" w:rsidRPr="00000000" w14:paraId="000000DE">
      <w:pPr>
        <w:numPr>
          <w:ilvl w:val="0"/>
          <w:numId w:val="15"/>
        </w:numPr>
        <w:spacing w:after="0" w:afterAutospacing="0" w:before="0" w:beforeAutospacing="0" w:lineRule="auto"/>
        <w:ind w:left="720" w:hanging="360"/>
      </w:pPr>
      <w:r w:rsidDel="00000000" w:rsidR="00000000" w:rsidRPr="00000000">
        <w:rPr>
          <w:rtl w:val="0"/>
        </w:rPr>
        <w:t xml:space="preserve">Total bilirubin </w:t>
      </w:r>
      <w:r w:rsidDel="00000000" w:rsidR="00000000" w:rsidRPr="00000000">
        <w:rPr>
          <w:b w:val="1"/>
          <w:bCs w:val="1"/>
          <w:rtl w:val="0"/>
        </w:rPr>
        <w:t xml:space="preserve">6.6 mg/dL</w:t>
      </w:r>
      <w:r w:rsidDel="00000000" w:rsidR="00000000" w:rsidRPr="00000000">
        <w:rPr>
          <w:rtl w:val="0"/>
        </w:rPr>
        <w:t xml:space="preserve">; direct bilirubin </w:t>
      </w:r>
      <w:r w:rsidDel="00000000" w:rsidR="00000000" w:rsidRPr="00000000">
        <w:rPr>
          <w:b w:val="1"/>
          <w:bCs w:val="1"/>
          <w:rtl w:val="0"/>
        </w:rPr>
        <w:t xml:space="preserve">4.2 mg/dL</w:t>
        <w:br w:type="textWrapping"/>
      </w:r>
    </w:p>
    <w:p w:rsidR="00000000" w:rsidDel="00000000" w:rsidP="00000000" w:rsidRDefault="00000000" w:rsidRPr="00000000" w14:paraId="000000DF">
      <w:pPr>
        <w:numPr>
          <w:ilvl w:val="0"/>
          <w:numId w:val="15"/>
        </w:numPr>
        <w:spacing w:after="0" w:afterAutospacing="0" w:before="0" w:beforeAutospacing="0" w:lineRule="auto"/>
        <w:ind w:left="720" w:hanging="360"/>
      </w:pPr>
      <w:r w:rsidDel="00000000" w:rsidR="00000000" w:rsidRPr="00000000">
        <w:rPr>
          <w:rtl w:val="0"/>
        </w:rPr>
        <w:t xml:space="preserve">ALT </w:t>
      </w:r>
      <w:r w:rsidDel="00000000" w:rsidR="00000000" w:rsidRPr="00000000">
        <w:rPr>
          <w:b w:val="1"/>
          <w:bCs w:val="1"/>
          <w:rtl w:val="0"/>
        </w:rPr>
        <w:t xml:space="preserve">2,340 U/L</w:t>
      </w:r>
      <w:r w:rsidDel="00000000" w:rsidR="00000000" w:rsidRPr="00000000">
        <w:rPr>
          <w:rtl w:val="0"/>
        </w:rPr>
        <w:t xml:space="preserve">; AST </w:t>
      </w:r>
      <w:r w:rsidDel="00000000" w:rsidR="00000000" w:rsidRPr="00000000">
        <w:rPr>
          <w:b w:val="1"/>
          <w:bCs w:val="1"/>
          <w:rtl w:val="0"/>
        </w:rPr>
        <w:t xml:space="preserve">1,680 U/L</w:t>
        <w:br w:type="textWrapping"/>
      </w:r>
    </w:p>
    <w:p w:rsidR="00000000" w:rsidDel="00000000" w:rsidP="00000000" w:rsidRDefault="00000000" w:rsidRPr="00000000" w14:paraId="000000E0">
      <w:pPr>
        <w:numPr>
          <w:ilvl w:val="0"/>
          <w:numId w:val="15"/>
        </w:numPr>
        <w:spacing w:after="0" w:afterAutospacing="0" w:before="0" w:beforeAutospacing="0" w:lineRule="auto"/>
        <w:ind w:left="720" w:hanging="360"/>
      </w:pPr>
      <w:r w:rsidDel="00000000" w:rsidR="00000000" w:rsidRPr="00000000">
        <w:rPr>
          <w:rtl w:val="0"/>
        </w:rPr>
        <w:t xml:space="preserve">ALP </w:t>
      </w:r>
      <w:r w:rsidDel="00000000" w:rsidR="00000000" w:rsidRPr="00000000">
        <w:rPr>
          <w:b w:val="1"/>
          <w:bCs w:val="1"/>
          <w:rtl w:val="0"/>
        </w:rPr>
        <w:t xml:space="preserve">328 U/L</w:t>
      </w:r>
      <w:r w:rsidDel="00000000" w:rsidR="00000000" w:rsidRPr="00000000">
        <w:rPr>
          <w:rtl w:val="0"/>
        </w:rPr>
        <w:t xml:space="preserve">; GGT </w:t>
      </w:r>
      <w:r w:rsidDel="00000000" w:rsidR="00000000" w:rsidRPr="00000000">
        <w:rPr>
          <w:b w:val="1"/>
          <w:bCs w:val="1"/>
          <w:rtl w:val="0"/>
        </w:rPr>
        <w:t xml:space="preserve">96 U/L</w:t>
        <w:br w:type="textWrapping"/>
      </w:r>
    </w:p>
    <w:p w:rsidR="00000000" w:rsidDel="00000000" w:rsidP="00000000" w:rsidRDefault="00000000" w:rsidRPr="00000000" w14:paraId="000000E1">
      <w:pPr>
        <w:numPr>
          <w:ilvl w:val="0"/>
          <w:numId w:val="15"/>
        </w:numPr>
        <w:spacing w:after="0" w:afterAutospacing="0" w:before="0" w:beforeAutospacing="0" w:lineRule="auto"/>
        <w:ind w:left="720" w:hanging="360"/>
      </w:pPr>
      <w:r w:rsidDel="00000000" w:rsidR="00000000" w:rsidRPr="00000000">
        <w:rPr>
          <w:rtl w:val="0"/>
        </w:rPr>
        <w:t xml:space="preserve">Albumin </w:t>
      </w:r>
      <w:r w:rsidDel="00000000" w:rsidR="00000000" w:rsidRPr="00000000">
        <w:rPr>
          <w:b w:val="1"/>
          <w:bCs w:val="1"/>
          <w:rtl w:val="0"/>
        </w:rPr>
        <w:t xml:space="preserve">4.1 g/dL</w:t>
        <w:br w:type="textWrapping"/>
      </w:r>
    </w:p>
    <w:p w:rsidR="00000000" w:rsidDel="00000000" w:rsidP="00000000" w:rsidRDefault="00000000" w:rsidRPr="00000000" w14:paraId="000000E2">
      <w:pPr>
        <w:numPr>
          <w:ilvl w:val="0"/>
          <w:numId w:val="15"/>
        </w:numPr>
        <w:spacing w:after="0" w:afterAutospacing="0" w:before="0" w:beforeAutospacing="0" w:lineRule="auto"/>
        <w:ind w:left="720" w:hanging="360"/>
      </w:pPr>
      <w:r w:rsidDel="00000000" w:rsidR="00000000" w:rsidRPr="00000000">
        <w:rPr>
          <w:rtl w:val="0"/>
        </w:rPr>
        <w:t xml:space="preserve">PT 13.2 s; </w:t>
      </w:r>
      <w:r w:rsidDel="00000000" w:rsidR="00000000" w:rsidRPr="00000000">
        <w:rPr>
          <w:b w:val="1"/>
          <w:bCs w:val="1"/>
          <w:rtl w:val="0"/>
        </w:rPr>
        <w:t xml:space="preserve">INR 1.10</w:t>
        <w:br w:type="textWrapping"/>
      </w:r>
    </w:p>
    <w:p w:rsidR="00000000" w:rsidDel="00000000" w:rsidP="00000000" w:rsidRDefault="00000000" w:rsidRPr="00000000" w14:paraId="000000E3">
      <w:pPr>
        <w:numPr>
          <w:ilvl w:val="0"/>
          <w:numId w:val="15"/>
        </w:numPr>
        <w:spacing w:after="240" w:before="0" w:beforeAutospacing="0" w:lineRule="auto"/>
        <w:ind w:left="720" w:hanging="360"/>
      </w:pPr>
      <w:r w:rsidDel="00000000" w:rsidR="00000000" w:rsidRPr="00000000">
        <w:rPr>
          <w:rtl w:val="0"/>
        </w:rPr>
        <w:t xml:space="preserve">Glucose 86 mg/dL; Creatinine 0.52 mg/dL</w:t>
        <w:br w:type="textWrapping"/>
      </w:r>
    </w:p>
    <w:p w:rsidR="00000000" w:rsidDel="00000000" w:rsidP="00000000" w:rsidRDefault="00000000" w:rsidRPr="00000000" w14:paraId="000000E4">
      <w:pPr>
        <w:spacing w:after="240" w:before="240" w:lineRule="auto"/>
        <w:rPr/>
      </w:pPr>
      <w:r w:rsidDel="00000000" w:rsidR="00000000" w:rsidRPr="00000000">
        <w:rPr>
          <w:rtl w:val="0"/>
        </w:rPr>
        <w:t xml:space="preserve">Serology:</w:t>
      </w:r>
    </w:p>
    <w:p w:rsidR="00000000" w:rsidDel="00000000" w:rsidP="00000000" w:rsidRDefault="00000000" w:rsidRPr="00000000" w14:paraId="000000E5">
      <w:pPr>
        <w:numPr>
          <w:ilvl w:val="0"/>
          <w:numId w:val="11"/>
        </w:numPr>
        <w:spacing w:after="0" w:afterAutospacing="0" w:before="240" w:lineRule="auto"/>
        <w:ind w:left="720" w:hanging="360"/>
      </w:pPr>
      <w:r w:rsidDel="00000000" w:rsidR="00000000" w:rsidRPr="00000000">
        <w:rPr>
          <w:b w:val="1"/>
          <w:bCs w:val="1"/>
          <w:rtl w:val="0"/>
        </w:rPr>
        <w:t xml:space="preserve">IgM anti-HAV: positive</w:t>
        <w:br w:type="textWrapping"/>
      </w:r>
    </w:p>
    <w:p w:rsidR="00000000" w:rsidDel="00000000" w:rsidP="00000000" w:rsidRDefault="00000000" w:rsidRPr="00000000" w14:paraId="000000E6">
      <w:pPr>
        <w:numPr>
          <w:ilvl w:val="0"/>
          <w:numId w:val="11"/>
        </w:numPr>
        <w:spacing w:after="240" w:before="0" w:beforeAutospacing="0" w:lineRule="auto"/>
        <w:ind w:left="720" w:hanging="360"/>
      </w:pPr>
      <w:r w:rsidDel="00000000" w:rsidR="00000000" w:rsidRPr="00000000">
        <w:rPr>
          <w:rtl w:val="0"/>
        </w:rPr>
        <w:t xml:space="preserve">HBsAg: negative; Anti-HCV: negative; IgM anti-HEV: negative</w:t>
        <w:br w:type="textWrapping"/>
      </w:r>
    </w:p>
    <w:p w:rsidR="00000000" w:rsidDel="00000000" w:rsidP="00000000" w:rsidRDefault="00000000" w:rsidRPr="00000000" w14:paraId="000000E7">
      <w:pPr>
        <w:spacing w:after="240" w:before="240" w:lineRule="auto"/>
        <w:rPr/>
      </w:pPr>
      <w:r w:rsidDel="00000000" w:rsidR="00000000" w:rsidRPr="00000000">
        <w:rPr>
          <w:rtl w:val="0"/>
        </w:rPr>
        <w:t xml:space="preserve">Ultrasound abdomen: mild hepatomegaly (liver span 14.2 cm), periportal echogenicity, gallbladder wall edema; </w:t>
      </w:r>
      <w:r w:rsidDel="00000000" w:rsidR="00000000" w:rsidRPr="00000000">
        <w:rPr>
          <w:b w:val="1"/>
          <w:bCs w:val="1"/>
          <w:rtl w:val="0"/>
        </w:rPr>
        <w:t xml:space="preserve">no biliary duct dilatation</w:t>
      </w:r>
      <w:r w:rsidDel="00000000" w:rsidR="00000000" w:rsidRPr="00000000">
        <w:rPr>
          <w:rtl w:val="0"/>
        </w:rPr>
        <w:t xml:space="preserve">; portal vein patent; no ascites.</w:t>
      </w:r>
    </w:p>
    <w:p w:rsidR="00000000" w:rsidDel="00000000" w:rsidP="00000000" w:rsidRDefault="00000000" w:rsidRPr="00000000" w14:paraId="000000E8">
      <w:pPr>
        <w:spacing w:after="240" w:before="240" w:lineRule="auto"/>
        <w:rPr>
          <w:color w:val="1155cc"/>
          <w:u w:val="single"/>
        </w:rPr>
      </w:pPr>
      <w:r w:rsidDel="00000000" w:rsidR="00000000" w:rsidRPr="00000000">
        <w:rPr>
          <w:rtl w:val="0"/>
        </w:rPr>
        <w:t xml:space="preserve">Given that HAV symptoms typically appear </w:t>
      </w:r>
      <w:r w:rsidDel="00000000" w:rsidR="00000000" w:rsidRPr="00000000">
        <w:rPr>
          <w:b w:val="1"/>
          <w:bCs w:val="1"/>
          <w:rtl w:val="0"/>
        </w:rPr>
        <w:t xml:space="preserve">2–7 weeks after exposure</w:t>
      </w:r>
      <w:r w:rsidDel="00000000" w:rsidR="00000000" w:rsidRPr="00000000">
        <w:rPr>
          <w:rtl w:val="0"/>
        </w:rPr>
        <w:t xml:space="preserve">, the timeline supported recent community exposure. [2]</w:t>
      </w:r>
      <w:hyperlink r:id="rId74">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kl9bs7ck2oal" w:id="22"/>
      <w:bookmarkEnd w:id="22"/>
      <w:r w:rsidDel="00000000" w:rsidR="00000000" w:rsidRPr="00000000">
        <w:rPr>
          <w:b w:val="1"/>
          <w:bCs w:val="1"/>
          <w:color w:val="000000"/>
          <w:sz w:val="26"/>
          <w:szCs w:val="26"/>
          <w:rtl w:val="0"/>
        </w:rPr>
        <w:t xml:space="preserve">Therapeutic intervention (index case)</w:t>
      </w:r>
    </w:p>
    <w:p w:rsidR="00000000" w:rsidDel="00000000" w:rsidP="00000000" w:rsidRDefault="00000000" w:rsidRPr="00000000" w14:paraId="000000EA">
      <w:pPr>
        <w:spacing w:after="240" w:before="240" w:lineRule="auto"/>
        <w:rPr>
          <w:color w:val="1155cc"/>
          <w:u w:val="single"/>
        </w:rPr>
      </w:pPr>
      <w:r w:rsidDel="00000000" w:rsidR="00000000" w:rsidRPr="00000000">
        <w:rPr>
          <w:rtl w:val="0"/>
        </w:rPr>
        <w:t xml:space="preserve">He was managed with </w:t>
      </w:r>
      <w:r w:rsidDel="00000000" w:rsidR="00000000" w:rsidRPr="00000000">
        <w:rPr>
          <w:b w:val="1"/>
          <w:bCs w:val="1"/>
          <w:rtl w:val="0"/>
        </w:rPr>
        <w:t xml:space="preserve">supportive care</w:t>
      </w:r>
      <w:r w:rsidDel="00000000" w:rsidR="00000000" w:rsidRPr="00000000">
        <w:rPr>
          <w:rtl w:val="0"/>
        </w:rPr>
        <w:t xml:space="preserve"> (oral hydration, calorie-dense diet, rest, avoidance of unnecessary hepatotoxic medications and herbal preparations). No specific antiviral therapy was indicated. [1,5]</w:t>
      </w:r>
      <w:hyperlink r:id="rId75">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9mb46iydeji9" w:id="23"/>
      <w:bookmarkEnd w:id="23"/>
      <w:r w:rsidDel="00000000" w:rsidR="00000000" w:rsidRPr="00000000">
        <w:rPr>
          <w:b w:val="1"/>
          <w:bCs w:val="1"/>
          <w:color w:val="000000"/>
          <w:sz w:val="26"/>
          <w:szCs w:val="26"/>
          <w:rtl w:val="0"/>
        </w:rPr>
        <w:t xml:space="preserve">Outbreak description (cluster investigation)</w:t>
      </w:r>
    </w:p>
    <w:p w:rsidR="00000000" w:rsidDel="00000000" w:rsidP="00000000" w:rsidRDefault="00000000" w:rsidRPr="00000000" w14:paraId="000000EC">
      <w:pPr>
        <w:spacing w:after="240" w:before="240" w:lineRule="auto"/>
        <w:rPr>
          <w:color w:val="1155cc"/>
          <w:u w:val="single"/>
        </w:rPr>
      </w:pPr>
      <w:r w:rsidDel="00000000" w:rsidR="00000000" w:rsidRPr="00000000">
        <w:rPr>
          <w:b w:val="1"/>
          <w:bCs w:val="1"/>
          <w:rtl w:val="0"/>
        </w:rPr>
        <w:t xml:space="preserve">Trigger event:</w:t>
      </w:r>
      <w:r w:rsidDel="00000000" w:rsidR="00000000" w:rsidRPr="00000000">
        <w:rPr>
          <w:rtl w:val="0"/>
        </w:rPr>
        <w:t xml:space="preserve"> On epidemiologic history, the child had attended a </w:t>
      </w:r>
      <w:r w:rsidDel="00000000" w:rsidR="00000000" w:rsidRPr="00000000">
        <w:rPr>
          <w:b w:val="1"/>
          <w:bCs w:val="1"/>
          <w:rtl w:val="0"/>
        </w:rPr>
        <w:t xml:space="preserve">society potluck/birthday gathering</w:t>
      </w:r>
      <w:r w:rsidDel="00000000" w:rsidR="00000000" w:rsidRPr="00000000">
        <w:rPr>
          <w:rtl w:val="0"/>
        </w:rPr>
        <w:t xml:space="preserve"> in a closed community hall </w:t>
      </w:r>
      <w:r w:rsidDel="00000000" w:rsidR="00000000" w:rsidRPr="00000000">
        <w:rPr>
          <w:b w:val="1"/>
          <w:bCs w:val="1"/>
          <w:rtl w:val="0"/>
        </w:rPr>
        <w:t xml:space="preserve">24 days</w:t>
      </w:r>
      <w:r w:rsidDel="00000000" w:rsidR="00000000" w:rsidRPr="00000000">
        <w:rPr>
          <w:rtl w:val="0"/>
        </w:rPr>
        <w:t xml:space="preserve"> before symptom onset (approx. within the 2–7 week incubation window). [2]</w:t>
      </w:r>
      <w:hyperlink r:id="rId76">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ED">
      <w:pPr>
        <w:spacing w:after="240" w:before="240" w:lineRule="auto"/>
        <w:rPr>
          <w:color w:val="1155cc"/>
          <w:u w:val="single"/>
        </w:rPr>
      </w:pPr>
      <w:r w:rsidDel="00000000" w:rsidR="00000000" w:rsidRPr="00000000">
        <w:rPr>
          <w:b w:val="1"/>
          <w:bCs w:val="1"/>
          <w:rtl w:val="0"/>
        </w:rPr>
        <w:t xml:space="preserve">Case definition used (operational):</w:t>
      </w:r>
      <w:r w:rsidDel="00000000" w:rsidR="00000000" w:rsidRPr="00000000">
        <w:rPr>
          <w:rtl w:val="0"/>
        </w:rPr>
        <w:t xml:space="preserve"> Any resident/attendee with (a) acute onset jaundice or dark urine plus raised ALT, or (b) positive IgM anti-HAV, with onset within 2–7 weeks after the potluck date. [2]</w:t>
      </w:r>
      <w:r w:rsidDel="00000000" w:rsidR="00000000" w:rsidRPr="00000000">
        <w:rPr>
          <w:rtl w:val="0"/>
        </w:rPr>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Identified cases (n = 8 total; 1 index + 7 linked):</w:t>
      </w:r>
    </w:p>
    <w:p w:rsidR="00000000" w:rsidDel="00000000" w:rsidP="00000000" w:rsidRDefault="00000000" w:rsidRPr="00000000" w14:paraId="000000EF">
      <w:pPr>
        <w:numPr>
          <w:ilvl w:val="0"/>
          <w:numId w:val="16"/>
        </w:numPr>
        <w:spacing w:after="0" w:afterAutospacing="0" w:before="240" w:lineRule="auto"/>
        <w:ind w:left="720" w:hanging="360"/>
      </w:pPr>
      <w:r w:rsidDel="00000000" w:rsidR="00000000" w:rsidRPr="00000000">
        <w:rPr>
          <w:rtl w:val="0"/>
        </w:rPr>
        <w:t xml:space="preserve">Children (n=5): ages 3–11 years, all unvaccinated for hepatitis A; 4 symptomatic with jaundice, 1 minimally symptomatic detected on screening ALT.</w:t>
        <w:br w:type="textWrapping"/>
      </w:r>
    </w:p>
    <w:p w:rsidR="00000000" w:rsidDel="00000000" w:rsidP="00000000" w:rsidRDefault="00000000" w:rsidRPr="00000000" w14:paraId="000000F0">
      <w:pPr>
        <w:numPr>
          <w:ilvl w:val="0"/>
          <w:numId w:val="16"/>
        </w:numPr>
        <w:spacing w:after="240" w:before="0" w:beforeAutospacing="0" w:lineRule="auto"/>
        <w:ind w:left="720" w:hanging="360"/>
      </w:pPr>
      <w:r w:rsidDel="00000000" w:rsidR="00000000" w:rsidRPr="00000000">
        <w:rPr>
          <w:rtl w:val="0"/>
        </w:rPr>
        <w:t xml:space="preserve">Adults (n=3): two symptomatic (mild hepatitis), one asymptomatic IgM-positive caregiver.</w:t>
        <w:br w:type="textWrapping"/>
      </w:r>
    </w:p>
    <w:p w:rsidR="00000000" w:rsidDel="00000000" w:rsidP="00000000" w:rsidRDefault="00000000" w:rsidRPr="00000000" w14:paraId="000000F1">
      <w:pPr>
        <w:spacing w:after="240" w:before="240" w:lineRule="auto"/>
        <w:rPr>
          <w:i w:val="1"/>
          <w:iCs w:val="1"/>
        </w:rPr>
      </w:pPr>
      <w:r w:rsidDel="00000000" w:rsidR="00000000" w:rsidRPr="00000000">
        <w:rPr>
          <w:b w:val="1"/>
          <w:bCs w:val="1"/>
          <w:rtl w:val="0"/>
        </w:rPr>
        <w:t xml:space="preserve">Attack rate (children at potluck):</w:t>
      </w:r>
      <w:r w:rsidDel="00000000" w:rsidR="00000000" w:rsidRPr="00000000">
        <w:rPr>
          <w:rtl w:val="0"/>
        </w:rPr>
        <w:t xml:space="preserve"> 5/19 (26.3%) among children who consumed shared snacks/iced drinks prepared onsite; adults 3/31 (9.7%). </w:t>
      </w:r>
      <w:r w:rsidDel="00000000" w:rsidR="00000000" w:rsidRPr="00000000">
        <w:rPr>
          <w:rtl w:val="0"/>
        </w:rPr>
      </w:r>
    </w:p>
    <w:p w:rsidR="00000000" w:rsidDel="00000000" w:rsidP="00000000" w:rsidRDefault="00000000" w:rsidRPr="00000000" w14:paraId="000000F2">
      <w:pPr>
        <w:spacing w:after="240" w:before="240" w:lineRule="auto"/>
        <w:rPr>
          <w:color w:val="1155cc"/>
          <w:u w:val="single"/>
        </w:rPr>
      </w:pPr>
      <w:r w:rsidDel="00000000" w:rsidR="00000000" w:rsidRPr="00000000">
        <w:rPr>
          <w:rtl w:val="0"/>
        </w:rPr>
        <w:t xml:space="preserve">Person-to-person spread is a well-described driver of HAV outbreaks, especially in close-contact networks and defined settings. [8]</w:t>
      </w:r>
      <w:r w:rsidDel="00000000" w:rsidR="00000000" w:rsidRPr="00000000">
        <w:rPr>
          <w:rtl w:val="0"/>
        </w:rPr>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ei0p1v7uifpu" w:id="24"/>
      <w:bookmarkEnd w:id="24"/>
      <w:r w:rsidDel="00000000" w:rsidR="00000000" w:rsidRPr="00000000">
        <w:rPr>
          <w:b w:val="1"/>
          <w:bCs w:val="1"/>
          <w:color w:val="000000"/>
          <w:sz w:val="26"/>
          <w:szCs w:val="26"/>
          <w:rtl w:val="0"/>
        </w:rPr>
        <w:t xml:space="preserve">Post-exposure prophylaxis (PEP) and containment</w:t>
      </w:r>
    </w:p>
    <w:p w:rsidR="00000000" w:rsidDel="00000000" w:rsidP="00000000" w:rsidRDefault="00000000" w:rsidRPr="00000000" w14:paraId="000000F4">
      <w:pPr>
        <w:spacing w:after="240" w:before="240" w:lineRule="auto"/>
        <w:rPr/>
      </w:pPr>
      <w:r w:rsidDel="00000000" w:rsidR="00000000" w:rsidRPr="00000000">
        <w:rPr>
          <w:rtl w:val="0"/>
        </w:rPr>
        <w:t xml:space="preserve">When the index case was confirmed (Day 2 after presentation), the family notified the society welfare committee on Day 3. </w:t>
      </w:r>
      <w:r w:rsidDel="00000000" w:rsidR="00000000" w:rsidRPr="00000000">
        <w:rPr>
          <w:b w:val="1"/>
          <w:bCs w:val="1"/>
          <w:rtl w:val="0"/>
        </w:rPr>
        <w:t xml:space="preserve">PEP was initiated immediately for close contacts</w:t>
      </w:r>
      <w:r w:rsidDel="00000000" w:rsidR="00000000" w:rsidRPr="00000000">
        <w:rPr>
          <w:rtl w:val="0"/>
        </w:rPr>
        <w:t xml:space="preserve">, emphasizing that effectiveness is best when given </w:t>
      </w:r>
      <w:r w:rsidDel="00000000" w:rsidR="00000000" w:rsidRPr="00000000">
        <w:rPr>
          <w:b w:val="1"/>
          <w:bCs w:val="1"/>
          <w:rtl w:val="0"/>
        </w:rPr>
        <w:t xml:space="preserve">within 14 days of exposure</w:t>
      </w:r>
      <w:r w:rsidDel="00000000" w:rsidR="00000000" w:rsidRPr="00000000">
        <w:rPr>
          <w:rtl w:val="0"/>
        </w:rPr>
        <w:t xml:space="preserve">:</w:t>
      </w:r>
    </w:p>
    <w:p w:rsidR="00000000" w:rsidDel="00000000" w:rsidP="00000000" w:rsidRDefault="00000000" w:rsidRPr="00000000" w14:paraId="000000F5">
      <w:pPr>
        <w:numPr>
          <w:ilvl w:val="0"/>
          <w:numId w:val="5"/>
        </w:numPr>
        <w:spacing w:after="0" w:afterAutospacing="0" w:before="240" w:lineRule="auto"/>
        <w:ind w:left="720" w:hanging="360"/>
      </w:pPr>
      <w:r w:rsidDel="00000000" w:rsidR="00000000" w:rsidRPr="00000000">
        <w:rPr>
          <w:b w:val="1"/>
          <w:bCs w:val="1"/>
          <w:rtl w:val="0"/>
        </w:rPr>
        <w:t xml:space="preserve">HepA vaccine</w:t>
      </w:r>
      <w:r w:rsidDel="00000000" w:rsidR="00000000" w:rsidRPr="00000000">
        <w:rPr>
          <w:rtl w:val="0"/>
        </w:rPr>
        <w:t xml:space="preserve"> was offered to all unvaccinated contacts </w:t>
      </w:r>
      <w:r w:rsidDel="00000000" w:rsidR="00000000" w:rsidRPr="00000000">
        <w:rPr>
          <w:rFonts w:ascii="Arial Unicode MS" w:cs="Arial Unicode MS" w:eastAsia="Arial Unicode MS" w:hAnsi="Arial Unicode MS"/>
          <w:b w:val="1"/>
          <w:bCs w:val="1"/>
          <w:rtl w:val="0"/>
        </w:rPr>
        <w:t xml:space="preserve">≥12 months</w:t>
      </w:r>
      <w:r w:rsidDel="00000000" w:rsidR="00000000" w:rsidRPr="00000000">
        <w:rPr>
          <w:rtl w:val="0"/>
        </w:rPr>
        <w:t xml:space="preserve"> as soon as possible (household members, close playmates, and selected high-contact residents). [4]</w:t>
      </w:r>
      <w:hyperlink r:id="rId77">
        <w:r w:rsidDel="00000000" w:rsidR="00000000" w:rsidRPr="00000000">
          <w:rPr>
            <w:rtl w:val="0"/>
          </w:rPr>
          <w:t xml:space="preserve"> </w:t>
        </w:r>
      </w:hyperlink>
      <w:hyperlink r:id="rId78">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F6">
      <w:pPr>
        <w:numPr>
          <w:ilvl w:val="0"/>
          <w:numId w:val="5"/>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9-month-old infant cousin</w:t>
      </w:r>
      <w:r w:rsidDel="00000000" w:rsidR="00000000" w:rsidRPr="00000000">
        <w:rPr>
          <w:rtl w:val="0"/>
        </w:rPr>
        <w:t xml:space="preserve"> (frequent visitor) received </w:t>
      </w:r>
      <w:r w:rsidDel="00000000" w:rsidR="00000000" w:rsidRPr="00000000">
        <w:rPr>
          <w:b w:val="1"/>
          <w:bCs w:val="1"/>
          <w:rtl w:val="0"/>
        </w:rPr>
        <w:t xml:space="preserve">immune globulin (IG) instead of vaccine</w:t>
      </w:r>
      <w:r w:rsidDel="00000000" w:rsidR="00000000" w:rsidRPr="00000000">
        <w:rPr>
          <w:rtl w:val="0"/>
        </w:rPr>
        <w:t xml:space="preserve"> (age &lt;12 months) within the 2-week window. [4,5]</w:t>
      </w:r>
      <w:hyperlink r:id="rId79">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F7">
      <w:pPr>
        <w:numPr>
          <w:ilvl w:val="0"/>
          <w:numId w:val="5"/>
        </w:numPr>
        <w:spacing w:after="240" w:before="0" w:beforeAutospacing="0" w:lineRule="auto"/>
        <w:ind w:left="720" w:hanging="360"/>
      </w:pPr>
      <w:r w:rsidDel="00000000" w:rsidR="00000000" w:rsidRPr="00000000">
        <w:rPr>
          <w:rtl w:val="0"/>
        </w:rPr>
        <w:t xml:space="preserve">One resident with chronic liver disease was given </w:t>
      </w:r>
      <w:r w:rsidDel="00000000" w:rsidR="00000000" w:rsidRPr="00000000">
        <w:rPr>
          <w:b w:val="1"/>
          <w:bCs w:val="1"/>
          <w:rtl w:val="0"/>
        </w:rPr>
        <w:t xml:space="preserve">both IG + vaccine</w:t>
      </w:r>
      <w:r w:rsidDel="00000000" w:rsidR="00000000" w:rsidRPr="00000000">
        <w:rPr>
          <w:rtl w:val="0"/>
        </w:rPr>
        <w:t xml:space="preserve"> (different limbs) per risk-based guidance. [4]</w:t>
      </w:r>
      <w:hyperlink r:id="rId80">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Non-pharmacologic controls implemented (same week):</w:t>
      </w:r>
      <w:r w:rsidDel="00000000" w:rsidR="00000000" w:rsidRPr="00000000">
        <w:rPr>
          <w:rtl w:val="0"/>
        </w:rPr>
        <w:t xml:space="preserve"> temporary pause of communal food handling, reinforcement of hand hygiene at shared play areas, and cleaning/disinfection of common toilets and surfaces; water-tank chlorination and inspection were arranged via local municipal liaison.</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mfltug4mvrd2" w:id="25"/>
      <w:bookmarkEnd w:id="25"/>
      <w:r w:rsidDel="00000000" w:rsidR="00000000" w:rsidRPr="00000000">
        <w:rPr>
          <w:b w:val="1"/>
          <w:bCs w:val="1"/>
          <w:color w:val="000000"/>
          <w:sz w:val="26"/>
          <w:szCs w:val="26"/>
          <w:rtl w:val="0"/>
        </w:rPr>
        <w:t xml:space="preserve">Follow-up and outcomes</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Index case lab trend</w:t>
      </w:r>
    </w:p>
    <w:tbl>
      <w:tblPr>
        <w:tblStyle w:val="Table3"/>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485"/>
        <w:gridCol w:w="1905"/>
        <w:gridCol w:w="1350"/>
        <w:gridCol w:w="1260"/>
        <w:gridCol w:w="1275"/>
        <w:tblGridChange w:id="0">
          <w:tblGrid>
            <w:gridCol w:w="1905"/>
            <w:gridCol w:w="1485"/>
            <w:gridCol w:w="1905"/>
            <w:gridCol w:w="1350"/>
            <w:gridCol w:w="1260"/>
            <w:gridCol w:w="12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jc w:val="center"/>
              <w:rPr/>
            </w:pPr>
            <w:r w:rsidDel="00000000" w:rsidR="00000000" w:rsidRPr="00000000">
              <w:rPr>
                <w:b w:val="1"/>
                <w:bCs w:val="1"/>
                <w:rtl w:val="0"/>
              </w:rPr>
              <w:t xml:space="preserve">Timepoint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jc w:val="center"/>
              <w:rPr/>
            </w:pPr>
            <w:r w:rsidDel="00000000" w:rsidR="00000000" w:rsidRPr="00000000">
              <w:rPr>
                <w:b w:val="1"/>
                <w:bCs w:val="1"/>
                <w:rtl w:val="0"/>
              </w:rPr>
              <w:t xml:space="preserve">TB (mg/dL)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jc w:val="center"/>
              <w:rPr/>
            </w:pPr>
            <w:r w:rsidDel="00000000" w:rsidR="00000000" w:rsidRPr="00000000">
              <w:rPr>
                <w:b w:val="1"/>
                <w:bCs w:val="1"/>
                <w:rtl w:val="0"/>
              </w:rPr>
              <w:t xml:space="preserve">DB (mg/dL)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jc w:val="center"/>
              <w:rPr/>
            </w:pPr>
            <w:r w:rsidDel="00000000" w:rsidR="00000000" w:rsidRPr="00000000">
              <w:rPr>
                <w:b w:val="1"/>
                <w:bCs w:val="1"/>
                <w:rtl w:val="0"/>
              </w:rPr>
              <w:t xml:space="preserve">ALT (U/L)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jc w:val="center"/>
              <w:rPr/>
            </w:pPr>
            <w:r w:rsidDel="00000000" w:rsidR="00000000" w:rsidRPr="00000000">
              <w:rPr>
                <w:b w:val="1"/>
                <w:bCs w:val="1"/>
                <w:rtl w:val="0"/>
              </w:rPr>
              <w:t xml:space="preserve">AST (U/L)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jc w:val="center"/>
              <w:rPr/>
            </w:pPr>
            <w:r w:rsidDel="00000000" w:rsidR="00000000" w:rsidRPr="00000000">
              <w:rPr>
                <w:b w:val="1"/>
                <w:bCs w:val="1"/>
                <w:rtl w:val="0"/>
              </w:rPr>
              <w:t xml:space="preserve">INR</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Day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6.6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2340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1680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1.10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Day 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5.2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980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640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1.06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Week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190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142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1.02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Week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1.00</w:t>
            </w:r>
          </w:p>
        </w:tc>
      </w:tr>
    </w:tbl>
    <w:p w:rsidR="00000000" w:rsidDel="00000000" w:rsidP="00000000" w:rsidRDefault="00000000" w:rsidRPr="00000000" w14:paraId="00000119">
      <w:pPr>
        <w:spacing w:after="240" w:before="240" w:lineRule="auto"/>
        <w:rPr/>
      </w:pPr>
      <w:r w:rsidDel="00000000" w:rsidR="00000000" w:rsidRPr="00000000">
        <w:rPr>
          <w:rtl w:val="0"/>
        </w:rPr>
        <w:t xml:space="preserve">All pediatric cases recovered without liver failure. One adult required short hospitalization for dehydration and vomiting; no deaths occurred.</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sh1d06405ves" w:id="26"/>
      <w:bookmarkEnd w:id="26"/>
      <w:r w:rsidDel="00000000" w:rsidR="00000000" w:rsidRPr="00000000">
        <w:rPr>
          <w:b w:val="1"/>
          <w:bCs w:val="1"/>
          <w:color w:val="000000"/>
          <w:sz w:val="26"/>
          <w:szCs w:val="26"/>
          <w:rtl w:val="0"/>
        </w:rPr>
        <w:t xml:space="preserve">Discussion</w:t>
      </w:r>
    </w:p>
    <w:p w:rsidR="00000000" w:rsidDel="00000000" w:rsidP="00000000" w:rsidRDefault="00000000" w:rsidRPr="00000000" w14:paraId="0000011B">
      <w:pPr>
        <w:spacing w:after="240" w:before="240" w:lineRule="auto"/>
        <w:rPr>
          <w:color w:val="1155cc"/>
          <w:u w:val="single"/>
        </w:rPr>
      </w:pPr>
      <w:r w:rsidDel="00000000" w:rsidR="00000000" w:rsidRPr="00000000">
        <w:rPr>
          <w:rtl w:val="0"/>
        </w:rPr>
        <w:t xml:space="preserve">This case shows how </w:t>
      </w:r>
      <w:r w:rsidDel="00000000" w:rsidR="00000000" w:rsidRPr="00000000">
        <w:rPr>
          <w:b w:val="1"/>
          <w:bCs w:val="1"/>
          <w:rtl w:val="0"/>
        </w:rPr>
        <w:t xml:space="preserve">vaccine hesitancy can convert a preventable infection into a community cluster</w:t>
      </w:r>
      <w:r w:rsidDel="00000000" w:rsidR="00000000" w:rsidRPr="00000000">
        <w:rPr>
          <w:rtl w:val="0"/>
        </w:rPr>
        <w:t xml:space="preserve">, particularly in dense housing with shared food/water handling. HAV is fecal–oral and spreads via contaminated food/water or close contact; vaccination is the most reliable prevention strategy. [1,2]</w:t>
      </w:r>
      <w:hyperlink r:id="rId81">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11C">
      <w:pPr>
        <w:spacing w:after="240" w:before="240" w:lineRule="auto"/>
        <w:rPr/>
      </w:pPr>
      <w:r w:rsidDel="00000000" w:rsidR="00000000" w:rsidRPr="00000000">
        <w:rPr>
          <w:rtl w:val="0"/>
        </w:rPr>
        <w:t xml:space="preserve">The critical “missed window” appears twice:</w:t>
      </w:r>
    </w:p>
    <w:p w:rsidR="00000000" w:rsidDel="00000000" w:rsidP="00000000" w:rsidRDefault="00000000" w:rsidRPr="00000000" w14:paraId="0000011D">
      <w:pPr>
        <w:numPr>
          <w:ilvl w:val="0"/>
          <w:numId w:val="20"/>
        </w:numPr>
        <w:spacing w:after="0" w:afterAutospacing="0" w:before="240" w:lineRule="auto"/>
        <w:ind w:left="720" w:hanging="360"/>
      </w:pPr>
      <w:r w:rsidDel="00000000" w:rsidR="00000000" w:rsidRPr="00000000">
        <w:rPr>
          <w:b w:val="1"/>
          <w:bCs w:val="1"/>
          <w:rtl w:val="0"/>
        </w:rPr>
        <w:t xml:space="preserve">Primary prevention missed</w:t>
      </w:r>
      <w:r w:rsidDel="00000000" w:rsidR="00000000" w:rsidRPr="00000000">
        <w:rPr>
          <w:rtl w:val="0"/>
        </w:rPr>
        <w:t xml:space="preserve"> (no routine hepatitis A vaccination). CDC recommends HepA vaccination for </w:t>
      </w:r>
      <w:r w:rsidDel="00000000" w:rsidR="00000000" w:rsidRPr="00000000">
        <w:rPr>
          <w:b w:val="1"/>
          <w:bCs w:val="1"/>
          <w:rtl w:val="0"/>
        </w:rPr>
        <w:t xml:space="preserve">all children 12–23 months</w:t>
      </w:r>
      <w:r w:rsidDel="00000000" w:rsidR="00000000" w:rsidRPr="00000000">
        <w:rPr>
          <w:rtl w:val="0"/>
        </w:rPr>
        <w:t xml:space="preserve"> and </w:t>
      </w:r>
      <w:r w:rsidDel="00000000" w:rsidR="00000000" w:rsidRPr="00000000">
        <w:rPr>
          <w:b w:val="1"/>
          <w:bCs w:val="1"/>
          <w:rtl w:val="0"/>
        </w:rPr>
        <w:t xml:space="preserve">catch-up for unvaccinated children/adolescents 2–18 years</w:t>
      </w:r>
      <w:r w:rsidDel="00000000" w:rsidR="00000000" w:rsidRPr="00000000">
        <w:rPr>
          <w:rtl w:val="0"/>
        </w:rPr>
        <w:t xml:space="preserve">. [6]</w:t>
      </w:r>
      <w:hyperlink r:id="rId82">
        <w:r w:rsidDel="00000000" w:rsidR="00000000" w:rsidRPr="00000000">
          <w:rPr>
            <w:rtl w:val="0"/>
          </w:rPr>
          <w:t xml:space="preserve"> </w:t>
        </w:r>
      </w:hyperlink>
      <w:hyperlink r:id="rId83">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11E">
      <w:pPr>
        <w:numPr>
          <w:ilvl w:val="0"/>
          <w:numId w:val="20"/>
        </w:numPr>
        <w:spacing w:after="240" w:before="0" w:beforeAutospacing="0" w:lineRule="auto"/>
        <w:ind w:left="720" w:hanging="360"/>
      </w:pPr>
      <w:r w:rsidDel="00000000" w:rsidR="00000000" w:rsidRPr="00000000">
        <w:rPr>
          <w:b w:val="1"/>
          <w:bCs w:val="1"/>
          <w:rtl w:val="0"/>
        </w:rPr>
        <w:t xml:space="preserve">PEP window nearly missed</w:t>
      </w:r>
      <w:r w:rsidDel="00000000" w:rsidR="00000000" w:rsidRPr="00000000">
        <w:rPr>
          <w:rtl w:val="0"/>
        </w:rPr>
        <w:t xml:space="preserve"> (PEP is most effective when given within </w:t>
      </w:r>
      <w:r w:rsidDel="00000000" w:rsidR="00000000" w:rsidRPr="00000000">
        <w:rPr>
          <w:b w:val="1"/>
          <w:bCs w:val="1"/>
          <w:rtl w:val="0"/>
        </w:rPr>
        <w:t xml:space="preserve">14 days</w:t>
      </w:r>
      <w:r w:rsidDel="00000000" w:rsidR="00000000" w:rsidRPr="00000000">
        <w:rPr>
          <w:rtl w:val="0"/>
        </w:rPr>
        <w:t xml:space="preserve">; infants &lt;12 months should receive IG; some high-risk contacts may need IG + vaccine). [4,5]</w:t>
      </w:r>
      <w:hyperlink r:id="rId84">
        <w:r w:rsidDel="00000000" w:rsidR="00000000" w:rsidRPr="00000000">
          <w:rPr>
            <w:rtl w:val="0"/>
          </w:rPr>
          <w:t xml:space="preserve"> </w:t>
        </w:r>
      </w:hyperlink>
      <w:hyperlink r:id="rId85">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11F">
      <w:pPr>
        <w:spacing w:after="240" w:before="240" w:lineRule="auto"/>
        <w:rPr>
          <w:b w:val="1"/>
          <w:bCs w:val="1"/>
          <w:sz w:val="26"/>
          <w:szCs w:val="26"/>
        </w:rPr>
      </w:pPr>
      <w:r w:rsidDel="00000000" w:rsidR="00000000" w:rsidRPr="00000000">
        <w:rPr>
          <w:rtl w:val="0"/>
        </w:rPr>
        <w:t xml:space="preserve">In India-focused practice, IAP ACVIP guidance supports hepatitis A vaccination for children </w:t>
      </w:r>
      <w:r w:rsidDel="00000000" w:rsidR="00000000" w:rsidRPr="00000000">
        <w:rPr>
          <w:rFonts w:ascii="Arial Unicode MS" w:cs="Arial Unicode MS" w:eastAsia="Arial Unicode MS" w:hAnsi="Arial Unicode MS"/>
          <w:b w:val="1"/>
          <w:bCs w:val="1"/>
          <w:rtl w:val="0"/>
        </w:rPr>
        <w:t xml:space="preserve">≥12 months</w:t>
      </w:r>
      <w:r w:rsidDel="00000000" w:rsidR="00000000" w:rsidRPr="00000000">
        <w:rPr>
          <w:rtl w:val="0"/>
        </w:rPr>
        <w:t xml:space="preserve"> using a </w:t>
      </w:r>
      <w:r w:rsidDel="00000000" w:rsidR="00000000" w:rsidRPr="00000000">
        <w:rPr>
          <w:b w:val="1"/>
          <w:bCs w:val="1"/>
          <w:rtl w:val="0"/>
        </w:rPr>
        <w:t xml:space="preserve">2-dose 0–6 month schedule</w:t>
      </w:r>
      <w:r w:rsidDel="00000000" w:rsidR="00000000" w:rsidRPr="00000000">
        <w:rPr>
          <w:rtl w:val="0"/>
        </w:rPr>
        <w:t xml:space="preserve"> for inactivated vaccines. [7]</w:t>
      </w:r>
      <w:hyperlink r:id="rId86">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120">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21">
      <w:pPr>
        <w:spacing w:after="240" w:before="240" w:lineRule="auto"/>
        <w:rPr>
          <w:b w:val="1"/>
          <w:bCs w:val="1"/>
          <w:sz w:val="26"/>
          <w:szCs w:val="26"/>
        </w:rPr>
      </w:pPr>
      <w:r w:rsidDel="00000000" w:rsidR="00000000" w:rsidRPr="00000000">
        <w:rPr>
          <w:b w:val="1"/>
          <w:bCs w:val="1"/>
          <w:sz w:val="26"/>
          <w:szCs w:val="26"/>
          <w:rtl w:val="0"/>
        </w:rPr>
        <w:t xml:space="preserve">Learning points</w:t>
      </w:r>
    </w:p>
    <w:p w:rsidR="00000000" w:rsidDel="00000000" w:rsidP="00000000" w:rsidRDefault="00000000" w:rsidRPr="00000000" w14:paraId="00000122">
      <w:pPr>
        <w:numPr>
          <w:ilvl w:val="0"/>
          <w:numId w:val="4"/>
        </w:numPr>
        <w:spacing w:after="0" w:afterAutospacing="0" w:before="240" w:lineRule="auto"/>
        <w:ind w:left="720" w:hanging="360"/>
      </w:pPr>
      <w:r w:rsidDel="00000000" w:rsidR="00000000" w:rsidRPr="00000000">
        <w:rPr>
          <w:rtl w:val="0"/>
        </w:rPr>
        <w:t xml:space="preserve">HAV spreads via contaminated food/water and close contact; outbreaks can occur in tight community networks. [1,2,8]</w:t>
      </w:r>
      <w:hyperlink r:id="rId87">
        <w:r w:rsidDel="00000000" w:rsidR="00000000" w:rsidRPr="00000000">
          <w:rPr>
            <w:rtl w:val="0"/>
          </w:rPr>
          <w:t xml:space="preserve"> </w:t>
        </w:r>
      </w:hyperlink>
      <w:hyperlink r:id="rId88">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123">
      <w:pPr>
        <w:numPr>
          <w:ilvl w:val="0"/>
          <w:numId w:val="4"/>
        </w:numPr>
        <w:spacing w:after="0" w:afterAutospacing="0" w:before="0" w:beforeAutospacing="0" w:lineRule="auto"/>
        <w:ind w:left="720" w:hanging="360"/>
      </w:pPr>
      <w:r w:rsidDel="00000000" w:rsidR="00000000" w:rsidRPr="00000000">
        <w:rPr>
          <w:rtl w:val="0"/>
        </w:rPr>
        <w:t xml:space="preserve">Vaccine hesitancy (delay/refusal despite availability) can directly raise outbreak risk in clustered settings. [3]</w:t>
      </w:r>
      <w:hyperlink r:id="rId89">
        <w:r w:rsidDel="00000000" w:rsidR="00000000" w:rsidRPr="00000000">
          <w:rPr>
            <w:rtl w:val="0"/>
          </w:rPr>
          <w:t xml:space="preserve"> </w:t>
        </w:r>
      </w:hyperlink>
      <w:hyperlink r:id="rId90">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124">
      <w:pPr>
        <w:numPr>
          <w:ilvl w:val="0"/>
          <w:numId w:val="4"/>
        </w:numPr>
        <w:spacing w:after="0" w:afterAutospacing="0" w:before="0" w:beforeAutospacing="0" w:lineRule="auto"/>
        <w:ind w:left="720" w:hanging="360"/>
      </w:pPr>
      <w:r w:rsidDel="00000000" w:rsidR="00000000" w:rsidRPr="00000000">
        <w:rPr>
          <w:rtl w:val="0"/>
        </w:rPr>
        <w:t xml:space="preserve">PEP should be given ASAP and ideally within </w:t>
      </w:r>
      <w:r w:rsidDel="00000000" w:rsidR="00000000" w:rsidRPr="00000000">
        <w:rPr>
          <w:b w:val="1"/>
          <w:bCs w:val="1"/>
          <w:rtl w:val="0"/>
        </w:rPr>
        <w:t xml:space="preserve">14 days</w:t>
      </w:r>
      <w:r w:rsidDel="00000000" w:rsidR="00000000" w:rsidRPr="00000000">
        <w:rPr>
          <w:rtl w:val="0"/>
        </w:rPr>
        <w:t xml:space="preserve"> of exposure; infants &lt;12 months should receive IG; selected high-risk contacts may need IG + vaccine. [4,5]</w:t>
      </w:r>
      <w:hyperlink r:id="rId91">
        <w:r w:rsidDel="00000000" w:rsidR="00000000" w:rsidRPr="00000000">
          <w:rPr>
            <w:rtl w:val="0"/>
          </w:rPr>
          <w:t xml:space="preserve"> </w:t>
        </w:r>
      </w:hyperlink>
      <w:hyperlink r:id="rId92">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125">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Routine hepatitis A vaccination from ≥12 months (IAP/CDC) </w:t>
      </w:r>
      <w:r w:rsidDel="00000000" w:rsidR="00000000" w:rsidRPr="00000000">
        <w:rPr>
          <w:b w:val="1"/>
          <w:bCs w:val="1"/>
          <w:rtl w:val="0"/>
        </w:rPr>
        <w:t xml:space="preserve">plus active catch-up </w:t>
      </w:r>
      <w:r w:rsidDel="00000000" w:rsidR="00000000" w:rsidRPr="00000000">
        <w:rPr>
          <w:rtl w:val="0"/>
        </w:rPr>
        <w:t xml:space="preserve">for missed/unvaccinated children before exposure closes susceptibility gaps and prevents symptomatic disease and complications in older children. [6,7]</w:t>
      </w:r>
      <w:hyperlink r:id="rId93">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h8ep79821h6d" w:id="27"/>
      <w:bookmarkEnd w:id="27"/>
      <w:r w:rsidDel="00000000" w:rsidR="00000000" w:rsidRPr="00000000">
        <w:rPr>
          <w:b w:val="1"/>
          <w:bCs w:val="1"/>
          <w:sz w:val="34"/>
          <w:szCs w:val="34"/>
          <w:rtl w:val="0"/>
        </w:rPr>
        <w:t xml:space="preserve">References </w:t>
      </w:r>
    </w:p>
    <w:p w:rsidR="00000000" w:rsidDel="00000000" w:rsidP="00000000" w:rsidRDefault="00000000" w:rsidRPr="00000000" w14:paraId="00000128">
      <w:pPr>
        <w:numPr>
          <w:ilvl w:val="0"/>
          <w:numId w:val="7"/>
        </w:numPr>
        <w:spacing w:after="0" w:afterAutospacing="0" w:before="240" w:lineRule="auto"/>
        <w:ind w:left="720" w:hanging="360"/>
      </w:pPr>
      <w:r w:rsidDel="00000000" w:rsidR="00000000" w:rsidRPr="00000000">
        <w:rPr>
          <w:rtl w:val="0"/>
        </w:rPr>
        <w:t xml:space="preserve">World Health Organization. Hepatitis A [Internet]. Geneva: WHO; 2025 Feb 12 [cited 2025 Dec 18]. Available from: WHO website.</w:t>
      </w:r>
      <w:hyperlink r:id="rId94">
        <w:r w:rsidDel="00000000" w:rsidR="00000000" w:rsidRPr="00000000">
          <w:rPr>
            <w:rtl w:val="0"/>
          </w:rPr>
          <w:t xml:space="preserve"> </w:t>
        </w:r>
      </w:hyperlink>
      <w:hyperlink r:id="rId95">
        <w:r w:rsidDel="00000000" w:rsidR="00000000" w:rsidRPr="00000000">
          <w:rPr>
            <w:color w:val="1155cc"/>
            <w:u w:val="single"/>
            <w:rtl w:val="0"/>
          </w:rPr>
          <w:t xml:space="preserve">World Health Organization</w:t>
          <w:br w:type="textWrapping"/>
        </w:r>
      </w:hyperlink>
      <w:r w:rsidDel="00000000" w:rsidR="00000000" w:rsidRPr="00000000">
        <w:rPr>
          <w:rtl w:val="0"/>
        </w:rPr>
      </w:r>
    </w:p>
    <w:p w:rsidR="00000000" w:rsidDel="00000000" w:rsidP="00000000" w:rsidRDefault="00000000" w:rsidRPr="00000000" w14:paraId="00000129">
      <w:pPr>
        <w:numPr>
          <w:ilvl w:val="0"/>
          <w:numId w:val="7"/>
        </w:numPr>
        <w:spacing w:after="0" w:afterAutospacing="0" w:before="0" w:beforeAutospacing="0" w:lineRule="auto"/>
        <w:ind w:left="720" w:hanging="360"/>
      </w:pPr>
      <w:r w:rsidDel="00000000" w:rsidR="00000000" w:rsidRPr="00000000">
        <w:rPr>
          <w:rtl w:val="0"/>
        </w:rPr>
        <w:t xml:space="preserve">Centers for Disease Control and Prevention. Hepatitis A basics [Internet]. Atlanta (GA): CDC; 2025 Aug 29 [cited 2025 Dec 18]. Available from: CDC website.</w:t>
      </w:r>
      <w:hyperlink r:id="rId96">
        <w:r w:rsidDel="00000000" w:rsidR="00000000" w:rsidRPr="00000000">
          <w:rPr>
            <w:rtl w:val="0"/>
          </w:rPr>
          <w:t xml:space="preserve"> </w:t>
        </w:r>
      </w:hyperlink>
      <w:hyperlink r:id="rId97">
        <w:r w:rsidDel="00000000" w:rsidR="00000000" w:rsidRPr="00000000">
          <w:rPr>
            <w:color w:val="1155cc"/>
            <w:u w:val="single"/>
            <w:rtl w:val="0"/>
          </w:rPr>
          <w:t xml:space="preserve">CDC</w:t>
          <w:br w:type="textWrapping"/>
        </w:r>
      </w:hyperlink>
      <w:r w:rsidDel="00000000" w:rsidR="00000000" w:rsidRPr="00000000">
        <w:rPr>
          <w:rtl w:val="0"/>
        </w:rPr>
      </w:r>
    </w:p>
    <w:p w:rsidR="00000000" w:rsidDel="00000000" w:rsidP="00000000" w:rsidRDefault="00000000" w:rsidRPr="00000000" w14:paraId="0000012A">
      <w:pPr>
        <w:numPr>
          <w:ilvl w:val="0"/>
          <w:numId w:val="7"/>
        </w:numPr>
        <w:spacing w:after="0" w:afterAutospacing="0" w:before="0" w:beforeAutospacing="0" w:lineRule="auto"/>
        <w:ind w:left="720" w:hanging="360"/>
      </w:pPr>
      <w:r w:rsidDel="00000000" w:rsidR="00000000" w:rsidRPr="00000000">
        <w:rPr>
          <w:rtl w:val="0"/>
        </w:rPr>
        <w:t xml:space="preserve">World Health Organization. Summary WHO SAGE conclusions and recommendations on vaccine hesitancy [Internet]. Geneva: WHO; 2015 Jan [cited 2025 Dec 18]. Available from: WHO website.</w:t>
      </w:r>
      <w:hyperlink r:id="rId98">
        <w:r w:rsidDel="00000000" w:rsidR="00000000" w:rsidRPr="00000000">
          <w:rPr>
            <w:rtl w:val="0"/>
          </w:rPr>
          <w:t xml:space="preserve"> </w:t>
        </w:r>
      </w:hyperlink>
      <w:hyperlink r:id="rId99">
        <w:r w:rsidDel="00000000" w:rsidR="00000000" w:rsidRPr="00000000">
          <w:rPr>
            <w:color w:val="1155cc"/>
            <w:u w:val="single"/>
            <w:rtl w:val="0"/>
          </w:rPr>
          <w:t xml:space="preserve">World Health Organization</w:t>
          <w:br w:type="textWrapping"/>
        </w:r>
      </w:hyperlink>
      <w:r w:rsidDel="00000000" w:rsidR="00000000" w:rsidRPr="00000000">
        <w:rPr>
          <w:rtl w:val="0"/>
        </w:rPr>
      </w:r>
    </w:p>
    <w:p w:rsidR="00000000" w:rsidDel="00000000" w:rsidP="00000000" w:rsidRDefault="00000000" w:rsidRPr="00000000" w14:paraId="0000012B">
      <w:pPr>
        <w:numPr>
          <w:ilvl w:val="0"/>
          <w:numId w:val="7"/>
        </w:numPr>
        <w:spacing w:after="0" w:afterAutospacing="0" w:before="0" w:beforeAutospacing="0" w:lineRule="auto"/>
        <w:ind w:left="720" w:hanging="360"/>
      </w:pPr>
      <w:r w:rsidDel="00000000" w:rsidR="00000000" w:rsidRPr="00000000">
        <w:rPr>
          <w:rtl w:val="0"/>
        </w:rPr>
        <w:t xml:space="preserve">Nelson NP, Link-Gelles R, Hofmeister MG, et al. Update: Recommendations of the Advisory Committee on Immunization Practices for use of hepatitis A vaccine for postexposure prophylaxis and for preexposure prophylaxis for international travel. MMWR Morb Mortal Wkly Rep. 2018;67(43):1216–1220.</w:t>
      </w:r>
      <w:hyperlink r:id="rId100">
        <w:r w:rsidDel="00000000" w:rsidR="00000000" w:rsidRPr="00000000">
          <w:rPr>
            <w:rtl w:val="0"/>
          </w:rPr>
          <w:t xml:space="preserve"> </w:t>
        </w:r>
      </w:hyperlink>
      <w:hyperlink r:id="rId101">
        <w:r w:rsidDel="00000000" w:rsidR="00000000" w:rsidRPr="00000000">
          <w:rPr>
            <w:color w:val="1155cc"/>
            <w:u w:val="single"/>
            <w:rtl w:val="0"/>
          </w:rPr>
          <w:t xml:space="preserve">CDC</w:t>
          <w:br w:type="textWrapping"/>
        </w:r>
      </w:hyperlink>
      <w:r w:rsidDel="00000000" w:rsidR="00000000" w:rsidRPr="00000000">
        <w:rPr>
          <w:rtl w:val="0"/>
        </w:rPr>
      </w:r>
    </w:p>
    <w:p w:rsidR="00000000" w:rsidDel="00000000" w:rsidP="00000000" w:rsidRDefault="00000000" w:rsidRPr="00000000" w14:paraId="0000012C">
      <w:pPr>
        <w:numPr>
          <w:ilvl w:val="0"/>
          <w:numId w:val="7"/>
        </w:numPr>
        <w:spacing w:after="0" w:afterAutospacing="0" w:before="0" w:beforeAutospacing="0" w:lineRule="auto"/>
        <w:ind w:left="720" w:hanging="360"/>
      </w:pPr>
      <w:r w:rsidDel="00000000" w:rsidR="00000000" w:rsidRPr="00000000">
        <w:rPr>
          <w:rtl w:val="0"/>
        </w:rPr>
        <w:t xml:space="preserve">Centers for Disease Control and Prevention. Clinical care of hepatitis A [Internet]. Atlanta (GA): CDC; 2025 Jan 31 [cited 2025 Dec 18]. Available from: CDC website.</w:t>
      </w:r>
      <w:hyperlink r:id="rId102">
        <w:r w:rsidDel="00000000" w:rsidR="00000000" w:rsidRPr="00000000">
          <w:rPr>
            <w:rtl w:val="0"/>
          </w:rPr>
          <w:t xml:space="preserve"> </w:t>
        </w:r>
      </w:hyperlink>
      <w:hyperlink r:id="rId103">
        <w:r w:rsidDel="00000000" w:rsidR="00000000" w:rsidRPr="00000000">
          <w:rPr>
            <w:color w:val="1155cc"/>
            <w:u w:val="single"/>
            <w:rtl w:val="0"/>
          </w:rPr>
          <w:t xml:space="preserve">CDC</w:t>
          <w:br w:type="textWrapping"/>
        </w:r>
      </w:hyperlink>
      <w:r w:rsidDel="00000000" w:rsidR="00000000" w:rsidRPr="00000000">
        <w:rPr>
          <w:rtl w:val="0"/>
        </w:rPr>
      </w:r>
    </w:p>
    <w:p w:rsidR="00000000" w:rsidDel="00000000" w:rsidP="00000000" w:rsidRDefault="00000000" w:rsidRPr="00000000" w14:paraId="0000012D">
      <w:pPr>
        <w:numPr>
          <w:ilvl w:val="0"/>
          <w:numId w:val="7"/>
        </w:numPr>
        <w:spacing w:after="0" w:afterAutospacing="0" w:before="0" w:beforeAutospacing="0" w:lineRule="auto"/>
        <w:ind w:left="720" w:hanging="360"/>
      </w:pPr>
      <w:r w:rsidDel="00000000" w:rsidR="00000000" w:rsidRPr="00000000">
        <w:rPr>
          <w:rtl w:val="0"/>
        </w:rPr>
        <w:t xml:space="preserve">Centers for Disease Control and Prevention. Hepatitis A vaccine administration [Internet]. Atlanta (GA): CDC; 2025 Jan 31 [cited 2025 Dec 18]. Available from: CDC website.</w:t>
      </w:r>
      <w:hyperlink r:id="rId104">
        <w:r w:rsidDel="00000000" w:rsidR="00000000" w:rsidRPr="00000000">
          <w:rPr>
            <w:rtl w:val="0"/>
          </w:rPr>
          <w:t xml:space="preserve"> </w:t>
        </w:r>
      </w:hyperlink>
      <w:hyperlink r:id="rId105">
        <w:r w:rsidDel="00000000" w:rsidR="00000000" w:rsidRPr="00000000">
          <w:rPr>
            <w:color w:val="1155cc"/>
            <w:u w:val="single"/>
            <w:rtl w:val="0"/>
          </w:rPr>
          <w:t xml:space="preserve">CDC</w:t>
          <w:br w:type="textWrapping"/>
        </w:r>
      </w:hyperlink>
      <w:r w:rsidDel="00000000" w:rsidR="00000000" w:rsidRPr="00000000">
        <w:rPr>
          <w:rtl w:val="0"/>
        </w:rPr>
      </w:r>
    </w:p>
    <w:p w:rsidR="00000000" w:rsidDel="00000000" w:rsidP="00000000" w:rsidRDefault="00000000" w:rsidRPr="00000000" w14:paraId="0000012E">
      <w:pPr>
        <w:numPr>
          <w:ilvl w:val="0"/>
          <w:numId w:val="7"/>
        </w:numPr>
        <w:spacing w:after="0" w:afterAutospacing="0" w:before="0" w:beforeAutospacing="0" w:lineRule="auto"/>
        <w:ind w:left="720" w:hanging="360"/>
      </w:pPr>
      <w:r w:rsidDel="00000000" w:rsidR="00000000" w:rsidRPr="00000000">
        <w:rPr>
          <w:rtl w:val="0"/>
        </w:rPr>
        <w:t xml:space="preserve">Rao MIS, Kasi SG, Dhir SK, Wadhwa A, Rajsekhar B, Kumar CM, et al. Indian Academy of Pediatrics (IAP) Advisory Committee on Vaccines and Immunization Practices (ACVIP): Recommended Immunization Schedule (2023) and update on immunization for children aged 0 through 18 years. Indian Pediatr. 2024 Jan 15. (E-pub ahead of print).</w:t>
      </w:r>
      <w:hyperlink r:id="rId106">
        <w:r w:rsidDel="00000000" w:rsidR="00000000" w:rsidRPr="00000000">
          <w:rPr>
            <w:rtl w:val="0"/>
          </w:rPr>
          <w:t xml:space="preserve"> </w:t>
        </w:r>
      </w:hyperlink>
      <w:hyperlink r:id="rId107">
        <w:r w:rsidDel="00000000" w:rsidR="00000000" w:rsidRPr="00000000">
          <w:rPr>
            <w:color w:val="1155cc"/>
            <w:u w:val="single"/>
            <w:rtl w:val="0"/>
          </w:rPr>
          <w:t xml:space="preserve">Indian Pediatrics</w:t>
          <w:br w:type="textWrapping"/>
        </w:r>
      </w:hyperlink>
      <w:r w:rsidDel="00000000" w:rsidR="00000000" w:rsidRPr="00000000">
        <w:rPr>
          <w:rtl w:val="0"/>
        </w:rPr>
      </w:r>
    </w:p>
    <w:p w:rsidR="00000000" w:rsidDel="00000000" w:rsidP="00000000" w:rsidRDefault="00000000" w:rsidRPr="00000000" w14:paraId="0000012F">
      <w:pPr>
        <w:numPr>
          <w:ilvl w:val="0"/>
          <w:numId w:val="7"/>
        </w:numPr>
        <w:spacing w:after="240" w:before="0" w:beforeAutospacing="0" w:lineRule="auto"/>
        <w:ind w:left="720" w:hanging="360"/>
      </w:pPr>
      <w:r w:rsidDel="00000000" w:rsidR="00000000" w:rsidRPr="00000000">
        <w:rPr>
          <w:rtl w:val="0"/>
        </w:rPr>
        <w:t xml:space="preserve">Centers for Disease Control and Prevention. Hepatitis A outbreaks linked to person-to-person contact [Internet]. Atlanta (GA): CDC; 2024 Apr 30 [cited 2025 Dec 18]. Available from: CDC website.</w:t>
      </w:r>
      <w:hyperlink r:id="rId108">
        <w:r w:rsidDel="00000000" w:rsidR="00000000" w:rsidRPr="00000000">
          <w:rPr>
            <w:rtl w:val="0"/>
          </w:rPr>
          <w:t xml:space="preserve"> </w:t>
        </w:r>
      </w:hyperlink>
      <w:hyperlink r:id="rId109">
        <w:r w:rsidDel="00000000" w:rsidR="00000000" w:rsidRPr="00000000">
          <w:rPr>
            <w:color w:val="1155cc"/>
            <w:u w:val="single"/>
            <w:rtl w:val="0"/>
          </w:rPr>
          <w:t xml:space="preserve">CDC</w:t>
        </w:r>
      </w:hyperlink>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spacing w:after="240" w:before="240" w:lineRule="auto"/>
        <w:ind w:left="720" w:firstLine="0"/>
        <w:rPr>
          <w:b w:val="1"/>
          <w:bCs w:val="1"/>
          <w:color w:val="1155cc"/>
          <w:u w:val="single"/>
        </w:rPr>
      </w:pPr>
      <w:r w:rsidDel="00000000" w:rsidR="00000000" w:rsidRPr="00000000">
        <w:rPr>
          <w:rtl w:val="0"/>
        </w:rPr>
      </w:r>
    </w:p>
    <w:p w:rsidR="00000000" w:rsidDel="00000000" w:rsidP="00000000" w:rsidRDefault="00000000" w:rsidRPr="00000000" w14:paraId="00000132">
      <w:pPr>
        <w:spacing w:after="240" w:before="240" w:lineRule="auto"/>
        <w:ind w:left="0" w:firstLine="0"/>
        <w:rPr>
          <w:color w:val="1155cc"/>
          <w:u w:val="single"/>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who.int/news-room/fact-sheets/detail/hepatitis-a?utm_source=chatgpt.com" TargetMode="External"/><Relationship Id="rId42" Type="http://schemas.openxmlformats.org/officeDocument/2006/relationships/hyperlink" Target="https://pubmed.ncbi.nlm.nih.gov/31679118/?utm_source=chatgpt.com" TargetMode="External"/><Relationship Id="rId41" Type="http://schemas.openxmlformats.org/officeDocument/2006/relationships/hyperlink" Target="https://journals.lww.com/jgid/fulltext/2012/04030/prolonged_cholestasis_following_hepatitis_a_virus.12.aspx?utm_source=chatgpt.com" TargetMode="External"/><Relationship Id="rId44" Type="http://schemas.openxmlformats.org/officeDocument/2006/relationships/hyperlink" Target="https://indianpediatrics.net/epub012024/FTA-00592.pdf?utm_source=chatgpt.com" TargetMode="External"/><Relationship Id="rId43" Type="http://schemas.openxmlformats.org/officeDocument/2006/relationships/hyperlink" Target="https://www.cdc.gov/hepatitis-a/hcp/clinical-care/index.html?utm_source=chatgpt.com" TargetMode="External"/><Relationship Id="rId46" Type="http://schemas.openxmlformats.org/officeDocument/2006/relationships/hyperlink" Target="https://journals.lww.com/jgid/fulltext/2012/04030/prolonged_cholestasis_following_hepatitis_a_virus.12.aspx?utm_source=chatgpt.com" TargetMode="External"/><Relationship Id="rId45" Type="http://schemas.openxmlformats.org/officeDocument/2006/relationships/hyperlink" Target="https://www.who.int/news-room/fact-sheets/detail/hepatitis-a?utm_source=chatgpt.com" TargetMode="External"/><Relationship Id="rId107" Type="http://schemas.openxmlformats.org/officeDocument/2006/relationships/hyperlink" Target="https://indianpediatrics.net/epub012024/FTA-00592.pdf" TargetMode="External"/><Relationship Id="rId106" Type="http://schemas.openxmlformats.org/officeDocument/2006/relationships/hyperlink" Target="https://indianpediatrics.net/epub012024/FTA-00592.pdf" TargetMode="External"/><Relationship Id="rId105" Type="http://schemas.openxmlformats.org/officeDocument/2006/relationships/hyperlink" Target="https://www.cdc.gov/hepatitis-a/hcp/vaccine-administration/index.html?utm_source=chatgpt.com" TargetMode="External"/><Relationship Id="rId104" Type="http://schemas.openxmlformats.org/officeDocument/2006/relationships/hyperlink" Target="https://www.cdc.gov/hepatitis-a/hcp/vaccine-administration/index.html?utm_source=chatgpt.com" TargetMode="External"/><Relationship Id="rId109" Type="http://schemas.openxmlformats.org/officeDocument/2006/relationships/hyperlink" Target="https://www.cdc.gov/hepatitis-a/outbreaks/person-to-person/index.html?utm_source=chatgpt.com" TargetMode="External"/><Relationship Id="rId108" Type="http://schemas.openxmlformats.org/officeDocument/2006/relationships/hyperlink" Target="https://www.cdc.gov/hepatitis-a/outbreaks/person-to-person/index.html?utm_source=chatgpt.com" TargetMode="External"/><Relationship Id="rId48" Type="http://schemas.openxmlformats.org/officeDocument/2006/relationships/hyperlink" Target="https://www.unicef.org/press-releases/covid-19-pandemic-leads-major-backsliding-childhood-vaccinations-new-who-unicef-data?utm_source=chatgpt.com" TargetMode="External"/><Relationship Id="rId47" Type="http://schemas.openxmlformats.org/officeDocument/2006/relationships/hyperlink" Target="https://pubmed.ncbi.nlm.nih.gov/37237568/?utm_source=chatgpt.com" TargetMode="External"/><Relationship Id="rId49" Type="http://schemas.openxmlformats.org/officeDocument/2006/relationships/hyperlink" Target="https://indianpediatrics.net/epub012024/FTA-00592.pdf?utm_source=chatgpt.com" TargetMode="External"/><Relationship Id="rId103" Type="http://schemas.openxmlformats.org/officeDocument/2006/relationships/hyperlink" Target="https://www.cdc.gov/hepatitis-a/hcp/clinical-care/index.html?utm_source=chatgpt.com" TargetMode="External"/><Relationship Id="rId102" Type="http://schemas.openxmlformats.org/officeDocument/2006/relationships/hyperlink" Target="https://www.cdc.gov/hepatitis-a/hcp/clinical-care/index.html?utm_source=chatgpt.com" TargetMode="External"/><Relationship Id="rId101" Type="http://schemas.openxmlformats.org/officeDocument/2006/relationships/hyperlink" Target="https://www.cdc.gov/mmwr/volumes/67/wr/mm6743a5.htm?utm_source=chatgpt.com" TargetMode="External"/><Relationship Id="rId100" Type="http://schemas.openxmlformats.org/officeDocument/2006/relationships/hyperlink" Target="https://www.cdc.gov/mmwr/volumes/67/wr/mm6743a5.htm?utm_source=chatgpt.com" TargetMode="External"/><Relationship Id="rId31" Type="http://schemas.openxmlformats.org/officeDocument/2006/relationships/hyperlink" Target="https://indianpediatrics.net/epub012024/FTA-00592.pdf" TargetMode="External"/><Relationship Id="rId30" Type="http://schemas.openxmlformats.org/officeDocument/2006/relationships/hyperlink" Target="https://indianpediatrics.net/epub012024/FTA-00592.pdf" TargetMode="External"/><Relationship Id="rId33" Type="http://schemas.openxmlformats.org/officeDocument/2006/relationships/hyperlink" Target="https://indianpediatrics.net/epub012024/FTA-00592.pdf?utm_source=chatgpt.com" TargetMode="External"/><Relationship Id="rId32" Type="http://schemas.openxmlformats.org/officeDocument/2006/relationships/hyperlink" Target="https://www.unicef.org/press-releases/covid-19-pandemic-leads-major-backsliding-childhood-vaccinations-new-who-unicef-data?utm_source=chatgpt.com" TargetMode="External"/><Relationship Id="rId35" Type="http://schemas.openxmlformats.org/officeDocument/2006/relationships/hyperlink" Target="https://journals.lww.com/jgid/fulltext/2012/04030/prolonged_cholestasis_following_hepatitis_a_virus.12.aspx?utm_source=chatgpt.com" TargetMode="External"/><Relationship Id="rId34" Type="http://schemas.openxmlformats.org/officeDocument/2006/relationships/hyperlink" Target="https://www.who.int/news-room/fact-sheets/detail/hepatitis-a?utm_source=chatgpt.com" TargetMode="External"/><Relationship Id="rId37" Type="http://schemas.openxmlformats.org/officeDocument/2006/relationships/hyperlink" Target="https://www.cdc.gov/hepatitis-a/hcp/clinical-care/index.html?utm_source=chatgpt.com" TargetMode="External"/><Relationship Id="rId36" Type="http://schemas.openxmlformats.org/officeDocument/2006/relationships/hyperlink" Target="https://www.cdc.gov/hepatitis-a/hcp/clinical-care/index.html?utm_source=chatgpt.com" TargetMode="External"/><Relationship Id="rId39" Type="http://schemas.openxmlformats.org/officeDocument/2006/relationships/hyperlink" Target="https://pubmed.ncbi.nlm.nih.gov/37237568/?utm_source=chatgpt.com" TargetMode="External"/><Relationship Id="rId38" Type="http://schemas.openxmlformats.org/officeDocument/2006/relationships/hyperlink" Target="https://pubmed.ncbi.nlm.nih.gov/37237568/?utm_source=chatgpt.com" TargetMode="External"/><Relationship Id="rId20" Type="http://schemas.openxmlformats.org/officeDocument/2006/relationships/hyperlink" Target="https://www.who.int/news-room/fact-sheets/detail/hepatitis-a?utm_source=chatgpt.com" TargetMode="External"/><Relationship Id="rId22" Type="http://schemas.openxmlformats.org/officeDocument/2006/relationships/hyperlink" Target="https://www.unicef.org/press-releases/covid-19-pandemic-leads-major-backsliding-childhood-vaccinations-new-who-unicef-data?utm_source=chatgpt.com" TargetMode="External"/><Relationship Id="rId21" Type="http://schemas.openxmlformats.org/officeDocument/2006/relationships/hyperlink" Target="https://www.who.int/news-room/fact-sheets/detail/hepatitis-a?utm_source=chatgpt.com" TargetMode="External"/><Relationship Id="rId24" Type="http://schemas.openxmlformats.org/officeDocument/2006/relationships/hyperlink" Target="https://www.who.int/news/item/15-07-2022-covid-19-pandemic-fuels-largest-continued-backslide-in-vaccinations-in-three-decades?utm_source=chatgpt.com" TargetMode="External"/><Relationship Id="rId23" Type="http://schemas.openxmlformats.org/officeDocument/2006/relationships/hyperlink" Target="https://www.unicef.org/press-releases/covid-19-pandemic-leads-major-backsliding-childhood-vaccinations-new-who-unicef-data?utm_source=chatgpt.com" TargetMode="External"/><Relationship Id="rId26" Type="http://schemas.openxmlformats.org/officeDocument/2006/relationships/hyperlink" Target="https://www.who.int/news-room/fact-sheets/detail/hepatitis-a?utm_source=chatgpt.com" TargetMode="External"/><Relationship Id="rId25" Type="http://schemas.openxmlformats.org/officeDocument/2006/relationships/hyperlink" Target="https://www.who.int/news/item/15-07-2022-covid-19-pandemic-fuels-largest-continued-backslide-in-vaccinations-in-three-decades?utm_source=chatgpt.com" TargetMode="External"/><Relationship Id="rId28" Type="http://schemas.openxmlformats.org/officeDocument/2006/relationships/hyperlink" Target="https://www.cdc.gov/hepatitis-a/hcp/clinical-care/index.html?utm_source=chatgpt.com" TargetMode="External"/><Relationship Id="rId27" Type="http://schemas.openxmlformats.org/officeDocument/2006/relationships/hyperlink" Target="https://www.who.int/news-room/fact-sheets/detail/hepatitis-a?utm_source=chatgpt.com" TargetMode="External"/><Relationship Id="rId29" Type="http://schemas.openxmlformats.org/officeDocument/2006/relationships/hyperlink" Target="https://www.cdc.gov/hepatitis-a/hcp/clinical-care/index.html?utm_source=chatgpt.com" TargetMode="External"/><Relationship Id="rId95" Type="http://schemas.openxmlformats.org/officeDocument/2006/relationships/hyperlink" Target="https://www.who.int/news-room/fact-sheets/detail/hepatitis-a?utm_source=chatgpt.com" TargetMode="External"/><Relationship Id="rId94" Type="http://schemas.openxmlformats.org/officeDocument/2006/relationships/hyperlink" Target="https://www.who.int/news-room/fact-sheets/detail/hepatitis-a?utm_source=chatgpt.com" TargetMode="External"/><Relationship Id="rId97" Type="http://schemas.openxmlformats.org/officeDocument/2006/relationships/hyperlink" Target="https://www.cdc.gov/hepatitis-a/about/index.html?utm_source=chatgpt.com" TargetMode="External"/><Relationship Id="rId96" Type="http://schemas.openxmlformats.org/officeDocument/2006/relationships/hyperlink" Target="https://www.cdc.gov/hepatitis-a/about/index.html?utm_source=chatgpt.com" TargetMode="External"/><Relationship Id="rId11" Type="http://schemas.openxmlformats.org/officeDocument/2006/relationships/hyperlink" Target="https://www.unicef.org/press-releases/covid-19-pandemic-leads-major-backsliding-childhood-vaccinations-new-who-unicef-data?utm_source=chatgpt.com" TargetMode="External"/><Relationship Id="rId99" Type="http://schemas.openxmlformats.org/officeDocument/2006/relationships/hyperlink" Target="https://www.who.int/docs/default-source/immunization/demand/summary-of-sage-vaccinehesitancy-en.pdf?utm_source=chatgpt.com" TargetMode="External"/><Relationship Id="rId10" Type="http://schemas.openxmlformats.org/officeDocument/2006/relationships/hyperlink" Target="https://www.cdc.gov/hepatitis-a/hcp/clinical-care/index.html?utm_source=chatgpt.com" TargetMode="External"/><Relationship Id="rId98" Type="http://schemas.openxmlformats.org/officeDocument/2006/relationships/hyperlink" Target="https://www.who.int/docs/default-source/immunization/demand/summary-of-sage-vaccinehesitancy-en.pdf?utm_source=chatgpt.com" TargetMode="External"/><Relationship Id="rId13" Type="http://schemas.openxmlformats.org/officeDocument/2006/relationships/hyperlink" Target="https://pmc.ncbi.nlm.nih.gov/articles/PMC6856242/?utm_source=chatgpt.com" TargetMode="External"/><Relationship Id="rId12" Type="http://schemas.openxmlformats.org/officeDocument/2006/relationships/hyperlink" Target="https://indianpediatrics.net/epub012024/FTA-00592.pdf" TargetMode="External"/><Relationship Id="rId91" Type="http://schemas.openxmlformats.org/officeDocument/2006/relationships/hyperlink" Target="https://www.cdc.gov/mmwr/volumes/67/wr/mm6743a5.htm" TargetMode="External"/><Relationship Id="rId90" Type="http://schemas.openxmlformats.org/officeDocument/2006/relationships/hyperlink" Target="https://www.who.int/docs/default-source/immunization/demand/summary-of-sage-vaccinehesitancy-en.pdf" TargetMode="External"/><Relationship Id="rId93" Type="http://schemas.openxmlformats.org/officeDocument/2006/relationships/hyperlink" Target="https://www.cdc.gov/hepatitis-a/hcp/vaccine-administration/index.html?utm_source=chatgpt.com" TargetMode="External"/><Relationship Id="rId92" Type="http://schemas.openxmlformats.org/officeDocument/2006/relationships/hyperlink" Target="https://www.cdc.gov/mmwr/volumes/67/wr/mm6743a5.htm" TargetMode="External"/><Relationship Id="rId15" Type="http://schemas.openxmlformats.org/officeDocument/2006/relationships/hyperlink" Target="https://www.who.int/news-room/fact-sheets/detail/hepatitis-a?utm_source=chatgpt.com" TargetMode="External"/><Relationship Id="rId14" Type="http://schemas.openxmlformats.org/officeDocument/2006/relationships/hyperlink" Target="https://www.who.int/news-room/fact-sheets/detail/hepatitis-a?utm_source=chatgpt.com" TargetMode="External"/><Relationship Id="rId17" Type="http://schemas.openxmlformats.org/officeDocument/2006/relationships/hyperlink" Target="https://www.unicef.org/press-releases/covid-19-pandemic-leads-major-backsliding-childhood-vaccinations-new-who-unicef-data?utm_source=chatgpt.com" TargetMode="External"/><Relationship Id="rId16" Type="http://schemas.openxmlformats.org/officeDocument/2006/relationships/hyperlink" Target="https://www.unicef.org/press-releases/covid-19-pandemic-leads-major-backsliding-childhood-vaccinations-new-who-unicef-data?utm_source=chatgpt.com" TargetMode="External"/><Relationship Id="rId19" Type="http://schemas.openxmlformats.org/officeDocument/2006/relationships/hyperlink" Target="https://indianpediatrics.net/epub012024/FTA-00592.pdf" TargetMode="External"/><Relationship Id="rId18" Type="http://schemas.openxmlformats.org/officeDocument/2006/relationships/hyperlink" Target="https://indianpediatrics.net/epub012024/FTA-00592.pdf" TargetMode="External"/><Relationship Id="rId84" Type="http://schemas.openxmlformats.org/officeDocument/2006/relationships/hyperlink" Target="https://www.cdc.gov/mmwr/volumes/67/wr/mm6743a5.htm" TargetMode="External"/><Relationship Id="rId83" Type="http://schemas.openxmlformats.org/officeDocument/2006/relationships/hyperlink" Target="https://www.cdc.gov/hepatitis-a/hcp/vaccine-administration/index.html?utm_source=chatgpt.com" TargetMode="External"/><Relationship Id="rId86" Type="http://schemas.openxmlformats.org/officeDocument/2006/relationships/hyperlink" Target="https://indianpediatrics.net/epub012024/FTA-00592.pdf" TargetMode="External"/><Relationship Id="rId85" Type="http://schemas.openxmlformats.org/officeDocument/2006/relationships/hyperlink" Target="https://www.cdc.gov/mmwr/volumes/67/wr/mm6743a5.htm" TargetMode="External"/><Relationship Id="rId88" Type="http://schemas.openxmlformats.org/officeDocument/2006/relationships/hyperlink" Target="https://www.who.int/news-room/fact-sheets/detail/hepatitis-a?utm_source=chatgpt.com" TargetMode="External"/><Relationship Id="rId87" Type="http://schemas.openxmlformats.org/officeDocument/2006/relationships/hyperlink" Target="https://www.who.int/news-room/fact-sheets/detail/hepatitis-a?utm_source=chatgpt.com" TargetMode="External"/><Relationship Id="rId89" Type="http://schemas.openxmlformats.org/officeDocument/2006/relationships/hyperlink" Target="https://www.who.int/docs/default-source/immunization/demand/summary-of-sage-vaccinehesitancy-en.pdf" TargetMode="External"/><Relationship Id="rId80" Type="http://schemas.openxmlformats.org/officeDocument/2006/relationships/hyperlink" Target="https://www.cdc.gov/mmwr/volumes/67/wr/mm6743a5.htm" TargetMode="External"/><Relationship Id="rId82" Type="http://schemas.openxmlformats.org/officeDocument/2006/relationships/hyperlink" Target="https://www.cdc.gov/hepatitis-a/hcp/vaccine-administration/index.html?utm_source=chatgpt.com" TargetMode="External"/><Relationship Id="rId81" Type="http://schemas.openxmlformats.org/officeDocument/2006/relationships/hyperlink" Target="https://www.who.int/news-room/fact-sheets/detail/hepatitis-a?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ho.int/news-room/fact-sheets/detail/hepatitis-a?utm_source=chatgpt.com" TargetMode="External"/><Relationship Id="rId5" Type="http://schemas.openxmlformats.org/officeDocument/2006/relationships/styles" Target="styles.xml"/><Relationship Id="rId6" Type="http://schemas.openxmlformats.org/officeDocument/2006/relationships/hyperlink" Target="https://www.unicef.org/press-releases/covid-19-pandemic-leads-major-backsliding-childhood-vaccinations-new-who-unicef-data?utm_source=chatgpt.com" TargetMode="External"/><Relationship Id="rId7" Type="http://schemas.openxmlformats.org/officeDocument/2006/relationships/hyperlink" Target="https://www.who.int/news-room/fact-sheets/detail/hepatitis-a?utm_source=chatgpt.com" TargetMode="External"/><Relationship Id="rId8" Type="http://schemas.openxmlformats.org/officeDocument/2006/relationships/hyperlink" Target="https://www.who.int/news-room/fact-sheets/detail/hepatitis-a?utm_source=chatgpt.com" TargetMode="External"/><Relationship Id="rId73" Type="http://schemas.openxmlformats.org/officeDocument/2006/relationships/hyperlink" Target="https://www.who.int/docs/default-source/immunization/demand/summary-of-sage-vaccinehesitancy-en.pdf" TargetMode="External"/><Relationship Id="rId72" Type="http://schemas.openxmlformats.org/officeDocument/2006/relationships/hyperlink" Target="https://www.who.int/news-room/fact-sheets/detail/hepatitis-a?utm_source=chatgpt.com" TargetMode="External"/><Relationship Id="rId75" Type="http://schemas.openxmlformats.org/officeDocument/2006/relationships/hyperlink" Target="https://www.who.int/news-room/fact-sheets/detail/hepatitis-a?utm_source=chatgpt.com" TargetMode="External"/><Relationship Id="rId74" Type="http://schemas.openxmlformats.org/officeDocument/2006/relationships/hyperlink" Target="https://www.cdc.gov/hepatitis-a/about/index.html?utm_source=chatgpt.com" TargetMode="External"/><Relationship Id="rId77" Type="http://schemas.openxmlformats.org/officeDocument/2006/relationships/hyperlink" Target="https://www.cdc.gov/mmwr/volumes/67/wr/mm6743a5.htm" TargetMode="External"/><Relationship Id="rId76" Type="http://schemas.openxmlformats.org/officeDocument/2006/relationships/hyperlink" Target="https://www.cdc.gov/hepatitis-a/about/index.html?utm_source=chatgpt.com" TargetMode="External"/><Relationship Id="rId79" Type="http://schemas.openxmlformats.org/officeDocument/2006/relationships/hyperlink" Target="https://www.cdc.gov/mmwr/volumes/67/wr/mm6743a5.htm" TargetMode="External"/><Relationship Id="rId78" Type="http://schemas.openxmlformats.org/officeDocument/2006/relationships/hyperlink" Target="https://www.cdc.gov/mmwr/volumes/67/wr/mm6743a5.htm" TargetMode="External"/><Relationship Id="rId71" Type="http://schemas.openxmlformats.org/officeDocument/2006/relationships/hyperlink" Target="https://www.cdc.gov/hepatitis-a/hcp/vaccine-administration/index.html?utm_source=chatgpt.com" TargetMode="External"/><Relationship Id="rId70" Type="http://schemas.openxmlformats.org/officeDocument/2006/relationships/hyperlink" Target="https://www.cdc.gov/hepatitis-a/hcp/vaccine-administration/index.html?utm_source=chatgpt.com" TargetMode="External"/><Relationship Id="rId62" Type="http://schemas.openxmlformats.org/officeDocument/2006/relationships/hyperlink" Target="https://pubmed.ncbi.nlm.nih.gov/37237568/?utm_source=chatgpt.com" TargetMode="External"/><Relationship Id="rId61" Type="http://schemas.openxmlformats.org/officeDocument/2006/relationships/hyperlink" Target="https://pubmed.ncbi.nlm.nih.gov/31679118/?utm_source=chatgpt.com" TargetMode="External"/><Relationship Id="rId64" Type="http://schemas.openxmlformats.org/officeDocument/2006/relationships/hyperlink" Target="https://pubmed.ncbi.nlm.nih.gov/17519457/?utm_source=chatgpt.com" TargetMode="External"/><Relationship Id="rId63" Type="http://schemas.openxmlformats.org/officeDocument/2006/relationships/hyperlink" Target="https://pubmed.ncbi.nlm.nih.gov/37237568/?utm_source=chatgpt.com" TargetMode="External"/><Relationship Id="rId66" Type="http://schemas.openxmlformats.org/officeDocument/2006/relationships/hyperlink" Target="https://journals.lww.com/jgid/fulltext/2012/04030/prolonged_cholestasis_following_hepatitis_a_virus.12.aspx?utm_source=chatgpt.com" TargetMode="External"/><Relationship Id="rId65" Type="http://schemas.openxmlformats.org/officeDocument/2006/relationships/hyperlink" Target="https://pubmed.ncbi.nlm.nih.gov/17519457/?utm_source=chatgpt.com" TargetMode="External"/><Relationship Id="rId68" Type="http://schemas.openxmlformats.org/officeDocument/2006/relationships/hyperlink" Target="https://pubmed.ncbi.nlm.nih.gov/37273301/?utm_source=chatgpt.com" TargetMode="External"/><Relationship Id="rId67" Type="http://schemas.openxmlformats.org/officeDocument/2006/relationships/hyperlink" Target="https://journals.lww.com/jgid/fulltext/2012/04030/prolonged_cholestasis_following_hepatitis_a_virus.12.aspx?utm_source=chatgpt.com" TargetMode="External"/><Relationship Id="rId60" Type="http://schemas.openxmlformats.org/officeDocument/2006/relationships/hyperlink" Target="https://pubmed.ncbi.nlm.nih.gov/31679118/?utm_source=chatgpt.com" TargetMode="External"/><Relationship Id="rId69" Type="http://schemas.openxmlformats.org/officeDocument/2006/relationships/hyperlink" Target="https://pubmed.ncbi.nlm.nih.gov/37273301/?utm_source=chatgpt.com" TargetMode="External"/><Relationship Id="rId51" Type="http://schemas.openxmlformats.org/officeDocument/2006/relationships/hyperlink" Target="https://www.unicef.org/press-releases/covid-19-pandemic-leads-major-backsliding-childhood-vaccinations-new-who-unicef-data?utm_source=chatgpt.com" TargetMode="External"/><Relationship Id="rId50" Type="http://schemas.openxmlformats.org/officeDocument/2006/relationships/hyperlink" Target="https://www.unicef.org/press-releases/covid-19-pandemic-leads-major-backsliding-childhood-vaccinations-new-who-unicef-data?utm_source=chatgpt.com" TargetMode="External"/><Relationship Id="rId53" Type="http://schemas.openxmlformats.org/officeDocument/2006/relationships/hyperlink" Target="https://www.who.int/news/item/15-07-2022-covid-19-pandemic-fuels-largest-continued-backslide-in-vaccinations-in-three-decades?utm_source=chatgpt.com" TargetMode="External"/><Relationship Id="rId52" Type="http://schemas.openxmlformats.org/officeDocument/2006/relationships/hyperlink" Target="https://www.who.int/news/item/15-07-2022-covid-19-pandemic-fuels-largest-continued-backslide-in-vaccinations-in-three-decades?utm_source=chatgpt.com" TargetMode="External"/><Relationship Id="rId55" Type="http://schemas.openxmlformats.org/officeDocument/2006/relationships/hyperlink" Target="https://www.who.int/news-room/fact-sheets/detail/hepatitis-a?utm_source=chatgpt.com" TargetMode="External"/><Relationship Id="rId54" Type="http://schemas.openxmlformats.org/officeDocument/2006/relationships/hyperlink" Target="https://www.who.int/news-room/fact-sheets/detail/hepatitis-a?utm_source=chatgpt.com" TargetMode="External"/><Relationship Id="rId57" Type="http://schemas.openxmlformats.org/officeDocument/2006/relationships/hyperlink" Target="https://www.cdc.gov/hepatitis-a/hcp/clinical-care/index.html?utm_source=chatgpt.com" TargetMode="External"/><Relationship Id="rId56" Type="http://schemas.openxmlformats.org/officeDocument/2006/relationships/hyperlink" Target="https://www.cdc.gov/hepatitis-a/hcp/clinical-care/index.html?utm_source=chatgpt.com" TargetMode="External"/><Relationship Id="rId59" Type="http://schemas.openxmlformats.org/officeDocument/2006/relationships/hyperlink" Target="https://indianpediatrics.net/epub012024/FTA-00592.pdf?utm_source=chatgpt.com" TargetMode="External"/><Relationship Id="rId58" Type="http://schemas.openxmlformats.org/officeDocument/2006/relationships/hyperlink" Target="https://indianpediatrics.net/epub012024/FTA-00592.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