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C987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D18F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88885BF">
      <w:pPr>
        <w:jc w:val="center"/>
        <w:rPr>
          <w:b/>
          <w:bCs/>
          <w:sz w:val="34"/>
          <w:szCs w:val="34"/>
        </w:rPr>
      </w:pPr>
    </w:p>
    <w:p w14:paraId="687FCB46">
      <w:pPr>
        <w:jc w:val="center"/>
        <w:rPr>
          <w:b/>
          <w:bCs/>
          <w:sz w:val="34"/>
          <w:szCs w:val="34"/>
        </w:rPr>
      </w:pPr>
    </w:p>
    <w:p w14:paraId="09A622E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COMPUTER NETWORKS</w:t>
      </w:r>
    </w:p>
    <w:p w14:paraId="4596F0E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CSA07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4AA3E19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F9314E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1F9314E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C118538">
      <w:pPr>
        <w:rPr>
          <w:rFonts w:ascii="Arial" w:hAnsi="Arial" w:eastAsia="Arial" w:cs="Arial"/>
          <w:b/>
          <w:bCs/>
        </w:rPr>
      </w:pPr>
    </w:p>
    <w:p w14:paraId="17306D6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37E16A13">
      <w:pPr>
        <w:rPr>
          <w:rFonts w:ascii="Arial" w:hAnsi="Arial" w:eastAsia="Arial" w:cs="Arial"/>
          <w:b/>
          <w:bCs/>
        </w:rPr>
      </w:pPr>
    </w:p>
    <w:p w14:paraId="5DAF1F16">
      <w:pPr>
        <w:jc w:val="both"/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hAnsi="Arial" w:eastAsia="Arial" w:cs="Arial"/>
          <w:i/>
          <w:iCs/>
          <w:color w:val="000000"/>
        </w:rPr>
        <w:t>.</w:t>
      </w:r>
      <w:r>
        <w:rPr>
          <w:rFonts w:ascii="Arial" w:hAnsi="Arial" w:eastAsia="Arial" w:cs="Arial"/>
          <w:i/>
          <w:iCs/>
          <w:color w:val="000000"/>
          <w:sz w:val="20"/>
          <w:szCs w:val="20"/>
        </w:rPr>
        <w:t xml:space="preserve"> (BL3)</w:t>
      </w:r>
    </w:p>
    <w:p w14:paraId="22487413">
      <w:pPr>
        <w:rPr>
          <w:rFonts w:ascii="Arial" w:hAnsi="Arial" w:eastAsia="Arial" w:cs="Arial"/>
          <w:i/>
          <w:iCs/>
        </w:rPr>
      </w:pPr>
    </w:p>
    <w:p w14:paraId="5099B1A7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30%</w:t>
      </w:r>
    </w:p>
    <w:p w14:paraId="334128B6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7C28F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xGOhM7AgAAiw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C7C28F3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5C3AE2C">
      <w:pPr>
        <w:rPr>
          <w:rFonts w:ascii="Arial" w:hAnsi="Arial" w:eastAsia="Arial" w:cs="Arial"/>
        </w:rPr>
      </w:pPr>
    </w:p>
    <w:p w14:paraId="26C5E3A8">
      <w:pPr>
        <w:rPr>
          <w:i/>
          <w:iCs/>
        </w:rPr>
      </w:pPr>
      <w:r>
        <w:rPr>
          <w:i/>
          <w:iCs/>
        </w:rPr>
        <w:t>Code of Conduct:</w:t>
      </w:r>
    </w:p>
    <w:p w14:paraId="10BB6AFE">
      <w:pPr>
        <w:rPr>
          <w:i/>
          <w:iCs/>
        </w:rPr>
      </w:pPr>
    </w:p>
    <w:p w14:paraId="01044647">
      <w:pPr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i/>
          <w:iCs/>
          <w:lang w:val="en-IN"/>
        </w:rPr>
        <w:t>Aravind M</w:t>
      </w:r>
      <w:r>
        <w:rPr>
          <w:i/>
          <w:iCs/>
        </w:rPr>
        <w:t xml:space="preserve"> (1972260084) certify that this submission is my original work and that I have adhered to the guidelines specified for this assessment.</w:t>
      </w:r>
    </w:p>
    <w:p w14:paraId="1C08C785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7DAF5DD">
      <w:pPr>
        <w:rPr>
          <w:i/>
          <w:iCs/>
        </w:rPr>
      </w:pPr>
    </w:p>
    <w:p w14:paraId="4616D545">
      <w:pPr>
        <w:rPr>
          <w:rFonts w:hint="default"/>
          <w:i/>
          <w:iCs/>
          <w:lang w:val="en-IN"/>
        </w:rPr>
      </w:pPr>
      <w:r>
        <w:rPr>
          <w:i/>
          <w:iCs/>
        </w:rPr>
        <w:t>Signature of the student:</w:t>
      </w:r>
      <w:r>
        <w:rPr>
          <w:rFonts w:hint="default"/>
          <w:i/>
          <w:iCs/>
          <w:lang w:val="en-IN"/>
        </w:rPr>
        <w:t xml:space="preserve"> Aravind M</w:t>
      </w:r>
      <w:bookmarkStart w:id="0" w:name="_GoBack"/>
      <w:bookmarkEnd w:id="0"/>
    </w:p>
    <w:p w14:paraId="7500A02D">
      <w:pPr>
        <w:rPr>
          <w:i/>
          <w:iCs/>
        </w:rPr>
      </w:pPr>
    </w:p>
    <w:tbl>
      <w:tblPr>
        <w:tblStyle w:val="15"/>
        <w:tblW w:w="1053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755"/>
        <w:gridCol w:w="1755"/>
        <w:gridCol w:w="1756"/>
        <w:gridCol w:w="1756"/>
        <w:gridCol w:w="1756"/>
      </w:tblGrid>
      <w:tr w14:paraId="2A6F1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340DDA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127BC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0918E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5B16B4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111A67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CF552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Q4 10marks</w:t>
            </w:r>
          </w:p>
        </w:tc>
      </w:tr>
      <w:tr w14:paraId="3FADF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CF1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9FFE2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9FFC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9448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A573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5E3F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</w:tr>
      <w:tr w14:paraId="278FD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251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6E6F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9DFD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002E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0AE9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B37B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</w:tr>
      <w:tr w14:paraId="18C5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17D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82D5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72DD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886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386C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AF7F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</w:tr>
      <w:tr w14:paraId="04CE1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C58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1DE3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F017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B8AF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3EB0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10D5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</w:tr>
      <w:tr w14:paraId="08D39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7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304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A5B42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15AC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813C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ED87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60D4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Arial" w:hAnsi="Arial" w:eastAsia="Arial" w:cs="Arial"/>
                <w:color w:val="000000"/>
              </w:rPr>
            </w:pPr>
          </w:p>
        </w:tc>
      </w:tr>
    </w:tbl>
    <w:p w14:paraId="38ADD9F9">
      <w:pPr>
        <w:rPr>
          <w:i/>
          <w:iCs/>
        </w:rPr>
      </w:pPr>
    </w:p>
    <w:p w14:paraId="7FC521AC">
      <w:pPr>
        <w:ind w:left="2880" w:firstLine="720"/>
        <w:rPr>
          <w:rFonts w:ascii="Arial" w:hAnsi="Arial" w:eastAsia="Arial" w:cs="Arial"/>
        </w:rPr>
      </w:pPr>
    </w:p>
    <w:p w14:paraId="70EF974A">
      <w:pPr>
        <w:ind w:left="2880" w:firstLine="720"/>
        <w:rPr>
          <w:rFonts w:ascii="Arial" w:hAnsi="Arial" w:eastAsia="Arial" w:cs="Arial"/>
        </w:rPr>
      </w:pPr>
    </w:p>
    <w:p w14:paraId="3AC24B1F">
      <w:pPr>
        <w:ind w:left="2880" w:firstLine="720"/>
        <w:rPr>
          <w:rFonts w:ascii="Arial" w:hAnsi="Arial" w:eastAsia="Arial" w:cs="Arial"/>
        </w:rPr>
      </w:pPr>
    </w:p>
    <w:p w14:paraId="10577276">
      <w:pPr>
        <w:ind w:left="2880" w:firstLine="720"/>
        <w:rPr>
          <w:rFonts w:ascii="Arial" w:hAnsi="Arial" w:eastAsia="Arial" w:cs="Arial"/>
        </w:rPr>
      </w:pPr>
    </w:p>
    <w:p w14:paraId="67DB90A6">
      <w:pPr>
        <w:ind w:left="2880" w:firstLine="720"/>
        <w:rPr>
          <w:rFonts w:ascii="Arial" w:hAnsi="Arial" w:eastAsia="Arial" w:cs="Arial"/>
        </w:rPr>
      </w:pPr>
    </w:p>
    <w:p w14:paraId="2A91EB84">
      <w:pPr>
        <w:ind w:left="2880" w:firstLine="720"/>
        <w:rPr>
          <w:rFonts w:ascii="Arial" w:hAnsi="Arial" w:eastAsia="Arial" w:cs="Arial"/>
        </w:rPr>
      </w:pPr>
    </w:p>
    <w:p w14:paraId="44FA3719">
      <w:pPr>
        <w:ind w:left="2880" w:firstLine="720"/>
        <w:rPr>
          <w:rFonts w:ascii="Arial" w:hAnsi="Arial" w:eastAsia="Arial" w:cs="Arial"/>
        </w:rPr>
      </w:pPr>
    </w:p>
    <w:p w14:paraId="52421D21">
      <w:pPr>
        <w:ind w:left="2880" w:firstLine="720"/>
        <w:rPr>
          <w:rFonts w:ascii="Arial" w:hAnsi="Arial" w:eastAsia="Arial" w:cs="Arial"/>
        </w:rPr>
      </w:pPr>
    </w:p>
    <w:p w14:paraId="206434AB">
      <w:pPr>
        <w:ind w:left="2880" w:firstLine="720"/>
        <w:rPr>
          <w:rFonts w:ascii="Arial" w:hAnsi="Arial" w:eastAsia="Arial" w:cs="Arial"/>
        </w:rPr>
      </w:pPr>
    </w:p>
    <w:p w14:paraId="5FC89F5A">
      <w:pPr>
        <w:ind w:left="2880" w:firstLine="720"/>
        <w:rPr>
          <w:rFonts w:ascii="Arial" w:hAnsi="Arial" w:eastAsia="Arial" w:cs="Arial"/>
        </w:rPr>
      </w:pPr>
    </w:p>
    <w:p w14:paraId="34D33C87">
      <w:pPr>
        <w:ind w:left="2880" w:firstLine="720"/>
        <w:rPr>
          <w:rFonts w:ascii="Arial" w:hAnsi="Arial" w:eastAsia="Arial" w:cs="Arial"/>
        </w:rPr>
      </w:pPr>
    </w:p>
    <w:p w14:paraId="1EFDC8F2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0912A22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2AE3E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04E9D459">
      <w:pPr>
        <w:rPr>
          <w:i/>
          <w:iCs/>
        </w:rPr>
      </w:pPr>
    </w:p>
    <w:p w14:paraId="1984100F">
      <w:pPr>
        <w:rPr>
          <w:rFonts w:ascii="Arial" w:hAnsi="Arial" w:eastAsia="Arial" w:cs="Arial"/>
          <w:color w:val="000000"/>
        </w:rPr>
      </w:pPr>
    </w:p>
    <w:p w14:paraId="7A68CB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2166A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79199E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66EDFA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52B502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3C26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F8C1F3A">
      <w:pPr>
        <w:pStyle w:val="1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6D96ECDA">
      <w:pPr>
        <w:pStyle w:val="1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52095FE7">
      <w:pPr>
        <w:pStyle w:val="1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4CB112BC">
      <w:pPr>
        <w:pStyle w:val="1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14:paraId="40288C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AD0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7ED3F2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24024B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070A3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2D9636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76B52E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1FC9B7F1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18A264E8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2905CF48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5EEDBD12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14:paraId="617B33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3.A smart hospital is migrating its network infrastructure from IPv4 to IPv6 to support thousands of connected medical devices and IoT sensors. The hospital has been assigned the IPv6 network:</w:t>
      </w:r>
    </w:p>
    <w:p w14:paraId="4E627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2001:0db8:abcd:0000:0000:0000:0000:0000/64</w:t>
      </w:r>
    </w:p>
    <w:p w14:paraId="33D24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23FE5836">
      <w:pPr>
        <w:pStyle w:val="17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6F8AD573">
      <w:pPr>
        <w:pStyle w:val="17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3C2B81B5">
      <w:pPr>
        <w:pStyle w:val="17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6C1BCA01">
      <w:pPr>
        <w:pStyle w:val="17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01216C9F">
      <w:pPr>
        <w:pStyle w:val="17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 w14:paraId="7A50C4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984A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An Internet Service Provider (ISP) connects multiple customer networks through a core router. The router maintains the following routing table entries:</w:t>
      </w:r>
    </w:p>
    <w:p w14:paraId="78653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5D40A3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13DDC5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14:paraId="3DE2B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3DF60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23A66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41C54045">
      <w:pPr>
        <w:pStyle w:val="17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473F66F1">
      <w:pPr>
        <w:pStyle w:val="17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665CF727">
      <w:pPr>
        <w:pStyle w:val="17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17827793">
      <w:pPr>
        <w:pStyle w:val="17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033205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0FCF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9119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A company establishes two office departments connected through a Layer-3 router. The allocated subnet information is as follows:</w:t>
      </w:r>
    </w:p>
    <w:p w14:paraId="4381D1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LAN → </w:t>
      </w:r>
      <w:r>
        <w:rPr>
          <w:b/>
          <w:bCs/>
          <w:color w:val="000000"/>
          <w:sz w:val="28"/>
          <w:szCs w:val="28"/>
        </w:rPr>
        <w:t>192.168.10.0/26</w:t>
      </w:r>
      <w:r>
        <w:rPr>
          <w:color w:val="000000"/>
          <w:sz w:val="28"/>
          <w:szCs w:val="28"/>
        </w:rPr>
        <w:t xml:space="preserve"> </w:t>
      </w:r>
    </w:p>
    <w:p w14:paraId="6649AA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LAN → </w:t>
      </w:r>
      <w:r>
        <w:rPr>
          <w:b/>
          <w:bCs/>
          <w:color w:val="000000"/>
          <w:sz w:val="28"/>
          <w:szCs w:val="28"/>
        </w:rPr>
        <w:t>192.168.10.64/26</w:t>
      </w:r>
      <w:r>
        <w:rPr>
          <w:color w:val="000000"/>
          <w:sz w:val="28"/>
          <w:szCs w:val="28"/>
        </w:rPr>
        <w:t xml:space="preserve"> </w:t>
      </w:r>
    </w:p>
    <w:p w14:paraId="330CF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router interfaces are configured with:</w:t>
      </w:r>
    </w:p>
    <w:p w14:paraId="14B39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Gateway → </w:t>
      </w:r>
      <w:r>
        <w:rPr>
          <w:b/>
          <w:bCs/>
          <w:color w:val="000000"/>
          <w:sz w:val="28"/>
          <w:szCs w:val="28"/>
        </w:rPr>
        <w:t>192.168.10.1</w:t>
      </w:r>
      <w:r>
        <w:rPr>
          <w:color w:val="000000"/>
          <w:sz w:val="28"/>
          <w:szCs w:val="28"/>
        </w:rPr>
        <w:t xml:space="preserve"> </w:t>
      </w:r>
    </w:p>
    <w:p w14:paraId="48162A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Gateway → </w:t>
      </w:r>
      <w:r>
        <w:rPr>
          <w:b/>
          <w:bCs/>
          <w:color w:val="000000"/>
          <w:sz w:val="28"/>
          <w:szCs w:val="28"/>
        </w:rPr>
        <w:t>192.168.10.65</w:t>
      </w:r>
      <w:r>
        <w:rPr>
          <w:color w:val="000000"/>
          <w:sz w:val="28"/>
          <w:szCs w:val="28"/>
        </w:rPr>
        <w:t xml:space="preserve"> </w:t>
      </w:r>
    </w:p>
    <w:p w14:paraId="156F71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6F5B9ED8">
      <w:pPr>
        <w:pStyle w:val="17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LAN. </w:t>
      </w:r>
    </w:p>
    <w:p w14:paraId="28E9C3EC">
      <w:pPr>
        <w:pStyle w:val="17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host IP address range</w:t>
      </w:r>
      <w:r>
        <w:rPr>
          <w:color w:val="000000"/>
          <w:sz w:val="28"/>
          <w:szCs w:val="28"/>
        </w:rPr>
        <w:t xml:space="preserve">. </w:t>
      </w:r>
    </w:p>
    <w:p w14:paraId="2B0E0D87">
      <w:pPr>
        <w:pStyle w:val="17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Suggest suitable IP addresses for </w:t>
      </w:r>
      <w:r>
        <w:rPr>
          <w:b/>
          <w:bCs/>
          <w:color w:val="000000"/>
          <w:sz w:val="28"/>
          <w:szCs w:val="28"/>
        </w:rPr>
        <w:t>three computers</w:t>
      </w:r>
      <w:r>
        <w:rPr>
          <w:color w:val="000000"/>
          <w:sz w:val="28"/>
          <w:szCs w:val="28"/>
        </w:rPr>
        <w:t xml:space="preserve"> in each LAN. </w:t>
      </w:r>
    </w:p>
    <w:p w14:paraId="5529B0E2">
      <w:pPr>
        <w:pStyle w:val="17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default gateway</w:t>
      </w:r>
      <w:r>
        <w:rPr>
          <w:color w:val="000000"/>
          <w:sz w:val="28"/>
          <w:szCs w:val="28"/>
        </w:rPr>
        <w:t xml:space="preserve"> that hosts in each LAN should use for communication.</w:t>
      </w:r>
    </w:p>
    <w:p w14:paraId="3B73BA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1D2F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b/>
          <w:bCs/>
          <w:color w:val="000000"/>
        </w:rPr>
      </w:pPr>
    </w:p>
    <w:p w14:paraId="75BF92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5165B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474662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23B478A">
      <w:pPr>
        <w:ind w:left="1440" w:firstLine="720"/>
      </w:pPr>
    </w:p>
    <w:tbl>
      <w:tblPr>
        <w:tblStyle w:val="15"/>
        <w:tblW w:w="90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418"/>
        <w:gridCol w:w="1559"/>
        <w:gridCol w:w="1418"/>
        <w:gridCol w:w="1559"/>
        <w:gridCol w:w="1417"/>
      </w:tblGrid>
      <w:tr w14:paraId="602E8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9067" w:type="dxa"/>
            <w:gridSpan w:val="6"/>
          </w:tcPr>
          <w:p w14:paraId="673465B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14:paraId="1B3B4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696" w:type="dxa"/>
          </w:tcPr>
          <w:p w14:paraId="74B8CFE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710D1F0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1F6CDD8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2E7AAF7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33A9A5D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0E4C2BDC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5898E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696" w:type="dxa"/>
          </w:tcPr>
          <w:p w14:paraId="4C6B5F2F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4E2F6909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BDD6BBE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487B19F6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359FC637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4D83E945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14:paraId="27E94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696" w:type="dxa"/>
          </w:tcPr>
          <w:p w14:paraId="7DAB9069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39D00B73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D5405A1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1B68DCF0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20F0A8F3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4B8E29E0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14:paraId="1D59B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696" w:type="dxa"/>
          </w:tcPr>
          <w:p w14:paraId="3B6F6E65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3CEAFB86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DC00D90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6BD50488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661BD096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541DFC02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14:paraId="4CB7B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696" w:type="dxa"/>
          </w:tcPr>
          <w:p w14:paraId="16354A11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15671956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F43C3B2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55B75A21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609955A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68B3971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14:paraId="6A2B7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696" w:type="dxa"/>
          </w:tcPr>
          <w:p w14:paraId="4000B069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757C7EA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41332E5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F944273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65C605A6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78D3A34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1FD34EB8">
      <w:pPr>
        <w:rPr>
          <w:color w:val="000000"/>
        </w:rPr>
      </w:pPr>
    </w:p>
    <w:p w14:paraId="087FBC9E">
      <w:pPr>
        <w:jc w:val="center"/>
        <w:rPr>
          <w:b/>
          <w:bCs/>
          <w:sz w:val="34"/>
          <w:szCs w:val="34"/>
        </w:rPr>
      </w:pPr>
    </w:p>
    <w:p w14:paraId="2773AFB9">
      <w:pPr>
        <w:jc w:val="center"/>
        <w:rPr>
          <w:b/>
          <w:bCs/>
          <w:sz w:val="34"/>
          <w:szCs w:val="34"/>
        </w:rPr>
      </w:pPr>
    </w:p>
    <w:p w14:paraId="5549619C">
      <w:r>
        <w:br w:type="page"/>
      </w:r>
    </w:p>
    <w:p w14:paraId="241B66DF">
      <w:pPr>
        <w:jc w:val="center"/>
      </w:pPr>
      <w:r>
        <w:rPr>
          <w:b/>
          <w:sz w:val="28"/>
        </w:rPr>
        <w:t>ANSWERS – SCENARIO-BASED ASSESSMENT</w:t>
      </w:r>
    </w:p>
    <w:p w14:paraId="718AB0D1">
      <w:r>
        <w:rPr>
          <w:b/>
          <w:sz w:val="24"/>
        </w:rPr>
        <w:t>Question 1: Smart Campus Subnet Allocation</w:t>
      </w:r>
    </w:p>
    <w:p w14:paraId="3AE71393">
      <w:r>
        <w:t>Given network: 192.168.100.0/24. The subnets are allocated sequentially from the beginning of the address block.</w:t>
      </w:r>
    </w:p>
    <w:p w14:paraId="444AD8D2">
      <w:r>
        <w:t>1. School of Computing – 192.168.100.0/25</w:t>
      </w:r>
    </w:p>
    <w:p w14:paraId="56082DAB">
      <w:r>
        <w:t>Network address: 192.168.100.0</w:t>
      </w:r>
    </w:p>
    <w:p w14:paraId="7433C921">
      <w:r>
        <w:t>Broadcast address: 192.168.100.127</w:t>
      </w:r>
    </w:p>
    <w:p w14:paraId="57C459B8">
      <w:r>
        <w:t>Valid host range: 192.168.100.1 to 192.168.100.126</w:t>
      </w:r>
    </w:p>
    <w:p w14:paraId="541B5FFC">
      <w:r>
        <w:t>Usable hosts: 2^(32−25) − 2 = 128 − 2 = 126</w:t>
      </w:r>
    </w:p>
    <w:p w14:paraId="03193CCA">
      <w:r>
        <w:t>2. School of Electronics – 192.168.100.128/26</w:t>
      </w:r>
    </w:p>
    <w:p w14:paraId="6D637F6F">
      <w:r>
        <w:t>Network address: 192.168.100.128</w:t>
      </w:r>
    </w:p>
    <w:p w14:paraId="2172AF4A">
      <w:r>
        <w:t>Broadcast address: 192.168.100.191</w:t>
      </w:r>
    </w:p>
    <w:p w14:paraId="12590157">
      <w:r>
        <w:t>Valid host range: 192.168.100.129 to 192.168.100.190</w:t>
      </w:r>
    </w:p>
    <w:p w14:paraId="14C6102A">
      <w:r>
        <w:t>Usable hosts: 2^(32−26) − 2 = 64 − 2 = 62</w:t>
      </w:r>
    </w:p>
    <w:p w14:paraId="25CB8DD2">
      <w:r>
        <w:t>3. School of Mechanical Engineering – 192.168.100.192/27</w:t>
      </w:r>
    </w:p>
    <w:p w14:paraId="2D29103E">
      <w:r>
        <w:t>Network address: 192.168.100.192</w:t>
      </w:r>
    </w:p>
    <w:p w14:paraId="25A8D5CF">
      <w:r>
        <w:t>Broadcast address: 192.168.100.223</w:t>
      </w:r>
    </w:p>
    <w:p w14:paraId="5E6EFED0">
      <w:r>
        <w:t>Valid host range: 192.168.100.193 to 192.168.100.222</w:t>
      </w:r>
    </w:p>
    <w:p w14:paraId="2ADCB870">
      <w:r>
        <w:t>Usable hosts: 2^(32−27) − 2 = 32 − 2 = 30</w:t>
      </w:r>
    </w:p>
    <w:p w14:paraId="62233CEA">
      <w:r>
        <w:t>4. Remaining unused range: 192.168.100.224 to 192.168.100.255. This range contains 32 addresses (30 usable host addresses if treated as a /27 subnet).</w:t>
      </w:r>
    </w:p>
    <w:p w14:paraId="013BD798">
      <w:r>
        <w:rPr>
          <w:b/>
          <w:sz w:val="24"/>
        </w:rPr>
        <w:t>Question 2: Company Department Subnet Allocation</w:t>
      </w:r>
    </w:p>
    <w:p w14:paraId="465AEEBA">
      <w:r>
        <w:t>Given network block: 10.10.0.0/16. The subnets are allocated sequentially from the beginning of the block.</w:t>
      </w:r>
    </w:p>
    <w:p w14:paraId="0367B98D">
      <w:r>
        <w:t>1. Software Development – 10.10.0.0/24</w:t>
      </w:r>
    </w:p>
    <w:p w14:paraId="07E422B7">
      <w:r>
        <w:t>Network address: 10.10.0.0; broadcast address: 10.10.0.255</w:t>
      </w:r>
    </w:p>
    <w:p w14:paraId="053A62F0">
      <w:r>
        <w:t>Valid host range: 10.10.0.1 to 10.10.0.254</w:t>
      </w:r>
    </w:p>
    <w:p w14:paraId="73823036">
      <w:r>
        <w:t>Usable hosts: 2^(32−24) − 2 = 254</w:t>
      </w:r>
    </w:p>
    <w:p w14:paraId="4330543B">
      <w:r>
        <w:t>2. Quality Assurance – 10.10.1.0/25</w:t>
      </w:r>
    </w:p>
    <w:p w14:paraId="0AA2900D">
      <w:r>
        <w:t>Network address: 10.10.1.0; broadcast address: 10.10.1.127</w:t>
      </w:r>
    </w:p>
    <w:p w14:paraId="768A599C">
      <w:r>
        <w:t>Valid host range: 10.10.1.1 to 10.10.1.126</w:t>
      </w:r>
    </w:p>
    <w:p w14:paraId="32166B89">
      <w:r>
        <w:t>Usable hosts: 2^(32−25) − 2 = 126</w:t>
      </w:r>
    </w:p>
    <w:p w14:paraId="0F541289">
      <w:r>
        <w:t>3. Human Resources – 10.10.1.128/26</w:t>
      </w:r>
    </w:p>
    <w:p w14:paraId="478DE738">
      <w:r>
        <w:t>Network address: 10.10.1.128; broadcast address: 10.10.1.191</w:t>
      </w:r>
    </w:p>
    <w:p w14:paraId="27F954C2">
      <w:r>
        <w:t>Valid host range: 10.10.1.129 to 10.10.1.190</w:t>
      </w:r>
    </w:p>
    <w:p w14:paraId="19F85DF9">
      <w:r>
        <w:t>Usable hosts: 2^(32−26) − 2 = 62</w:t>
      </w:r>
    </w:p>
    <w:p w14:paraId="1D1672D1">
      <w:r>
        <w:t>4. Executive Management – 10.10.1.192/27</w:t>
      </w:r>
    </w:p>
    <w:p w14:paraId="276906A4">
      <w:r>
        <w:t>Network address: 10.10.1.192; broadcast address: 10.10.1.223</w:t>
      </w:r>
    </w:p>
    <w:p w14:paraId="1141DCA1">
      <w:r>
        <w:t>Valid host range: 10.10.1.193 to 10.10.1.222</w:t>
      </w:r>
    </w:p>
    <w:p w14:paraId="597AAF91">
      <w:r>
        <w:t>Usable hosts: 2^(32−27) − 2 = 30</w:t>
      </w:r>
    </w:p>
    <w:p w14:paraId="413C683C">
      <w:r>
        <w:t>Unused range in the original /16 block: 10.10.1.224 to 10.10.255.255. The four assigned subnets use 480 addresses in total; the remaining 65,056 addresses are unallocated.</w:t>
      </w:r>
    </w:p>
    <w:p w14:paraId="266FBFFC">
      <w:r>
        <w:rPr>
          <w:b/>
          <w:sz w:val="24"/>
        </w:rPr>
        <w:t>Question 3: IPv6 Addressing</w:t>
      </w:r>
    </w:p>
    <w:p w14:paraId="25115827">
      <w:r>
        <w:t>Given IPv6 network: 2001:0db8:abcd:0000:0000:0000:0000:0000/64</w:t>
      </w:r>
    </w:p>
    <w:p w14:paraId="1C321BE8">
      <w:r>
        <w:t>1. Compressed notation: 2001:db8:abcd::/64</w:t>
      </w:r>
    </w:p>
    <w:p w14:paraId="134F761F">
      <w:r>
        <w:t>2. Full hexadecimal representation: 2001:0db8:abcd:0000:0000:0000:0000:0000/64</w:t>
      </w:r>
    </w:p>
    <w:p w14:paraId="75442180">
      <w:r>
        <w:t>3. Network prefix: 2001:0db8:abcd:0000::/64. The first 64 bits (the first four hextets) identify the network prefix.</w:t>
      </w:r>
    </w:p>
    <w:p w14:paraId="70B2DD26">
      <w:r>
        <w:t>4–5. A /64 prefix leaves 64 bits for interface identifiers. Therefore, the subnet contains 2^64 = 18,446,744,073,709,551,616 possible interface addresses. IPv6 does not use the IPv4-style network and broadcast address subtraction; the exact number of addresses available for host/interface assignment can depend on network practices.</w:t>
      </w:r>
    </w:p>
    <w:p w14:paraId="4A1A817C">
      <w:r>
        <w:rPr>
          <w:b/>
          <w:sz w:val="24"/>
        </w:rPr>
        <w:t>Question 4: Routing Table and Packet Forwarding</w:t>
      </w:r>
    </w:p>
    <w:p w14:paraId="0F1852D5">
      <w:r>
        <w:t>Destination IP address: 192.168.2.45</w:t>
      </w:r>
    </w:p>
    <w:p w14:paraId="4F5D75E1">
      <w:r>
        <w:t>1. Destination subnet: 192.168.2.0/24, because the first 24 bits match that subnet.</w:t>
      </w:r>
    </w:p>
    <w:p w14:paraId="1CA18C81">
      <w:r>
        <w:t>2. Matching routing table entry: 192.168.2.0/24.</w:t>
      </w:r>
    </w:p>
    <w:p w14:paraId="2CDBB92C">
      <w:r>
        <w:t>3. The router forwards the packet through the interface associated with the 192.168.2.0/24 route, or to that route's configured next hop. The question does not provide interface names or next-hop IP addresses, so a specific interface/IP cannot be determined from the given information.</w:t>
      </w:r>
    </w:p>
    <w:p w14:paraId="158110C9">
      <w:r>
        <w:t>4. If no specific routing-table entry matches the destination, the router uses the default route 0.0.0.0/0 if one is configured. If no default route exists, the packet is normally dropped.</w:t>
      </w:r>
    </w:p>
    <w:p w14:paraId="07DC5928">
      <w:r>
        <w:rPr>
          <w:b/>
          <w:sz w:val="24"/>
        </w:rPr>
        <w:t>Question 5: Administration and Finance LANs</w:t>
      </w:r>
    </w:p>
    <w:p w14:paraId="2DED1146">
      <w:r>
        <w:t>1. Administration LAN – 192.168.10.0/26</w:t>
      </w:r>
    </w:p>
    <w:p w14:paraId="6C4733D8">
      <w:r>
        <w:t>Network address: 192.168.10.0</w:t>
      </w:r>
    </w:p>
    <w:p w14:paraId="406F0EB9">
      <w:r>
        <w:t>Broadcast address: 192.168.10.63</w:t>
      </w:r>
    </w:p>
    <w:p w14:paraId="1E64CC2C">
      <w:r>
        <w:t>Valid host range: 192.168.10.1 to 192.168.10.62</w:t>
      </w:r>
    </w:p>
    <w:p w14:paraId="67764D11">
      <w:r>
        <w:t>2. Finance LAN – 192.168.10.64/26</w:t>
      </w:r>
    </w:p>
    <w:p w14:paraId="055E72E9">
      <w:r>
        <w:t>Network address: 192.168.10.64</w:t>
      </w:r>
    </w:p>
    <w:p w14:paraId="1AED2098">
      <w:r>
        <w:t>Broadcast address: 192.168.10.127</w:t>
      </w:r>
    </w:p>
    <w:p w14:paraId="7F838B57">
      <w:r>
        <w:t>Valid host range: 192.168.10.65 to 192.168.10.126</w:t>
      </w:r>
    </w:p>
    <w:p w14:paraId="11B27069">
      <w:r>
        <w:t>Each /26 subnet has 2^(32−26) − 2 = 62 usable host addresses.</w:t>
      </w:r>
    </w:p>
    <w:p w14:paraId="6287DC8E">
      <w:r>
        <w:t>3. Example computer addresses:</w:t>
      </w:r>
    </w:p>
    <w:p w14:paraId="3A3FC283">
      <w:r>
        <w:t>Administration computers: 192.168.10.2, 192.168.10.3, and 192.168.10.4.</w:t>
      </w:r>
    </w:p>
    <w:p w14:paraId="6C523142">
      <w:r>
        <w:t>Finance computers: 192.168.10.66, 192.168.10.67, and 192.168.10.68.</w:t>
      </w:r>
    </w:p>
    <w:p w14:paraId="5C0B6867">
      <w:r>
        <w:t>4. Default gateways:</w:t>
      </w:r>
    </w:p>
    <w:p w14:paraId="12D07867">
      <w:r>
        <w:t>Administration LAN: 192.168.10.1</w:t>
      </w:r>
    </w:p>
    <w:p w14:paraId="2A474C3B">
      <w:r>
        <w:t>Finance LAN: 192.168.10.65</w:t>
      </w:r>
    </w:p>
    <w:p w14:paraId="15C56BA3">
      <w:r>
        <w:t>Each computer should use the gateway configured for its own LAN to communicate with devices on other networks.</w:t>
      </w: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7C24C77-B198-4D63-9C58-E6471270A60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42D31DA-8D88-4D85-B227-4B2999AF51F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6E7760A-DE54-4EFE-816B-66723CE30C3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1709A9E-0F0B-4075-9259-4595508A35E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96268"/>
    <w:multiLevelType w:val="multilevel"/>
    <w:tmpl w:val="08B9626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D2AB3"/>
    <w:multiLevelType w:val="multilevel"/>
    <w:tmpl w:val="0B5D2AB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47967"/>
    <w:multiLevelType w:val="multilevel"/>
    <w:tmpl w:val="12D4796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9732E2"/>
    <w:multiLevelType w:val="multilevel"/>
    <w:tmpl w:val="349732E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793DE9"/>
    <w:multiLevelType w:val="multilevel"/>
    <w:tmpl w:val="6B793DE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06"/>
    <w:rsid w:val="00750F74"/>
    <w:rsid w:val="0078380B"/>
    <w:rsid w:val="009F3254"/>
    <w:rsid w:val="00B77EE8"/>
    <w:rsid w:val="00BF6106"/>
    <w:rsid w:val="00C37206"/>
    <w:rsid w:val="00D42234"/>
    <w:rsid w:val="00F97BDF"/>
    <w:rsid w:val="40C7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pdq2pg_selectionanchorcontainer"/>
    <w:basedOn w:val="1"/>
    <w:qFormat/>
    <w:uiPriority w:val="0"/>
    <w:pPr>
      <w:spacing w:before="100" w:beforeAutospacing="1" w:after="100" w:afterAutospacing="1"/>
    </w:pPr>
    <w:rPr>
      <w:lang w:val="en-US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822</Words>
  <Characters>4690</Characters>
  <Lines>39</Lines>
  <Paragraphs>11</Paragraphs>
  <TotalTime>7</TotalTime>
  <ScaleCrop>false</ScaleCrop>
  <LinksUpToDate>false</LinksUpToDate>
  <CharactersWithSpaces>5501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2026-07-10T03:23:00Z</dcterms:created>
  <dc:creator>gopal</dc:creator>
  <cp:lastModifiedBy>gopal</cp:lastModifiedBy>
  <dcterms:modified xsi:type="dcterms:W3CDTF">2026-10-24T04:46:19Z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  <property fmtid="{D5CDD505-2E9C-101B-9397-08002B2CF9AE}" pid="3" name="KSOProductBuildVer">
    <vt:lpwstr>2057-12.2.0.23206</vt:lpwstr>
  </property>
  <property fmtid="{D5CDD505-2E9C-101B-9397-08002B2CF9AE}" pid="4" name="ICV">
    <vt:lpwstr>7B5009315EDB4DB5A8D3DFA306556181_13</vt:lpwstr>
  </property>
</Properties>
</file>