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rFonts w:ascii="Times New Roman" w:hAnsi="Times New Roman" w:eastAsia="Times New Roman" w:cs="Times New Roman"/>
          <w:b/>
          <w:bCs/>
          <w:sz w:val="34"/>
          <w:szCs w:val="34"/>
          <w:rtl w:val="0"/>
        </w:rPr>
        <w:t xml:space="preserve"> SIMATS ENGINEERING</w:t>
      </w:r>
    </w:p>
    <w:p w14:paraId="00000002">
      <w:pPr>
        <w:jc w:val="center"/>
        <w:rPr>
          <w:b/>
          <w:bCs/>
          <w:sz w:val="28"/>
          <w:szCs w:val="28"/>
        </w:rPr>
      </w:pPr>
      <w:r>
        <w:rPr>
          <w:rFonts w:ascii="Times New Roman" w:hAnsi="Times New Roman" w:eastAsia="Times New Roman" w:cs="Times New Roman"/>
          <w:b/>
          <w:bCs/>
          <w:sz w:val="28"/>
          <w:szCs w:val="28"/>
          <w:rtl w:val="0"/>
        </w:rPr>
        <w:t>ASSESSMENT TOOL 1</w:t>
      </w:r>
    </w:p>
    <w:p w14:paraId="00000003">
      <w:pPr>
        <w:jc w:val="center"/>
        <w:rPr>
          <w:b/>
          <w:bCs/>
          <w:sz w:val="34"/>
          <w:szCs w:val="34"/>
        </w:rPr>
      </w:pPr>
    </w:p>
    <w:p w14:paraId="00000004">
      <w:pPr>
        <w:rPr>
          <w:rFonts w:ascii="Arial" w:hAnsi="Arial" w:eastAsia="Arial" w:cs="Arial"/>
          <w:b/>
          <w:bCs/>
        </w:rPr>
      </w:pPr>
      <w:r>
        <w:rPr>
          <w:rFonts w:ascii="Arial" w:hAnsi="Arial" w:eastAsia="Arial" w:cs="Arial"/>
          <w:b/>
          <w:bCs/>
          <w:sz w:val="21"/>
          <w:szCs w:val="21"/>
          <w:rtl w:val="0"/>
        </w:rPr>
        <w:t>COURSE NAME: COMPUTER NETWORKS</w:t>
      </w:r>
    </w:p>
    <w:p w14:paraId="00000005">
      <w:pPr>
        <w:rPr>
          <w:rFonts w:ascii="Arial" w:hAnsi="Arial" w:eastAsia="Arial" w:cs="Arial"/>
          <w:b/>
          <w:bCs/>
        </w:rPr>
      </w:pPr>
      <w:r>
        <w:rPr>
          <w:rFonts w:ascii="Arial" w:hAnsi="Arial" w:eastAsia="Arial" w:cs="Arial"/>
          <w:b/>
          <w:bCs/>
          <w:sz w:val="21"/>
          <w:szCs w:val="21"/>
          <w:rtl w:val="0"/>
        </w:rPr>
        <w:t>COURSE CODE:</w:t>
      </w:r>
      <w:r>
        <w:rPr>
          <w:rFonts w:ascii="Arial" w:hAnsi="Arial" w:eastAsia="Arial" w:cs="Arial"/>
          <w:sz w:val="21"/>
          <w:szCs w:val="21"/>
          <w:rtl w:val="0"/>
        </w:rPr>
        <w:t xml:space="preserve"> </w:t>
      </w:r>
      <w:r>
        <w:rPr>
          <w:rFonts w:ascii="Arial" w:hAnsi="Arial" w:eastAsia="Arial" w:cs="Arial"/>
          <w:b/>
          <w:bCs/>
          <w:sz w:val="21"/>
          <w:szCs w:val="21"/>
          <w:rtl w:val="0"/>
        </w:rPr>
        <w:t>CSA07</w:t>
      </w:r>
      <w:r>
        <w:rPr>
          <w:rFonts w:ascii="Arial" w:hAnsi="Arial" w:eastAsia="Arial" w:cs="Arial"/>
          <w:b/>
          <w:bCs/>
          <w:sz w:val="21"/>
          <w:szCs w:val="21"/>
          <w:rtl w:val="0"/>
        </w:rPr>
        <w:tab/>
      </w:r>
      <w:r>
        <w:rPr>
          <w:rFonts w:ascii="Arial" w:hAnsi="Arial" w:eastAsia="Arial" w:cs="Arial"/>
          <w:b/>
          <w:bCs/>
          <w:sz w:val="21"/>
          <w:szCs w:val="21"/>
          <w:rtl w:val="0"/>
        </w:rPr>
        <w:tab/>
      </w:r>
      <w:r>
        <w:rPr>
          <w:rFonts w:ascii="Arial" w:hAnsi="Arial" w:eastAsia="Arial" w:cs="Arial"/>
          <w:b/>
          <w:bCs/>
          <w:sz w:val="21"/>
          <w:szCs w:val="21"/>
          <w:rtl w:val="0"/>
        </w:rPr>
        <w:tab/>
      </w:r>
      <w:r>
        <w:rPr>
          <w:rFonts w:ascii="Arial" w:hAnsi="Arial" w:eastAsia="Arial" w:cs="Arial"/>
          <w:b/>
          <w:bCs/>
          <w:sz w:val="21"/>
          <w:szCs w:val="21"/>
          <w:rtl w:val="0"/>
        </w:rPr>
        <w:tab/>
      </w:r>
      <w:r>
        <w:rPr>
          <w:rFonts w:ascii="Arial" w:hAnsi="Arial" w:eastAsia="Arial" w:cs="Arial"/>
          <w:b/>
          <w:bCs/>
          <w:sz w:val="21"/>
          <w:szCs w:val="21"/>
          <w:rtl w:val="0"/>
        </w:rPr>
        <w:tab/>
      </w:r>
    </w:p>
    <w:p w14:paraId="00000006">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33415" cy="13970"/>
                <wp:effectExtent l="0" t="0" r="0" b="0"/>
                <wp:docPr id="1" name="Rectangles 1"/>
                <wp:cNvGraphicFramePr/>
                <a:graphic xmlns:a="http://schemas.openxmlformats.org/drawingml/2006/main">
                  <a:graphicData uri="http://schemas.microsoft.com/office/word/2010/wordprocessingShape">
                    <wps:wsp>
                      <wps:cNvSpPr/>
                      <wps:spPr>
                        <a:xfrm>
                          <a:off x="0" y="0"/>
                          <a:ext cx="5733415" cy="13970"/>
                        </a:xfrm>
                        <a:prstGeom prst="rect">
                          <a:avLst/>
                        </a:prstGeom>
                        <a:noFill/>
                        <a:ln w="12700" cap="flat" cmpd="sng">
                          <a:solidFill>
                            <a:srgbClr val="000000"/>
                          </a:solidFill>
                          <a:prstDash val="solid"/>
                          <a:round/>
                          <a:headEnd type="none" w="sm" len="sm"/>
                          <a:tailEnd type="none" w="sm" len="sm"/>
                        </a:ln>
                      </wps:spPr>
                      <wps:txbx>
                        <w:txbxContent>
                          <w:p w14:paraId="24E2BF01"/>
                        </w:txbxContent>
                      </wps:txbx>
                      <wps:bodyPr spcFirstLastPara="1" wrap="square" lIns="91425" tIns="91425" rIns="91425" bIns="91425" anchor="ctr" anchorCtr="0">
                        <a:noAutofit/>
                      </wps:bodyPr>
                    </wps:wsp>
                  </a:graphicData>
                </a:graphic>
              </wp:inline>
            </w:drawing>
          </mc:Choice>
          <mc:Fallback>
            <w:pict>
              <v:rect id="_x0000_s1026" o:spid="_x0000_s1026" o:spt="1" style="height:1.1pt;width:451.45pt;v-text-anchor:middle;" filled="f" stroked="t" coordsize="21600,21600" o:gfxdata="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Tew271AAAAAMBAAAPAAAAAAAAAAEAIAAAACIAAABkcnMvZG93bnJldi54bWxQSwECFAAU&#10;AAAACACHTuJAwqgNri4CAACABAAADgAAAAAAAAABACAAAAAjAQAAZHJzL2Uyb0RvYy54bWxQSwUG&#10;AAAAAAYABgBZAQAAw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4E2BF01"/>
                  </w:txbxContent>
                </v:textbox>
                <w10:wrap type="none"/>
                <w10:anchorlock/>
              </v:rect>
            </w:pict>
          </mc:Fallback>
        </mc:AlternateContent>
      </w:r>
    </w:p>
    <w:p w14:paraId="00000007">
      <w:pPr>
        <w:rPr>
          <w:rFonts w:ascii="Arial" w:hAnsi="Arial" w:eastAsia="Arial" w:cs="Arial"/>
          <w:b/>
          <w:bCs/>
        </w:rPr>
      </w:pPr>
    </w:p>
    <w:p w14:paraId="00000008">
      <w:pPr>
        <w:rPr>
          <w:rFonts w:ascii="Arial" w:hAnsi="Arial" w:eastAsia="Arial" w:cs="Arial"/>
          <w:b/>
          <w:bCs/>
        </w:rPr>
      </w:pPr>
      <w:r>
        <w:rPr>
          <w:rFonts w:ascii="Arial" w:hAnsi="Arial" w:eastAsia="Arial" w:cs="Arial"/>
          <w:b/>
          <w:bCs/>
          <w:sz w:val="21"/>
          <w:szCs w:val="21"/>
          <w:rtl w:val="0"/>
        </w:rPr>
        <w:t>COURSE OUTCOME COVERED</w:t>
      </w:r>
    </w:p>
    <w:p w14:paraId="00000009">
      <w:pPr>
        <w:rPr>
          <w:rFonts w:ascii="Arial" w:hAnsi="Arial" w:eastAsia="Arial" w:cs="Arial"/>
          <w:b/>
          <w:bCs/>
        </w:rPr>
      </w:pPr>
    </w:p>
    <w:p w14:paraId="0000000A">
      <w:pPr>
        <w:jc w:val="both"/>
        <w:rPr>
          <w:rFonts w:ascii="Arial" w:hAnsi="Arial" w:eastAsia="Arial" w:cs="Arial"/>
          <w:i/>
          <w:iCs/>
          <w:color w:val="000000"/>
          <w:sz w:val="20"/>
          <w:szCs w:val="20"/>
        </w:rPr>
      </w:pPr>
      <w:r>
        <w:rPr>
          <w:rFonts w:ascii="Arial" w:hAnsi="Arial" w:eastAsia="Arial" w:cs="Arial"/>
          <w:b/>
          <w:bCs/>
          <w:i/>
          <w:iCs/>
          <w:sz w:val="21"/>
          <w:szCs w:val="21"/>
          <w:rtl w:val="0"/>
        </w:rPr>
        <w:t xml:space="preserve">CO2: </w:t>
      </w:r>
      <w:r>
        <w:rPr>
          <w:rFonts w:ascii="Times New Roman" w:hAnsi="Times New Roman" w:eastAsia="Times New Roman" w:cs="Times New Roman"/>
          <w:sz w:val="28"/>
          <w:szCs w:val="28"/>
          <w:rtl w:val="0"/>
        </w:rPr>
        <w:t>Configure IP addressing schemes, subnetting, and basic routing techniques using simulation tool, for efficient network design and topology</w:t>
      </w:r>
      <w:r>
        <w:rPr>
          <w:rFonts w:ascii="Arial" w:hAnsi="Arial" w:eastAsia="Arial" w:cs="Arial"/>
          <w:i/>
          <w:iCs/>
          <w:color w:val="000000"/>
          <w:sz w:val="21"/>
          <w:szCs w:val="21"/>
          <w:rtl w:val="0"/>
        </w:rPr>
        <w:t>.</w:t>
      </w:r>
      <w:r>
        <w:rPr>
          <w:rFonts w:ascii="Arial" w:hAnsi="Arial" w:eastAsia="Arial" w:cs="Arial"/>
          <w:i/>
          <w:iCs/>
          <w:color w:val="000000"/>
          <w:sz w:val="20"/>
          <w:szCs w:val="20"/>
          <w:rtl w:val="0"/>
        </w:rPr>
        <w:t xml:space="preserve"> (BL3)</w:t>
      </w:r>
    </w:p>
    <w:p w14:paraId="0000000B">
      <w:pPr>
        <w:rPr>
          <w:rFonts w:ascii="Arial" w:hAnsi="Arial" w:eastAsia="Arial" w:cs="Arial"/>
          <w:i/>
          <w:iCs/>
        </w:rPr>
      </w:pPr>
    </w:p>
    <w:p w14:paraId="0000000C">
      <w:pPr>
        <w:rPr>
          <w:rFonts w:ascii="Arial" w:hAnsi="Arial" w:eastAsia="Arial" w:cs="Arial"/>
          <w:i/>
          <w:iCs/>
        </w:rPr>
      </w:pPr>
      <w:r>
        <w:rPr>
          <w:rFonts w:ascii="Arial" w:hAnsi="Arial" w:eastAsia="Arial" w:cs="Arial"/>
          <w:i/>
          <w:iCs/>
          <w:sz w:val="21"/>
          <w:szCs w:val="21"/>
          <w:rtl w:val="0"/>
        </w:rPr>
        <w:t>Assessment Tool Weightage: 40%</w:t>
      </w:r>
    </w:p>
    <w:p w14:paraId="0000000D">
      <w:pPr>
        <w:rPr>
          <w:rFonts w:ascii="Arial" w:hAnsi="Arial" w:eastAsia="Arial" w:cs="Arial"/>
        </w:rPr>
      </w:pPr>
      <w:r>
        <w:rPr>
          <w:rFonts w:ascii="Times New Roman" w:hAnsi="Times New Roman" w:eastAsia="Times New Roman" w:cs="Times New Roman"/>
          <w:sz w:val="22"/>
          <w:szCs w:val="22"/>
        </w:rPr>
        <mc:AlternateContent>
          <mc:Choice Requires="wps">
            <w:drawing>
              <wp:inline distT="0" distB="0" distL="114300" distR="114300">
                <wp:extent cx="5733415" cy="13970"/>
                <wp:effectExtent l="0" t="0" r="0" b="0"/>
                <wp:docPr id="2" name="Rectangles 2"/>
                <wp:cNvGraphicFramePr/>
                <a:graphic xmlns:a="http://schemas.openxmlformats.org/drawingml/2006/main">
                  <a:graphicData uri="http://schemas.microsoft.com/office/word/2010/wordprocessingShape">
                    <wps:wsp>
                      <wps:cNvSpPr/>
                      <wps:spPr>
                        <a:xfrm>
                          <a:off x="0" y="0"/>
                          <a:ext cx="5733415" cy="13970"/>
                        </a:xfrm>
                        <a:prstGeom prst="rect">
                          <a:avLst/>
                        </a:prstGeom>
                        <a:noFill/>
                        <a:ln w="12700" cap="flat" cmpd="sng">
                          <a:solidFill>
                            <a:srgbClr val="000000"/>
                          </a:solidFill>
                          <a:prstDash val="solid"/>
                          <a:round/>
                          <a:headEnd type="none" w="sm" len="sm"/>
                          <a:tailEnd type="none" w="sm" len="sm"/>
                        </a:ln>
                      </wps:spPr>
                      <wps:txbx>
                        <w:txbxContent>
                          <w:p w14:paraId="358BD09B"/>
                        </w:txbxContent>
                      </wps:txbx>
                      <wps:bodyPr spcFirstLastPara="1" wrap="square" lIns="91425" tIns="91425" rIns="91425" bIns="91425" anchor="ctr" anchorCtr="0">
                        <a:noAutofit/>
                      </wps:bodyPr>
                    </wps:wsp>
                  </a:graphicData>
                </a:graphic>
              </wp:inline>
            </w:drawing>
          </mc:Choice>
          <mc:Fallback>
            <w:pict>
              <v:rect id="_x0000_s1026" o:spid="_x0000_s1026" o:spt="1" style="height:1.1pt;width:451.45pt;v-text-anchor:middle;" filled="f" stroked="t" coordsize="21600,21600" o:gfxdata="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Tew271AAAAAMBAAAPAAAAAAAAAAEAIAAAACIAAABkcnMvZG93bnJldi54bWxQSwECFAAU&#10;AAAACACHTuJAzKAblC4CAACABAAADgAAAAAAAAABACAAAAAjAQAAZHJzL2Uyb0RvYy54bWxQSwUG&#10;AAAAAAYABgBZAQAAw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58BD09B"/>
                  </w:txbxContent>
                </v:textbox>
                <w10:wrap type="none"/>
                <w10:anchorlock/>
              </v:rect>
            </w:pict>
          </mc:Fallback>
        </mc:AlternateContent>
      </w:r>
    </w:p>
    <w:p w14:paraId="0000000E">
      <w:pPr>
        <w:rPr>
          <w:rFonts w:ascii="Arial" w:hAnsi="Arial" w:eastAsia="Arial" w:cs="Arial"/>
        </w:rPr>
      </w:pPr>
    </w:p>
    <w:p w14:paraId="0000000F">
      <w:pPr>
        <w:rPr>
          <w:i/>
          <w:iCs/>
        </w:rPr>
      </w:pPr>
      <w:r>
        <w:rPr>
          <w:rFonts w:ascii="Times New Roman" w:hAnsi="Times New Roman" w:eastAsia="Times New Roman" w:cs="Times New Roman"/>
          <w:i/>
          <w:iCs/>
          <w:sz w:val="21"/>
          <w:szCs w:val="21"/>
          <w:rtl w:val="0"/>
        </w:rPr>
        <w:t>Code of Conduct:</w:t>
      </w:r>
    </w:p>
    <w:p w14:paraId="00000010">
      <w:pPr>
        <w:rPr>
          <w:i/>
          <w:iCs/>
        </w:rPr>
      </w:pPr>
    </w:p>
    <w:p w14:paraId="00000011">
      <w:pPr>
        <w:rPr>
          <w:i/>
          <w:iCs/>
        </w:rPr>
      </w:pPr>
      <w:r>
        <w:rPr>
          <w:rFonts w:ascii="Times New Roman" w:hAnsi="Times New Roman" w:eastAsia="Times New Roman" w:cs="Times New Roman"/>
          <w:i/>
          <w:iCs/>
          <w:sz w:val="21"/>
          <w:szCs w:val="21"/>
          <w:rtl w:val="0"/>
        </w:rPr>
        <w:t xml:space="preserve">I </w:t>
      </w:r>
      <w:r>
        <w:rPr>
          <w:rFonts w:hint="default" w:ascii="Times New Roman" w:hAnsi="Times New Roman" w:eastAsia="Times New Roman" w:cs="Times New Roman"/>
          <w:i/>
          <w:iCs/>
          <w:sz w:val="21"/>
          <w:szCs w:val="21"/>
          <w:rtl w:val="0"/>
          <w:lang w:val="en-IN"/>
        </w:rPr>
        <w:t xml:space="preserve"> Aravind M (1921260068) </w:t>
      </w:r>
      <w:r>
        <w:rPr>
          <w:rFonts w:ascii="Times New Roman" w:hAnsi="Times New Roman" w:eastAsia="Times New Roman" w:cs="Times New Roman"/>
          <w:i/>
          <w:iCs/>
          <w:sz w:val="21"/>
          <w:szCs w:val="21"/>
          <w:rtl w:val="0"/>
        </w:rPr>
        <w:t>(Name / Reg No) certify that this submission is my original work and that I have adhered to the guidelines specified for this assessment.</w:t>
      </w:r>
    </w:p>
    <w:p w14:paraId="00000012">
      <w:pPr>
        <w:rPr>
          <w:i/>
          <w:iCs/>
        </w:rPr>
      </w:pPr>
      <w:r>
        <w:rPr>
          <w:rFonts w:ascii="Times New Roman" w:hAnsi="Times New Roman" w:eastAsia="Times New Roman" w:cs="Times New Roman"/>
          <w:i/>
          <w:iCs/>
          <w:sz w:val="21"/>
          <w:szCs w:val="21"/>
          <w:rtl w:val="0"/>
        </w:rPr>
        <w:t>I understand that any violation of academic integrity rules will result in disciplinary action.</w:t>
      </w:r>
    </w:p>
    <w:p w14:paraId="00000013">
      <w:pPr>
        <w:rPr>
          <w:i/>
          <w:iCs/>
        </w:rPr>
      </w:pPr>
    </w:p>
    <w:p w14:paraId="00000014">
      <w:pPr>
        <w:rPr>
          <w:rFonts w:hint="default"/>
          <w:i/>
          <w:iCs/>
          <w:lang w:val="en-IN"/>
        </w:rPr>
      </w:pPr>
      <w:r>
        <w:rPr>
          <w:rFonts w:ascii="Times New Roman" w:hAnsi="Times New Roman" w:eastAsia="Times New Roman" w:cs="Times New Roman"/>
          <w:i/>
          <w:iCs/>
          <w:sz w:val="21"/>
          <w:szCs w:val="21"/>
          <w:rtl w:val="0"/>
        </w:rPr>
        <w:t>Signature of the student:</w:t>
      </w:r>
      <w:r>
        <w:rPr>
          <w:rFonts w:hint="default" w:ascii="Times New Roman" w:hAnsi="Times New Roman" w:eastAsia="Times New Roman" w:cs="Times New Roman"/>
          <w:i/>
          <w:iCs/>
          <w:sz w:val="21"/>
          <w:szCs w:val="21"/>
          <w:rtl w:val="0"/>
          <w:lang w:val="en-IN"/>
        </w:rPr>
        <w:t xml:space="preserve"> Aravind M</w:t>
      </w:r>
      <w:bookmarkStart w:id="0" w:name="_GoBack"/>
      <w:bookmarkEnd w:id="0"/>
    </w:p>
    <w:p w14:paraId="00000015">
      <w:pPr>
        <w:rPr>
          <w:i/>
          <w:iCs/>
        </w:rPr>
      </w:pPr>
    </w:p>
    <w:tbl>
      <w:tblPr>
        <w:tblStyle w:val="13"/>
        <w:tblW w:w="10533" w:type="dxa"/>
        <w:jc w:val="center"/>
        <w:tblLayout w:type="fixed"/>
        <w:tblCellMar>
          <w:top w:w="0" w:type="dxa"/>
          <w:left w:w="115" w:type="dxa"/>
          <w:bottom w:w="0" w:type="dxa"/>
          <w:right w:w="115" w:type="dxa"/>
        </w:tblCellMar>
      </w:tblPr>
      <w:tblGrid>
        <w:gridCol w:w="1755"/>
        <w:gridCol w:w="1755"/>
        <w:gridCol w:w="1755"/>
        <w:gridCol w:w="1756"/>
        <w:gridCol w:w="1756"/>
        <w:gridCol w:w="1756"/>
      </w:tblGrid>
      <w:tr w14:paraId="5EDC01A2">
        <w:tblPrEx>
          <w:tblCellMar>
            <w:top w:w="0" w:type="dxa"/>
            <w:left w:w="115" w:type="dxa"/>
            <w:bottom w:w="0" w:type="dxa"/>
            <w:right w:w="115" w:type="dxa"/>
          </w:tblCellMar>
        </w:tblPrEx>
        <w:trPr>
          <w:cantSplit/>
          <w:trHeight w:val="567" w:hRule="atLeast"/>
          <w:jc w:val="center"/>
        </w:trPr>
        <w:tc>
          <w:tcPr>
            <w:tcBorders>
              <w:top w:val="single" w:color="000000" w:sz="4" w:space="0"/>
              <w:left w:val="single" w:color="000000" w:sz="4" w:space="0"/>
              <w:bottom w:val="single" w:color="000000" w:sz="4" w:space="0"/>
              <w:right w:val="single" w:color="000000" w:sz="4" w:space="0"/>
            </w:tcBorders>
            <w:shd w:val="clear" w:color="auto" w:fill="00FFFF"/>
            <w:vAlign w:val="center"/>
          </w:tcPr>
          <w:p w14:paraId="0000001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sz w:val="17"/>
                <w:szCs w:val="17"/>
                <w:rtl w:val="0"/>
              </w:rPr>
              <w:t>Criteria</w:t>
            </w:r>
          </w:p>
        </w:tc>
        <w:tc>
          <w:tcPr>
            <w:tcBorders>
              <w:top w:val="single" w:color="000000" w:sz="4" w:space="0"/>
              <w:left w:val="nil"/>
              <w:bottom w:val="single" w:color="000000" w:sz="4" w:space="0"/>
              <w:right w:val="single" w:color="000000" w:sz="4" w:space="0"/>
            </w:tcBorders>
            <w:shd w:val="clear" w:color="auto" w:fill="00FFFF"/>
            <w:vAlign w:val="center"/>
          </w:tcPr>
          <w:p w14:paraId="0000001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sz w:val="17"/>
                <w:szCs w:val="17"/>
                <w:rtl w:val="0"/>
              </w:rPr>
              <w:t>Weightage</w:t>
            </w:r>
          </w:p>
        </w:tc>
        <w:tc>
          <w:tcPr>
            <w:tcBorders>
              <w:top w:val="single" w:color="000000" w:sz="4" w:space="0"/>
              <w:left w:val="nil"/>
              <w:bottom w:val="single" w:color="000000" w:sz="4" w:space="0"/>
              <w:right w:val="single" w:color="000000" w:sz="4" w:space="0"/>
            </w:tcBorders>
            <w:shd w:val="clear" w:color="auto" w:fill="00FFFF"/>
            <w:vAlign w:val="center"/>
          </w:tcPr>
          <w:p w14:paraId="0000001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Q1 10marks</w:t>
            </w:r>
          </w:p>
        </w:tc>
        <w:tc>
          <w:tcPr>
            <w:tcBorders>
              <w:top w:val="single" w:color="000000" w:sz="4" w:space="0"/>
              <w:left w:val="nil"/>
              <w:bottom w:val="single" w:color="000000" w:sz="4" w:space="0"/>
              <w:right w:val="single" w:color="000000" w:sz="4" w:space="0"/>
            </w:tcBorders>
            <w:shd w:val="clear" w:color="auto" w:fill="00FFFF"/>
            <w:vAlign w:val="center"/>
          </w:tcPr>
          <w:p w14:paraId="00000019">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Q2 10marks</w:t>
            </w:r>
          </w:p>
        </w:tc>
        <w:tc>
          <w:tcPr>
            <w:tcBorders>
              <w:top w:val="single" w:color="000000" w:sz="4" w:space="0"/>
              <w:left w:val="nil"/>
              <w:bottom w:val="single" w:color="000000" w:sz="4" w:space="0"/>
              <w:right w:val="single" w:color="000000" w:sz="4" w:space="0"/>
            </w:tcBorders>
            <w:shd w:val="clear" w:color="auto" w:fill="00FFFF"/>
            <w:vAlign w:val="center"/>
          </w:tcPr>
          <w:p w14:paraId="0000001A">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Q3 10marks</w:t>
            </w:r>
          </w:p>
        </w:tc>
        <w:tc>
          <w:tcPr>
            <w:tcBorders>
              <w:top w:val="single" w:color="000000" w:sz="4" w:space="0"/>
              <w:left w:val="nil"/>
              <w:bottom w:val="single" w:color="000000" w:sz="4" w:space="0"/>
              <w:right w:val="single" w:color="000000" w:sz="4" w:space="0"/>
            </w:tcBorders>
            <w:shd w:val="clear" w:color="auto" w:fill="00FFFF"/>
            <w:vAlign w:val="center"/>
          </w:tcPr>
          <w:p w14:paraId="0000001B">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Q4 10marks</w:t>
            </w:r>
          </w:p>
        </w:tc>
      </w:tr>
      <w:tr w14:paraId="4F915894">
        <w:tblPrEx>
          <w:tblCellMar>
            <w:top w:w="0" w:type="dxa"/>
            <w:left w:w="115" w:type="dxa"/>
            <w:bottom w:w="0" w:type="dxa"/>
            <w:right w:w="115" w:type="dxa"/>
          </w:tblCellMar>
        </w:tblPrEx>
        <w:trPr>
          <w:cantSplit/>
          <w:trHeight w:val="567" w:hRule="atLeast"/>
          <w:jc w:val="center"/>
        </w:trPr>
        <w:tc>
          <w:tcPr>
            <w:tcBorders>
              <w:top w:val="nil"/>
              <w:left w:val="single" w:color="000000" w:sz="4" w:space="0"/>
              <w:bottom w:val="single" w:color="000000" w:sz="4" w:space="0"/>
              <w:right w:val="single" w:color="000000" w:sz="4" w:space="0"/>
            </w:tcBorders>
            <w:vAlign w:val="center"/>
          </w:tcPr>
          <w:p w14:paraId="0000001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Problem Understanding</w:t>
            </w:r>
          </w:p>
        </w:tc>
        <w:tc>
          <w:tcPr>
            <w:tcBorders>
              <w:top w:val="nil"/>
              <w:left w:val="nil"/>
              <w:bottom w:val="single" w:color="000000" w:sz="4" w:space="0"/>
              <w:right w:val="single" w:color="000000" w:sz="4" w:space="0"/>
            </w:tcBorders>
            <w:vAlign w:val="center"/>
          </w:tcPr>
          <w:p w14:paraId="0000001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20%</w:t>
            </w:r>
          </w:p>
        </w:tc>
        <w:tc>
          <w:tcPr>
            <w:tcBorders>
              <w:top w:val="nil"/>
              <w:left w:val="nil"/>
              <w:bottom w:val="single" w:color="000000" w:sz="4" w:space="0"/>
              <w:right w:val="single" w:color="000000" w:sz="4" w:space="0"/>
            </w:tcBorders>
            <w:vAlign w:val="center"/>
          </w:tcPr>
          <w:p w14:paraId="0000001E">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1F">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20">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2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r>
      <w:tr w14:paraId="1E300DD7">
        <w:tblPrEx>
          <w:tblCellMar>
            <w:top w:w="0" w:type="dxa"/>
            <w:left w:w="115" w:type="dxa"/>
            <w:bottom w:w="0" w:type="dxa"/>
            <w:right w:w="115" w:type="dxa"/>
          </w:tblCellMar>
        </w:tblPrEx>
        <w:trPr>
          <w:cantSplit/>
          <w:trHeight w:val="567" w:hRule="atLeast"/>
          <w:jc w:val="center"/>
        </w:trPr>
        <w:tc>
          <w:tcPr>
            <w:tcBorders>
              <w:top w:val="nil"/>
              <w:left w:val="single" w:color="000000" w:sz="4" w:space="0"/>
              <w:bottom w:val="single" w:color="000000" w:sz="4" w:space="0"/>
              <w:right w:val="single" w:color="000000" w:sz="4" w:space="0"/>
            </w:tcBorders>
            <w:vAlign w:val="center"/>
          </w:tcPr>
          <w:p w14:paraId="00000022">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Method Selection</w:t>
            </w:r>
          </w:p>
        </w:tc>
        <w:tc>
          <w:tcPr>
            <w:tcBorders>
              <w:top w:val="nil"/>
              <w:left w:val="nil"/>
              <w:bottom w:val="single" w:color="000000" w:sz="4" w:space="0"/>
              <w:right w:val="single" w:color="000000" w:sz="4" w:space="0"/>
            </w:tcBorders>
            <w:vAlign w:val="center"/>
          </w:tcPr>
          <w:p w14:paraId="0000002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20%</w:t>
            </w:r>
          </w:p>
        </w:tc>
        <w:tc>
          <w:tcPr>
            <w:tcBorders>
              <w:top w:val="nil"/>
              <w:left w:val="nil"/>
              <w:bottom w:val="single" w:color="000000" w:sz="4" w:space="0"/>
              <w:right w:val="single" w:color="000000" w:sz="4" w:space="0"/>
            </w:tcBorders>
            <w:vAlign w:val="center"/>
          </w:tcPr>
          <w:p w14:paraId="00000024">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25">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2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2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r>
      <w:tr w14:paraId="2D4EBA6F">
        <w:tblPrEx>
          <w:tblCellMar>
            <w:top w:w="0" w:type="dxa"/>
            <w:left w:w="115" w:type="dxa"/>
            <w:bottom w:w="0" w:type="dxa"/>
            <w:right w:w="115" w:type="dxa"/>
          </w:tblCellMar>
        </w:tblPrEx>
        <w:trPr>
          <w:cantSplit/>
          <w:trHeight w:val="567" w:hRule="atLeast"/>
          <w:jc w:val="center"/>
        </w:trPr>
        <w:tc>
          <w:tcPr>
            <w:tcBorders>
              <w:top w:val="nil"/>
              <w:left w:val="single" w:color="000000" w:sz="4" w:space="0"/>
              <w:bottom w:val="single" w:color="000000" w:sz="4" w:space="0"/>
              <w:right w:val="single" w:color="000000" w:sz="4" w:space="0"/>
            </w:tcBorders>
            <w:vAlign w:val="center"/>
          </w:tcPr>
          <w:p w14:paraId="0000002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Solution Process</w:t>
            </w:r>
          </w:p>
        </w:tc>
        <w:tc>
          <w:tcPr>
            <w:tcBorders>
              <w:top w:val="nil"/>
              <w:left w:val="nil"/>
              <w:bottom w:val="single" w:color="000000" w:sz="4" w:space="0"/>
              <w:right w:val="single" w:color="000000" w:sz="4" w:space="0"/>
            </w:tcBorders>
            <w:vAlign w:val="center"/>
          </w:tcPr>
          <w:p w14:paraId="00000029">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25%</w:t>
            </w:r>
          </w:p>
        </w:tc>
        <w:tc>
          <w:tcPr>
            <w:tcBorders>
              <w:top w:val="nil"/>
              <w:left w:val="nil"/>
              <w:bottom w:val="single" w:color="000000" w:sz="4" w:space="0"/>
              <w:right w:val="single" w:color="000000" w:sz="4" w:space="0"/>
            </w:tcBorders>
            <w:vAlign w:val="center"/>
          </w:tcPr>
          <w:p w14:paraId="0000002A">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2B">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2C">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2D">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r>
      <w:tr w14:paraId="6F08258B">
        <w:tblPrEx>
          <w:tblCellMar>
            <w:top w:w="0" w:type="dxa"/>
            <w:left w:w="115" w:type="dxa"/>
            <w:bottom w:w="0" w:type="dxa"/>
            <w:right w:w="115" w:type="dxa"/>
          </w:tblCellMar>
        </w:tblPrEx>
        <w:trPr>
          <w:cantSplit/>
          <w:trHeight w:val="567" w:hRule="atLeast"/>
          <w:jc w:val="center"/>
        </w:trPr>
        <w:tc>
          <w:tcPr>
            <w:tcBorders>
              <w:top w:val="nil"/>
              <w:left w:val="single" w:color="000000" w:sz="4" w:space="0"/>
              <w:bottom w:val="single" w:color="000000" w:sz="4" w:space="0"/>
              <w:right w:val="single" w:color="000000" w:sz="4" w:space="0"/>
            </w:tcBorders>
            <w:vAlign w:val="center"/>
          </w:tcPr>
          <w:p w14:paraId="0000002E">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Accuracy of Calculation</w:t>
            </w:r>
          </w:p>
        </w:tc>
        <w:tc>
          <w:tcPr>
            <w:tcBorders>
              <w:top w:val="nil"/>
              <w:left w:val="nil"/>
              <w:bottom w:val="single" w:color="000000" w:sz="4" w:space="0"/>
              <w:right w:val="single" w:color="000000" w:sz="4" w:space="0"/>
            </w:tcBorders>
            <w:vAlign w:val="center"/>
          </w:tcPr>
          <w:p w14:paraId="0000002F">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20%</w:t>
            </w:r>
          </w:p>
        </w:tc>
        <w:tc>
          <w:tcPr>
            <w:tcBorders>
              <w:top w:val="nil"/>
              <w:left w:val="nil"/>
              <w:bottom w:val="single" w:color="000000" w:sz="4" w:space="0"/>
              <w:right w:val="single" w:color="000000" w:sz="4" w:space="0"/>
            </w:tcBorders>
            <w:vAlign w:val="center"/>
          </w:tcPr>
          <w:p w14:paraId="00000030">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31">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32">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33">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r>
      <w:tr w14:paraId="7ABF7D9B">
        <w:tblPrEx>
          <w:tblCellMar>
            <w:top w:w="0" w:type="dxa"/>
            <w:left w:w="115" w:type="dxa"/>
            <w:bottom w:w="0" w:type="dxa"/>
            <w:right w:w="115" w:type="dxa"/>
          </w:tblCellMar>
        </w:tblPrEx>
        <w:trPr>
          <w:cantSplit/>
          <w:trHeight w:val="567" w:hRule="atLeast"/>
          <w:jc w:val="center"/>
        </w:trPr>
        <w:tc>
          <w:tcPr>
            <w:tcBorders>
              <w:top w:val="nil"/>
              <w:left w:val="single" w:color="000000" w:sz="4" w:space="0"/>
              <w:bottom w:val="single" w:color="000000" w:sz="4" w:space="0"/>
              <w:right w:val="single" w:color="000000" w:sz="4" w:space="0"/>
            </w:tcBorders>
            <w:vAlign w:val="center"/>
          </w:tcPr>
          <w:p w14:paraId="00000034">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Interpretation of Results</w:t>
            </w:r>
          </w:p>
        </w:tc>
        <w:tc>
          <w:tcPr>
            <w:tcBorders>
              <w:top w:val="nil"/>
              <w:left w:val="nil"/>
              <w:bottom w:val="single" w:color="000000" w:sz="4" w:space="0"/>
              <w:right w:val="single" w:color="000000" w:sz="4" w:space="0"/>
            </w:tcBorders>
            <w:vAlign w:val="center"/>
          </w:tcPr>
          <w:p w14:paraId="00000035">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r>
              <w:rPr>
                <w:rFonts w:ascii="Times New Roman" w:hAnsi="Times New Roman" w:eastAsia="Times New Roman" w:cs="Times New Roman"/>
                <w:color w:val="000000"/>
                <w:sz w:val="17"/>
                <w:szCs w:val="17"/>
                <w:rtl w:val="0"/>
              </w:rPr>
              <w:t>15%</w:t>
            </w:r>
          </w:p>
        </w:tc>
        <w:tc>
          <w:tcPr>
            <w:tcBorders>
              <w:top w:val="nil"/>
              <w:left w:val="nil"/>
              <w:bottom w:val="single" w:color="000000" w:sz="4" w:space="0"/>
              <w:right w:val="single" w:color="000000" w:sz="4" w:space="0"/>
            </w:tcBorders>
            <w:vAlign w:val="center"/>
          </w:tcPr>
          <w:p w14:paraId="0000003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37">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38">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c>
          <w:tcPr>
            <w:tcBorders>
              <w:top w:val="nil"/>
              <w:left w:val="nil"/>
              <w:bottom w:val="single" w:color="000000" w:sz="4" w:space="0"/>
              <w:right w:val="single" w:color="000000" w:sz="4" w:space="0"/>
            </w:tcBorders>
            <w:vAlign w:val="center"/>
          </w:tcPr>
          <w:p w14:paraId="00000039">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color w:val="000000"/>
              </w:rPr>
            </w:pPr>
          </w:p>
        </w:tc>
      </w:tr>
    </w:tbl>
    <w:p w14:paraId="0000003A">
      <w:pPr>
        <w:rPr>
          <w:i/>
          <w:iCs/>
        </w:rPr>
      </w:pPr>
    </w:p>
    <w:p w14:paraId="0000003B">
      <w:pPr>
        <w:rPr>
          <w:i/>
          <w:iCs/>
        </w:rPr>
      </w:pPr>
    </w:p>
    <w:p w14:paraId="0000003C">
      <w:pPr>
        <w:rPr>
          <w:i/>
          <w:iCs/>
        </w:rPr>
      </w:pPr>
    </w:p>
    <w:p w14:paraId="0000003D">
      <w:pPr>
        <w:rPr>
          <w:i/>
          <w:iCs/>
        </w:rPr>
      </w:pPr>
    </w:p>
    <w:p w14:paraId="0000003E">
      <w:pPr>
        <w:rPr>
          <w:b/>
          <w:bCs/>
          <w:i/>
          <w:iCs/>
        </w:rPr>
      </w:pPr>
      <w:r>
        <w:rPr>
          <w:rFonts w:ascii="Arial" w:hAnsi="Arial" w:eastAsia="Arial" w:cs="Arial"/>
          <w:b/>
          <w:bCs/>
          <w:color w:val="000000"/>
          <w:sz w:val="21"/>
          <w:szCs w:val="21"/>
          <w:rtl w:val="0"/>
        </w:rPr>
        <w:t xml:space="preserve">Total Marks </w:t>
      </w:r>
      <w:r>
        <w:rPr>
          <w:rFonts w:ascii="Arial" w:hAnsi="Arial" w:eastAsia="Arial" w:cs="Arial"/>
          <w:b/>
          <w:bCs/>
          <w:color w:val="000000"/>
          <w:sz w:val="21"/>
          <w:szCs w:val="21"/>
          <w:rtl w:val="0"/>
        </w:rPr>
        <w:tab/>
      </w:r>
      <w:r>
        <w:rPr>
          <w:rFonts w:ascii="Arial" w:hAnsi="Arial" w:eastAsia="Arial" w:cs="Arial"/>
          <w:b/>
          <w:bCs/>
          <w:color w:val="000000"/>
          <w:sz w:val="21"/>
          <w:szCs w:val="21"/>
          <w:rtl w:val="0"/>
        </w:rPr>
        <w:tab/>
      </w:r>
      <w:r>
        <w:rPr>
          <w:rFonts w:ascii="Arial" w:hAnsi="Arial" w:eastAsia="Arial" w:cs="Arial"/>
          <w:b/>
          <w:bCs/>
          <w:color w:val="000000"/>
          <w:sz w:val="21"/>
          <w:szCs w:val="21"/>
          <w:rtl w:val="0"/>
        </w:rPr>
        <w:t>/40</w:t>
      </w:r>
      <w:r>
        <w:rPr>
          <w:rFonts w:ascii="Arial" w:hAnsi="Arial" w:eastAsia="Arial" w:cs="Arial"/>
          <w:b/>
          <w:bCs/>
          <w:color w:val="000000"/>
          <w:sz w:val="21"/>
          <w:szCs w:val="21"/>
          <w:rtl w:val="0"/>
        </w:rPr>
        <w:tab/>
      </w:r>
      <w:r>
        <w:rPr>
          <w:rFonts w:ascii="Arial" w:hAnsi="Arial" w:eastAsia="Arial" w:cs="Arial"/>
          <w:b/>
          <w:bCs/>
          <w:color w:val="000000"/>
          <w:sz w:val="21"/>
          <w:szCs w:val="21"/>
          <w:rtl w:val="0"/>
        </w:rPr>
        <w:tab/>
      </w:r>
      <w:r>
        <w:rPr>
          <w:rFonts w:ascii="Arial" w:hAnsi="Arial" w:eastAsia="Arial" w:cs="Arial"/>
          <w:b/>
          <w:bCs/>
          <w:color w:val="000000"/>
          <w:sz w:val="21"/>
          <w:szCs w:val="21"/>
          <w:rtl w:val="0"/>
        </w:rPr>
        <w:tab/>
      </w:r>
      <w:r>
        <w:rPr>
          <w:rFonts w:ascii="Arial" w:hAnsi="Arial" w:eastAsia="Arial" w:cs="Arial"/>
          <w:b/>
          <w:bCs/>
          <w:color w:val="000000"/>
          <w:sz w:val="21"/>
          <w:szCs w:val="21"/>
          <w:rtl w:val="0"/>
        </w:rPr>
        <w:tab/>
      </w:r>
      <w:r>
        <w:rPr>
          <w:rFonts w:ascii="Arial" w:hAnsi="Arial" w:eastAsia="Arial" w:cs="Arial"/>
          <w:b/>
          <w:bCs/>
          <w:color w:val="000000"/>
          <w:sz w:val="21"/>
          <w:szCs w:val="21"/>
          <w:rtl w:val="0"/>
        </w:rPr>
        <w:tab/>
      </w:r>
      <w:r>
        <w:rPr>
          <w:rFonts w:ascii="Arial" w:hAnsi="Arial" w:eastAsia="Arial" w:cs="Arial"/>
          <w:b/>
          <w:bCs/>
          <w:color w:val="000000"/>
          <w:sz w:val="21"/>
          <w:szCs w:val="21"/>
          <w:rtl w:val="0"/>
        </w:rPr>
        <w:tab/>
      </w:r>
      <w:r>
        <w:rPr>
          <w:rFonts w:ascii="Times New Roman" w:hAnsi="Times New Roman" w:eastAsia="Times New Roman" w:cs="Times New Roman"/>
          <w:b/>
          <w:bCs/>
          <w:i/>
          <w:iCs/>
          <w:sz w:val="21"/>
          <w:szCs w:val="21"/>
          <w:rtl w:val="0"/>
        </w:rPr>
        <w:t>Signature of the Faculty</w:t>
      </w:r>
    </w:p>
    <w:p w14:paraId="0000003F">
      <w:pPr>
        <w:ind w:left="2880" w:firstLine="720"/>
        <w:rPr>
          <w:rFonts w:ascii="Arial" w:hAnsi="Arial" w:eastAsia="Arial" w:cs="Arial"/>
        </w:rPr>
      </w:pPr>
    </w:p>
    <w:p w14:paraId="00000040">
      <w:pPr>
        <w:ind w:left="2880" w:firstLine="720"/>
        <w:rPr>
          <w:rFonts w:ascii="Arial" w:hAnsi="Arial" w:eastAsia="Arial" w:cs="Arial"/>
        </w:rPr>
      </w:pPr>
    </w:p>
    <w:p w14:paraId="00000041">
      <w:pPr>
        <w:ind w:left="2880" w:firstLine="720"/>
        <w:rPr>
          <w:rFonts w:ascii="Arial" w:hAnsi="Arial" w:eastAsia="Arial" w:cs="Arial"/>
        </w:rPr>
      </w:pPr>
    </w:p>
    <w:p w14:paraId="00000042">
      <w:pPr>
        <w:ind w:left="2880" w:firstLine="720"/>
        <w:rPr>
          <w:rFonts w:ascii="Arial" w:hAnsi="Arial" w:eastAsia="Arial" w:cs="Arial"/>
        </w:rPr>
      </w:pPr>
    </w:p>
    <w:p w14:paraId="00000043">
      <w:pPr>
        <w:ind w:left="2880" w:firstLine="720"/>
        <w:rPr>
          <w:rFonts w:ascii="Arial" w:hAnsi="Arial" w:eastAsia="Arial" w:cs="Arial"/>
        </w:rPr>
      </w:pPr>
    </w:p>
    <w:p w14:paraId="00000044">
      <w:pPr>
        <w:ind w:left="2880" w:firstLine="720"/>
        <w:rPr>
          <w:rFonts w:ascii="Arial" w:hAnsi="Arial" w:eastAsia="Arial" w:cs="Arial"/>
        </w:rPr>
      </w:pPr>
    </w:p>
    <w:p w14:paraId="00000045">
      <w:pPr>
        <w:ind w:left="2880" w:firstLine="720"/>
        <w:rPr>
          <w:rFonts w:ascii="Arial" w:hAnsi="Arial" w:eastAsia="Arial" w:cs="Arial"/>
        </w:rPr>
      </w:pPr>
    </w:p>
    <w:p w14:paraId="00000046">
      <w:pPr>
        <w:ind w:left="2880" w:firstLine="720"/>
        <w:rPr>
          <w:rFonts w:ascii="Arial" w:hAnsi="Arial" w:eastAsia="Arial" w:cs="Arial"/>
        </w:rPr>
      </w:pPr>
    </w:p>
    <w:p w14:paraId="00000047">
      <w:pPr>
        <w:ind w:left="2880" w:firstLine="720"/>
        <w:rPr>
          <w:rFonts w:ascii="Arial" w:hAnsi="Arial" w:eastAsia="Arial" w:cs="Arial"/>
        </w:rPr>
      </w:pPr>
    </w:p>
    <w:p w14:paraId="00000048">
      <w:pPr>
        <w:ind w:left="2880" w:firstLine="720"/>
        <w:rPr>
          <w:rFonts w:ascii="Arial" w:hAnsi="Arial" w:eastAsia="Arial" w:cs="Arial"/>
        </w:rPr>
      </w:pPr>
      <w:r>
        <w:rPr>
          <w:rFonts w:ascii="Arial" w:hAnsi="Arial" w:eastAsia="Arial" w:cs="Arial"/>
          <w:sz w:val="21"/>
          <w:szCs w:val="21"/>
          <w:rtl w:val="0"/>
        </w:rPr>
        <w:t>Annexure A</w:t>
      </w:r>
    </w:p>
    <w:p w14:paraId="00000049">
      <w:pPr>
        <w:rPr>
          <w:rFonts w:ascii="Arial" w:hAnsi="Arial" w:eastAsia="Arial" w:cs="Arial"/>
          <w:b/>
          <w:bCs/>
        </w:rPr>
      </w:pPr>
      <w:r>
        <w:rPr>
          <w:rFonts w:ascii="Arial" w:hAnsi="Arial" w:eastAsia="Arial" w:cs="Arial"/>
          <w:b/>
          <w:bCs/>
          <w:sz w:val="21"/>
          <w:szCs w:val="21"/>
          <w:rtl w:val="0"/>
        </w:rPr>
        <w:tab/>
      </w:r>
      <w:r>
        <w:rPr>
          <w:rFonts w:ascii="Arial" w:hAnsi="Arial" w:eastAsia="Arial" w:cs="Arial"/>
          <w:b/>
          <w:bCs/>
          <w:sz w:val="21"/>
          <w:szCs w:val="21"/>
          <w:rtl w:val="0"/>
        </w:rPr>
        <w:tab/>
      </w:r>
      <w:r>
        <w:rPr>
          <w:rFonts w:ascii="Arial" w:hAnsi="Arial" w:eastAsia="Arial" w:cs="Arial"/>
          <w:b/>
          <w:bCs/>
          <w:sz w:val="21"/>
          <w:szCs w:val="21"/>
          <w:rtl w:val="0"/>
        </w:rPr>
        <w:tab/>
      </w:r>
      <w:r>
        <w:rPr>
          <w:rFonts w:ascii="Arial" w:hAnsi="Arial" w:eastAsia="Arial" w:cs="Arial"/>
          <w:b/>
          <w:bCs/>
          <w:sz w:val="21"/>
          <w:szCs w:val="21"/>
          <w:rtl w:val="0"/>
        </w:rPr>
        <w:tab/>
      </w:r>
      <w:r>
        <w:rPr>
          <w:rFonts w:ascii="Arial" w:hAnsi="Arial" w:eastAsia="Arial" w:cs="Arial"/>
          <w:b/>
          <w:bCs/>
          <w:sz w:val="21"/>
          <w:szCs w:val="21"/>
          <w:rtl w:val="0"/>
        </w:rPr>
        <w:tab/>
      </w:r>
    </w:p>
    <w:p w14:paraId="0000004A">
      <w:pPr>
        <w:jc w:val="center"/>
        <w:rPr>
          <w:b/>
          <w:bCs/>
          <w:sz w:val="34"/>
          <w:szCs w:val="34"/>
        </w:rPr>
      </w:pPr>
      <w:r>
        <w:rPr>
          <w:rFonts w:ascii="Times New Roman" w:hAnsi="Times New Roman" w:eastAsia="Times New Roman" w:cs="Times New Roman"/>
          <w:b/>
          <w:bCs/>
          <w:sz w:val="28"/>
          <w:szCs w:val="28"/>
          <w:rtl w:val="0"/>
        </w:rPr>
        <w:t>ANALYTICAL PROBLEM SOLVING</w:t>
      </w:r>
    </w:p>
    <w:p w14:paraId="0000004B">
      <w:pPr>
        <w:jc w:val="both"/>
        <w:rPr>
          <w:rFonts w:ascii="Arial" w:hAnsi="Arial" w:eastAsia="Arial" w:cs="Arial"/>
          <w:color w:val="000000"/>
        </w:rPr>
      </w:pPr>
    </w:p>
    <w:p w14:paraId="0000004C">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8"/>
          <w:szCs w:val="28"/>
        </w:rPr>
      </w:pPr>
      <w:r>
        <w:rPr>
          <w:rFonts w:ascii="Times New Roman" w:hAnsi="Times New Roman" w:eastAsia="Times New Roman" w:cs="Times New Roman"/>
          <w:color w:val="000000"/>
          <w:sz w:val="28"/>
          <w:szCs w:val="28"/>
          <w:rtl w:val="0"/>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0000004D">
      <w:pPr>
        <w:pBdr>
          <w:top w:val="none" w:color="auto" w:sz="0" w:space="0"/>
          <w:left w:val="none" w:color="auto" w:sz="0" w:space="0"/>
          <w:bottom w:val="none" w:color="auto" w:sz="0" w:space="0"/>
          <w:right w:val="none" w:color="auto" w:sz="0" w:space="0"/>
          <w:between w:val="none" w:color="auto" w:sz="0" w:space="0"/>
        </w:pBdr>
        <w:jc w:val="both"/>
        <w:rPr>
          <w:color w:val="000000"/>
          <w:sz w:val="28"/>
          <w:szCs w:val="28"/>
        </w:rPr>
      </w:pPr>
    </w:p>
    <w:p w14:paraId="0000004E">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rFonts w:ascii="Times New Roman" w:hAnsi="Times New Roman" w:eastAsia="Times New Roman" w:cs="Times New Roman"/>
          <w:color w:val="000000"/>
          <w:sz w:val="28"/>
          <w:szCs w:val="28"/>
          <w:rtl w:val="0"/>
        </w:rPr>
        <w:t>2.</w:t>
      </w:r>
      <w:r>
        <w:rPr>
          <w:rFonts w:ascii="Times New Roman" w:hAnsi="Times New Roman" w:eastAsia="Times New Roman" w:cs="Times New Roman"/>
          <w:color w:val="000000"/>
          <w:sz w:val="21"/>
          <w:szCs w:val="21"/>
          <w:rtl w:val="0"/>
        </w:rPr>
        <w:t xml:space="preserve"> </w:t>
      </w:r>
      <w:r>
        <w:rPr>
          <w:rFonts w:ascii="Times New Roman" w:hAnsi="Times New Roman" w:eastAsia="Times New Roman" w:cs="Times New Roman"/>
          <w:color w:val="000000"/>
          <w:sz w:val="28"/>
          <w:szCs w:val="28"/>
          <w:rtl w:val="0"/>
        </w:rPr>
        <w:t>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host addresses available in each subnet.</w:t>
      </w:r>
    </w:p>
    <w:p w14:paraId="0000004F">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rFonts w:ascii="Times New Roman" w:hAnsi="Times New Roman" w:eastAsia="Times New Roman" w:cs="Times New Roman"/>
          <w:color w:val="000000"/>
          <w:sz w:val="28"/>
          <w:szCs w:val="28"/>
          <w:rtl w:val="0"/>
        </w:rPr>
        <w:tab/>
      </w:r>
      <w:r>
        <w:rPr>
          <w:rFonts w:ascii="Times New Roman" w:hAnsi="Times New Roman" w:eastAsia="Times New Roman" w:cs="Times New Roman"/>
          <w:b/>
          <w:bCs/>
          <w:color w:val="000000"/>
          <w:sz w:val="28"/>
          <w:szCs w:val="28"/>
          <w:rtl w:val="0"/>
        </w:rPr>
        <w:t xml:space="preserve">               </w:t>
      </w:r>
    </w:p>
    <w:p w14:paraId="00000050">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8"/>
          <w:szCs w:val="28"/>
        </w:rPr>
      </w:pPr>
      <w:r>
        <w:rPr>
          <w:rFonts w:ascii="Times New Roman" w:hAnsi="Times New Roman" w:eastAsia="Times New Roman" w:cs="Times New Roman"/>
          <w:color w:val="000000"/>
          <w:sz w:val="28"/>
          <w:szCs w:val="28"/>
          <w:rtl w:val="0"/>
        </w:rPr>
        <w:t xml:space="preserve">3. An organization has been allocated the IP block </w:t>
      </w:r>
      <w:r>
        <w:rPr>
          <w:rFonts w:ascii="Times New Roman" w:hAnsi="Times New Roman" w:eastAsia="Times New Roman" w:cs="Times New Roman"/>
          <w:b/>
          <w:bCs/>
          <w:color w:val="000000"/>
          <w:sz w:val="28"/>
          <w:szCs w:val="28"/>
          <w:rtl w:val="0"/>
        </w:rPr>
        <w:t>172.16.0.0/16</w:t>
      </w:r>
      <w:r>
        <w:rPr>
          <w:rFonts w:ascii="Cardo" w:hAnsi="Cardo" w:eastAsia="Cardo" w:cs="Cardo"/>
          <w:color w:val="000000"/>
          <w:sz w:val="28"/>
          <w:szCs w:val="28"/>
          <w:rtl w:val="0"/>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14:paraId="0000005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rFonts w:ascii="Times New Roman" w:hAnsi="Times New Roman" w:eastAsia="Times New Roman" w:cs="Times New Roman"/>
          <w:color w:val="000000"/>
          <w:sz w:val="28"/>
          <w:szCs w:val="28"/>
          <w:rtl w:val="0"/>
        </w:rPr>
        <w:t xml:space="preserve">4. A company uses the IP address </w:t>
      </w:r>
      <w:r>
        <w:rPr>
          <w:rFonts w:ascii="Times New Roman" w:hAnsi="Times New Roman" w:eastAsia="Times New Roman" w:cs="Times New Roman"/>
          <w:b/>
          <w:bCs/>
          <w:color w:val="000000"/>
          <w:sz w:val="28"/>
          <w:szCs w:val="28"/>
          <w:rtl w:val="0"/>
        </w:rPr>
        <w:t>172.16.10.0/24</w:t>
      </w:r>
      <w:r>
        <w:rPr>
          <w:rFonts w:ascii="Times New Roman" w:hAnsi="Times New Roman" w:eastAsia="Times New Roman" w:cs="Times New Roman"/>
          <w:color w:val="000000"/>
          <w:sz w:val="28"/>
          <w:szCs w:val="28"/>
          <w:rtl w:val="0"/>
        </w:rPr>
        <w:t xml:space="preserve"> and has implemented subnetting using a </w:t>
      </w:r>
      <w:r>
        <w:rPr>
          <w:rFonts w:ascii="Times New Roman" w:hAnsi="Times New Roman" w:eastAsia="Times New Roman" w:cs="Times New Roman"/>
          <w:b/>
          <w:bCs/>
          <w:color w:val="000000"/>
          <w:sz w:val="28"/>
          <w:szCs w:val="28"/>
          <w:rtl w:val="0"/>
        </w:rPr>
        <w:t>/27 subnet mask</w:t>
      </w:r>
      <w:r>
        <w:rPr>
          <w:rFonts w:ascii="Times New Roman" w:hAnsi="Times New Roman" w:eastAsia="Times New Roman" w:cs="Times New Roman"/>
          <w:color w:val="000000"/>
          <w:sz w:val="28"/>
          <w:szCs w:val="28"/>
          <w:rtl w:val="0"/>
        </w:rPr>
        <w:t xml:space="preserve"> for its internal departments. Using the given subnet mask, apply subnetting techniques to calculate the total number of subnets created and the number of usable hosts per subnet. Determine the subnet to which the IP address </w:t>
      </w:r>
      <w:r>
        <w:rPr>
          <w:rFonts w:ascii="Times New Roman" w:hAnsi="Times New Roman" w:eastAsia="Times New Roman" w:cs="Times New Roman"/>
          <w:b/>
          <w:bCs/>
          <w:color w:val="000000"/>
          <w:sz w:val="28"/>
          <w:szCs w:val="28"/>
          <w:rtl w:val="0"/>
        </w:rPr>
        <w:t>172.16.10.78</w:t>
      </w:r>
      <w:r>
        <w:rPr>
          <w:rFonts w:ascii="Times New Roman" w:hAnsi="Times New Roman" w:eastAsia="Times New Roman" w:cs="Times New Roman"/>
          <w:color w:val="000000"/>
          <w:sz w:val="28"/>
          <w:szCs w:val="28"/>
          <w:rtl w:val="0"/>
        </w:rPr>
        <w:t xml:space="preserve"> belongs. Identify the network address and broadcast address for that subnet. Also, determine whether the IP address </w:t>
      </w:r>
      <w:r>
        <w:rPr>
          <w:rFonts w:ascii="Times New Roman" w:hAnsi="Times New Roman" w:eastAsia="Times New Roman" w:cs="Times New Roman"/>
          <w:b/>
          <w:bCs/>
          <w:color w:val="000000"/>
          <w:sz w:val="28"/>
          <w:szCs w:val="28"/>
          <w:rtl w:val="0"/>
        </w:rPr>
        <w:t>172.16.10.95</w:t>
      </w:r>
      <w:r>
        <w:rPr>
          <w:rFonts w:ascii="Times New Roman" w:hAnsi="Times New Roman" w:eastAsia="Times New Roman" w:cs="Times New Roman"/>
          <w:color w:val="000000"/>
          <w:sz w:val="28"/>
          <w:szCs w:val="28"/>
          <w:rtl w:val="0"/>
        </w:rPr>
        <w:t xml:space="preserve"> falls within the same subnet range based on the given configuration.</w:t>
      </w:r>
    </w:p>
    <w:p w14:paraId="00000052">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p>
    <w:p w14:paraId="00000053">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rFonts w:ascii="Times New Roman" w:hAnsi="Times New Roman" w:eastAsia="Times New Roman" w:cs="Times New Roman"/>
          <w:color w:val="000000"/>
          <w:sz w:val="28"/>
          <w:szCs w:val="28"/>
          <w:rtl w:val="0"/>
        </w:rPr>
        <w:t>5.</w:t>
      </w:r>
      <w:r>
        <w:rPr>
          <w:rFonts w:ascii="Times New Roman" w:hAnsi="Times New Roman" w:eastAsia="Times New Roman" w:cs="Times New Roman"/>
          <w:sz w:val="16"/>
          <w:szCs w:val="16"/>
          <w:rtl w:val="0"/>
        </w:rPr>
        <w:t xml:space="preserve"> </w:t>
      </w:r>
      <w:r>
        <w:rPr>
          <w:rFonts w:ascii="Times New Roman" w:hAnsi="Times New Roman" w:eastAsia="Times New Roman" w:cs="Times New Roman"/>
          <w:color w:val="000000"/>
          <w:sz w:val="28"/>
          <w:szCs w:val="28"/>
          <w:rtl w:val="0"/>
        </w:rPr>
        <w:t xml:space="preserve">A network uses the Internet Protocol </w:t>
      </w:r>
      <w:r>
        <w:rPr>
          <w:rFonts w:ascii="Times New Roman" w:hAnsi="Times New Roman" w:eastAsia="Times New Roman" w:cs="Times New Roman"/>
          <w:sz w:val="28"/>
          <w:szCs w:val="28"/>
          <w:rtl w:val="0"/>
        </w:rPr>
        <w:t>version 6</w:t>
      </w:r>
      <w:r>
        <w:rPr>
          <w:rFonts w:ascii="Times New Roman" w:hAnsi="Times New Roman" w:eastAsia="Times New Roman" w:cs="Times New Roman"/>
          <w:color w:val="000000"/>
          <w:sz w:val="28"/>
          <w:szCs w:val="28"/>
          <w:rtl w:val="0"/>
        </w:rPr>
        <w:t xml:space="preserve"> address </w:t>
      </w:r>
      <w:r>
        <w:rPr>
          <w:rFonts w:ascii="Times New Roman" w:hAnsi="Times New Roman" w:eastAsia="Times New Roman" w:cs="Times New Roman"/>
          <w:b/>
          <w:bCs/>
          <w:color w:val="000000"/>
          <w:sz w:val="28"/>
          <w:szCs w:val="28"/>
          <w:rtl w:val="0"/>
        </w:rPr>
        <w:t>2001:0db8:0000:0000:0000:ff00:0042:8329</w:t>
      </w:r>
      <w:r>
        <w:rPr>
          <w:rFonts w:ascii="Times New Roman" w:hAnsi="Times New Roman" w:eastAsia="Times New Roman" w:cs="Times New Roman"/>
          <w:color w:val="000000"/>
          <w:sz w:val="28"/>
          <w:szCs w:val="28"/>
          <w:rtl w:val="0"/>
        </w:rPr>
        <w:t xml:space="preserve">. Apply IPv6 addressing rules to compress the given address into its shortest form and then expand the compressed address back to its full notation. Using a prefix length of </w:t>
      </w:r>
      <w:r>
        <w:rPr>
          <w:rFonts w:ascii="Times New Roman" w:hAnsi="Times New Roman" w:eastAsia="Times New Roman" w:cs="Times New Roman"/>
          <w:b/>
          <w:bCs/>
          <w:color w:val="000000"/>
          <w:sz w:val="28"/>
          <w:szCs w:val="28"/>
          <w:rtl w:val="0"/>
        </w:rPr>
        <w:t>/64</w:t>
      </w:r>
      <w:r>
        <w:rPr>
          <w:rFonts w:ascii="Times New Roman" w:hAnsi="Times New Roman" w:eastAsia="Times New Roman" w:cs="Times New Roman"/>
          <w:color w:val="000000"/>
          <w:sz w:val="28"/>
          <w:szCs w:val="28"/>
          <w:rtl w:val="0"/>
        </w:rPr>
        <w:t>, determine the network prefix of the given address. Also, calculate the total number of possible host addresses available within this network based on the given prefix length.</w:t>
      </w:r>
    </w:p>
    <w:p w14:paraId="00000054">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p>
    <w:p w14:paraId="00000055">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p>
    <w:p w14:paraId="00000056">
      <w:pPr>
        <w:pBdr>
          <w:top w:val="none" w:color="auto" w:sz="0" w:space="0"/>
          <w:left w:val="none" w:color="auto" w:sz="0" w:space="0"/>
          <w:bottom w:val="none" w:color="auto" w:sz="0" w:space="0"/>
          <w:right w:val="none" w:color="auto" w:sz="0" w:space="0"/>
          <w:between w:val="none" w:color="auto" w:sz="0" w:space="0"/>
        </w:pBdr>
        <w:jc w:val="center"/>
        <w:rPr>
          <w:rFonts w:ascii="Arial" w:hAnsi="Arial" w:eastAsia="Arial" w:cs="Arial"/>
          <w:b/>
          <w:bCs/>
          <w:color w:val="000000"/>
        </w:rPr>
      </w:pPr>
      <w:r>
        <w:rPr>
          <w:rFonts w:ascii="Arial" w:hAnsi="Arial" w:eastAsia="Arial" w:cs="Arial"/>
          <w:b/>
          <w:bCs/>
          <w:color w:val="000000"/>
          <w:sz w:val="21"/>
          <w:szCs w:val="21"/>
          <w:rtl w:val="0"/>
        </w:rPr>
        <w:t>RUBRICS FOR CALCULATION</w:t>
      </w:r>
    </w:p>
    <w:p w14:paraId="0000005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4"/>
        <w:tblW w:w="9596" w:type="dxa"/>
        <w:tblInd w:w="-5" w:type="dxa"/>
        <w:tblLayout w:type="fixed"/>
        <w:tblCellMar>
          <w:top w:w="0" w:type="dxa"/>
          <w:left w:w="115" w:type="dxa"/>
          <w:bottom w:w="0" w:type="dxa"/>
          <w:right w:w="115" w:type="dxa"/>
        </w:tblCellMar>
      </w:tblPr>
      <w:tblGrid>
        <w:gridCol w:w="1883"/>
        <w:gridCol w:w="1303"/>
        <w:gridCol w:w="1636"/>
        <w:gridCol w:w="1533"/>
        <w:gridCol w:w="1708"/>
        <w:gridCol w:w="1533"/>
      </w:tblGrid>
      <w:tr w14:paraId="256661AC">
        <w:tblPrEx>
          <w:tblCellMar>
            <w:top w:w="0" w:type="dxa"/>
            <w:left w:w="115" w:type="dxa"/>
            <w:bottom w:w="0" w:type="dxa"/>
            <w:right w:w="115" w:type="dxa"/>
          </w:tblCellMar>
        </w:tblPrEx>
        <w:trPr>
          <w:trHeight w:val="833" w:hRule="atLeast"/>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000058">
            <w:r>
              <w:rPr>
                <w:rFonts w:ascii="Times New Roman" w:hAnsi="Times New Roman" w:eastAsia="Times New Roman" w:cs="Times New Roman"/>
                <w:sz w:val="17"/>
                <w:szCs w:val="17"/>
                <w:rtl w:val="0"/>
              </w:rPr>
              <w:t>Criteria</w:t>
            </w:r>
          </w:p>
        </w:tc>
        <w:tc>
          <w:tcPr>
            <w:tcBorders>
              <w:top w:val="single" w:color="000000" w:sz="4" w:space="0"/>
              <w:left w:val="nil"/>
              <w:bottom w:val="single" w:color="000000" w:sz="4" w:space="0"/>
              <w:right w:val="single" w:color="000000" w:sz="4" w:space="0"/>
            </w:tcBorders>
            <w:shd w:val="clear" w:color="auto" w:fill="FFFFFF"/>
            <w:vAlign w:val="center"/>
          </w:tcPr>
          <w:p w14:paraId="00000059">
            <w:pPr>
              <w:jc w:val="center"/>
            </w:pPr>
            <w:r>
              <w:rPr>
                <w:rFonts w:ascii="Times New Roman" w:hAnsi="Times New Roman" w:eastAsia="Times New Roman" w:cs="Times New Roman"/>
                <w:sz w:val="17"/>
                <w:szCs w:val="17"/>
                <w:rtl w:val="0"/>
              </w:rPr>
              <w:t>Weightage</w:t>
            </w:r>
          </w:p>
        </w:tc>
        <w:tc>
          <w:tcPr>
            <w:tcBorders>
              <w:top w:val="single" w:color="000000" w:sz="4" w:space="0"/>
              <w:left w:val="nil"/>
              <w:bottom w:val="single" w:color="000000" w:sz="4" w:space="0"/>
              <w:right w:val="single" w:color="000000" w:sz="4" w:space="0"/>
            </w:tcBorders>
            <w:shd w:val="clear" w:color="auto" w:fill="FFFFFF"/>
            <w:vAlign w:val="center"/>
          </w:tcPr>
          <w:p w14:paraId="0000005A">
            <w:pPr>
              <w:jc w:val="center"/>
            </w:pPr>
            <w:r>
              <w:rPr>
                <w:rFonts w:ascii="Times New Roman" w:hAnsi="Times New Roman" w:eastAsia="Times New Roman" w:cs="Times New Roman"/>
                <w:sz w:val="17"/>
                <w:szCs w:val="17"/>
                <w:rtl w:val="0"/>
              </w:rPr>
              <w:t>Level 4 (Exemplary)</w:t>
            </w:r>
          </w:p>
        </w:tc>
        <w:tc>
          <w:tcPr>
            <w:tcBorders>
              <w:top w:val="single" w:color="000000" w:sz="4" w:space="0"/>
              <w:left w:val="nil"/>
              <w:bottom w:val="single" w:color="000000" w:sz="4" w:space="0"/>
              <w:right w:val="single" w:color="000000" w:sz="4" w:space="0"/>
            </w:tcBorders>
            <w:shd w:val="clear" w:color="auto" w:fill="FFFFFF"/>
            <w:vAlign w:val="center"/>
          </w:tcPr>
          <w:p w14:paraId="0000005B">
            <w:pPr>
              <w:jc w:val="center"/>
            </w:pPr>
            <w:r>
              <w:rPr>
                <w:rFonts w:ascii="Times New Roman" w:hAnsi="Times New Roman" w:eastAsia="Times New Roman" w:cs="Times New Roman"/>
                <w:sz w:val="17"/>
                <w:szCs w:val="17"/>
                <w:rtl w:val="0"/>
              </w:rPr>
              <w:t>Level 3 (Proficient)</w:t>
            </w:r>
          </w:p>
        </w:tc>
        <w:tc>
          <w:tcPr>
            <w:tcBorders>
              <w:top w:val="single" w:color="000000" w:sz="4" w:space="0"/>
              <w:left w:val="nil"/>
              <w:bottom w:val="single" w:color="000000" w:sz="4" w:space="0"/>
              <w:right w:val="single" w:color="000000" w:sz="4" w:space="0"/>
            </w:tcBorders>
            <w:shd w:val="clear" w:color="auto" w:fill="FFFFFF"/>
            <w:vAlign w:val="center"/>
          </w:tcPr>
          <w:p w14:paraId="0000005C">
            <w:pPr>
              <w:jc w:val="center"/>
            </w:pPr>
            <w:r>
              <w:rPr>
                <w:rFonts w:ascii="Times New Roman" w:hAnsi="Times New Roman" w:eastAsia="Times New Roman" w:cs="Times New Roman"/>
                <w:sz w:val="17"/>
                <w:szCs w:val="17"/>
                <w:rtl w:val="0"/>
              </w:rPr>
              <w:t>Level 2 (Developing)</w:t>
            </w:r>
          </w:p>
        </w:tc>
        <w:tc>
          <w:tcPr>
            <w:tcBorders>
              <w:top w:val="single" w:color="000000" w:sz="4" w:space="0"/>
              <w:left w:val="nil"/>
              <w:bottom w:val="single" w:color="000000" w:sz="4" w:space="0"/>
              <w:right w:val="single" w:color="000000" w:sz="4" w:space="0"/>
            </w:tcBorders>
            <w:shd w:val="clear" w:color="auto" w:fill="FFFFFF"/>
            <w:vAlign w:val="center"/>
          </w:tcPr>
          <w:p w14:paraId="0000005D">
            <w:pPr>
              <w:jc w:val="center"/>
            </w:pPr>
            <w:r>
              <w:rPr>
                <w:rFonts w:ascii="Times New Roman" w:hAnsi="Times New Roman" w:eastAsia="Times New Roman" w:cs="Times New Roman"/>
                <w:sz w:val="17"/>
                <w:szCs w:val="17"/>
                <w:rtl w:val="0"/>
              </w:rPr>
              <w:t>Level 1 (Beginning)</w:t>
            </w:r>
          </w:p>
        </w:tc>
      </w:tr>
      <w:tr w14:paraId="5C58888B">
        <w:tblPrEx>
          <w:tblCellMar>
            <w:top w:w="0" w:type="dxa"/>
            <w:left w:w="115" w:type="dxa"/>
            <w:bottom w:w="0" w:type="dxa"/>
            <w:right w:w="115" w:type="dxa"/>
          </w:tblCellMar>
        </w:tblPrEx>
        <w:trPr>
          <w:trHeight w:val="1300" w:hRule="atLeast"/>
        </w:trPr>
        <w:tc>
          <w:tcPr>
            <w:tcBorders>
              <w:top w:val="nil"/>
              <w:left w:val="single" w:color="000000" w:sz="4" w:space="0"/>
              <w:bottom w:val="single" w:color="000000" w:sz="4" w:space="0"/>
              <w:right w:val="single" w:color="000000" w:sz="4" w:space="0"/>
            </w:tcBorders>
            <w:vAlign w:val="center"/>
          </w:tcPr>
          <w:p w14:paraId="0000005E">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Problem Understanding</w:t>
            </w:r>
          </w:p>
        </w:tc>
        <w:tc>
          <w:tcPr>
            <w:tcBorders>
              <w:top w:val="nil"/>
              <w:left w:val="nil"/>
              <w:bottom w:val="single" w:color="000000" w:sz="4" w:space="0"/>
              <w:right w:val="single" w:color="000000" w:sz="4" w:space="0"/>
            </w:tcBorders>
            <w:vAlign w:val="center"/>
          </w:tcPr>
          <w:p w14:paraId="0000005F">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20%</w:t>
            </w:r>
          </w:p>
        </w:tc>
        <w:tc>
          <w:tcPr>
            <w:tcBorders>
              <w:top w:val="nil"/>
              <w:left w:val="nil"/>
              <w:bottom w:val="single" w:color="000000" w:sz="4" w:space="0"/>
              <w:right w:val="single" w:color="000000" w:sz="4" w:space="0"/>
            </w:tcBorders>
            <w:vAlign w:val="center"/>
          </w:tcPr>
          <w:p w14:paraId="00000060">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Clearly interprets problem, identifies all parameters and requirements accurately</w:t>
            </w:r>
          </w:p>
        </w:tc>
        <w:tc>
          <w:tcPr>
            <w:tcBorders>
              <w:top w:val="nil"/>
              <w:left w:val="nil"/>
              <w:bottom w:val="single" w:color="000000" w:sz="4" w:space="0"/>
              <w:right w:val="single" w:color="000000" w:sz="4" w:space="0"/>
            </w:tcBorders>
            <w:vAlign w:val="center"/>
          </w:tcPr>
          <w:p w14:paraId="00000061">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Understands problem with minor gaps</w:t>
            </w:r>
          </w:p>
        </w:tc>
        <w:tc>
          <w:tcPr>
            <w:tcBorders>
              <w:top w:val="nil"/>
              <w:left w:val="nil"/>
              <w:bottom w:val="single" w:color="000000" w:sz="4" w:space="0"/>
              <w:right w:val="single" w:color="000000" w:sz="4" w:space="0"/>
            </w:tcBorders>
            <w:vAlign w:val="center"/>
          </w:tcPr>
          <w:p w14:paraId="00000062">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Partial understanding; misses key elements</w:t>
            </w:r>
          </w:p>
        </w:tc>
        <w:tc>
          <w:tcPr>
            <w:tcBorders>
              <w:top w:val="nil"/>
              <w:left w:val="nil"/>
              <w:bottom w:val="single" w:color="000000" w:sz="4" w:space="0"/>
              <w:right w:val="single" w:color="000000" w:sz="4" w:space="0"/>
            </w:tcBorders>
            <w:vAlign w:val="center"/>
          </w:tcPr>
          <w:p w14:paraId="00000063">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Misinterprets or unable to understand problem</w:t>
            </w:r>
          </w:p>
        </w:tc>
      </w:tr>
      <w:tr w14:paraId="59D5FDC8">
        <w:tblPrEx>
          <w:tblCellMar>
            <w:top w:w="0" w:type="dxa"/>
            <w:left w:w="115" w:type="dxa"/>
            <w:bottom w:w="0" w:type="dxa"/>
            <w:right w:w="115" w:type="dxa"/>
          </w:tblCellMar>
        </w:tblPrEx>
        <w:trPr>
          <w:trHeight w:val="1300" w:hRule="atLeast"/>
        </w:trPr>
        <w:tc>
          <w:tcPr>
            <w:tcBorders>
              <w:top w:val="nil"/>
              <w:left w:val="single" w:color="000000" w:sz="4" w:space="0"/>
              <w:bottom w:val="single" w:color="000000" w:sz="4" w:space="0"/>
              <w:right w:val="single" w:color="000000" w:sz="4" w:space="0"/>
            </w:tcBorders>
            <w:vAlign w:val="center"/>
          </w:tcPr>
          <w:p w14:paraId="00000064">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Method Selection</w:t>
            </w:r>
          </w:p>
        </w:tc>
        <w:tc>
          <w:tcPr>
            <w:tcBorders>
              <w:top w:val="nil"/>
              <w:left w:val="nil"/>
              <w:bottom w:val="single" w:color="000000" w:sz="4" w:space="0"/>
              <w:right w:val="single" w:color="000000" w:sz="4" w:space="0"/>
            </w:tcBorders>
            <w:vAlign w:val="center"/>
          </w:tcPr>
          <w:p w14:paraId="00000065">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20%</w:t>
            </w:r>
          </w:p>
        </w:tc>
        <w:tc>
          <w:tcPr>
            <w:tcBorders>
              <w:top w:val="nil"/>
              <w:left w:val="nil"/>
              <w:bottom w:val="single" w:color="000000" w:sz="4" w:space="0"/>
              <w:right w:val="single" w:color="000000" w:sz="4" w:space="0"/>
            </w:tcBorders>
            <w:vAlign w:val="center"/>
          </w:tcPr>
          <w:p w14:paraId="00000066">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Selects most appropriate method/formula with strong justification</w:t>
            </w:r>
          </w:p>
        </w:tc>
        <w:tc>
          <w:tcPr>
            <w:tcBorders>
              <w:top w:val="nil"/>
              <w:left w:val="nil"/>
              <w:bottom w:val="single" w:color="000000" w:sz="4" w:space="0"/>
              <w:right w:val="single" w:color="000000" w:sz="4" w:space="0"/>
            </w:tcBorders>
            <w:vAlign w:val="center"/>
          </w:tcPr>
          <w:p w14:paraId="00000067">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Selects correct method with minor errors</w:t>
            </w:r>
          </w:p>
        </w:tc>
        <w:tc>
          <w:tcPr>
            <w:tcBorders>
              <w:top w:val="nil"/>
              <w:left w:val="nil"/>
              <w:bottom w:val="single" w:color="000000" w:sz="4" w:space="0"/>
              <w:right w:val="single" w:color="000000" w:sz="4" w:space="0"/>
            </w:tcBorders>
            <w:vAlign w:val="center"/>
          </w:tcPr>
          <w:p w14:paraId="00000068">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Inappropriate or partially correct method</w:t>
            </w:r>
          </w:p>
        </w:tc>
        <w:tc>
          <w:tcPr>
            <w:tcBorders>
              <w:top w:val="nil"/>
              <w:left w:val="nil"/>
              <w:bottom w:val="single" w:color="000000" w:sz="4" w:space="0"/>
              <w:right w:val="single" w:color="000000" w:sz="4" w:space="0"/>
            </w:tcBorders>
            <w:vAlign w:val="center"/>
          </w:tcPr>
          <w:p w14:paraId="00000069">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Unable to select method</w:t>
            </w:r>
          </w:p>
        </w:tc>
      </w:tr>
      <w:tr w14:paraId="331A7BDB">
        <w:tblPrEx>
          <w:tblCellMar>
            <w:top w:w="0" w:type="dxa"/>
            <w:left w:w="115" w:type="dxa"/>
            <w:bottom w:w="0" w:type="dxa"/>
            <w:right w:w="115" w:type="dxa"/>
          </w:tblCellMar>
        </w:tblPrEx>
        <w:trPr>
          <w:trHeight w:val="1300" w:hRule="atLeast"/>
        </w:trPr>
        <w:tc>
          <w:tcPr>
            <w:tcBorders>
              <w:top w:val="nil"/>
              <w:left w:val="single" w:color="000000" w:sz="4" w:space="0"/>
              <w:bottom w:val="single" w:color="000000" w:sz="4" w:space="0"/>
              <w:right w:val="single" w:color="000000" w:sz="4" w:space="0"/>
            </w:tcBorders>
            <w:vAlign w:val="center"/>
          </w:tcPr>
          <w:p w14:paraId="0000006A">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Solution Process</w:t>
            </w:r>
          </w:p>
        </w:tc>
        <w:tc>
          <w:tcPr>
            <w:tcBorders>
              <w:top w:val="nil"/>
              <w:left w:val="nil"/>
              <w:bottom w:val="single" w:color="000000" w:sz="4" w:space="0"/>
              <w:right w:val="single" w:color="000000" w:sz="4" w:space="0"/>
            </w:tcBorders>
            <w:vAlign w:val="center"/>
          </w:tcPr>
          <w:p w14:paraId="0000006B">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25%</w:t>
            </w:r>
          </w:p>
        </w:tc>
        <w:tc>
          <w:tcPr>
            <w:tcBorders>
              <w:top w:val="nil"/>
              <w:left w:val="nil"/>
              <w:bottom w:val="single" w:color="000000" w:sz="4" w:space="0"/>
              <w:right w:val="single" w:color="000000" w:sz="4" w:space="0"/>
            </w:tcBorders>
            <w:vAlign w:val="center"/>
          </w:tcPr>
          <w:p w14:paraId="0000006C">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Logical, systematic steps with correct approach throughout</w:t>
            </w:r>
          </w:p>
        </w:tc>
        <w:tc>
          <w:tcPr>
            <w:tcBorders>
              <w:top w:val="nil"/>
              <w:left w:val="nil"/>
              <w:bottom w:val="single" w:color="000000" w:sz="4" w:space="0"/>
              <w:right w:val="single" w:color="000000" w:sz="4" w:space="0"/>
            </w:tcBorders>
            <w:vAlign w:val="center"/>
          </w:tcPr>
          <w:p w14:paraId="0000006D">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Mostly correct steps with minor mistakes</w:t>
            </w:r>
          </w:p>
        </w:tc>
        <w:tc>
          <w:tcPr>
            <w:tcBorders>
              <w:top w:val="nil"/>
              <w:left w:val="nil"/>
              <w:bottom w:val="single" w:color="000000" w:sz="4" w:space="0"/>
              <w:right w:val="single" w:color="000000" w:sz="4" w:space="0"/>
            </w:tcBorders>
            <w:vAlign w:val="center"/>
          </w:tcPr>
          <w:p w14:paraId="0000006E">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Disorganized steps; multiple errors</w:t>
            </w:r>
          </w:p>
        </w:tc>
        <w:tc>
          <w:tcPr>
            <w:tcBorders>
              <w:top w:val="nil"/>
              <w:left w:val="nil"/>
              <w:bottom w:val="single" w:color="000000" w:sz="4" w:space="0"/>
              <w:right w:val="single" w:color="000000" w:sz="4" w:space="0"/>
            </w:tcBorders>
            <w:vAlign w:val="center"/>
          </w:tcPr>
          <w:p w14:paraId="0000006F">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No clear process</w:t>
            </w:r>
          </w:p>
        </w:tc>
      </w:tr>
      <w:tr w14:paraId="413E190E">
        <w:tblPrEx>
          <w:tblCellMar>
            <w:top w:w="0" w:type="dxa"/>
            <w:left w:w="115" w:type="dxa"/>
            <w:bottom w:w="0" w:type="dxa"/>
            <w:right w:w="115" w:type="dxa"/>
          </w:tblCellMar>
        </w:tblPrEx>
        <w:trPr>
          <w:trHeight w:val="780" w:hRule="atLeast"/>
        </w:trPr>
        <w:tc>
          <w:tcPr>
            <w:tcBorders>
              <w:top w:val="nil"/>
              <w:left w:val="single" w:color="000000" w:sz="4" w:space="0"/>
              <w:bottom w:val="single" w:color="000000" w:sz="4" w:space="0"/>
              <w:right w:val="single" w:color="000000" w:sz="4" w:space="0"/>
            </w:tcBorders>
            <w:vAlign w:val="center"/>
          </w:tcPr>
          <w:p w14:paraId="00000070">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Accuracy of Calculation</w:t>
            </w:r>
          </w:p>
        </w:tc>
        <w:tc>
          <w:tcPr>
            <w:tcBorders>
              <w:top w:val="nil"/>
              <w:left w:val="nil"/>
              <w:bottom w:val="single" w:color="000000" w:sz="4" w:space="0"/>
              <w:right w:val="single" w:color="000000" w:sz="4" w:space="0"/>
            </w:tcBorders>
            <w:vAlign w:val="center"/>
          </w:tcPr>
          <w:p w14:paraId="00000071">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20%</w:t>
            </w:r>
          </w:p>
        </w:tc>
        <w:tc>
          <w:tcPr>
            <w:tcBorders>
              <w:top w:val="nil"/>
              <w:left w:val="nil"/>
              <w:bottom w:val="single" w:color="000000" w:sz="4" w:space="0"/>
              <w:right w:val="single" w:color="000000" w:sz="4" w:space="0"/>
            </w:tcBorders>
            <w:vAlign w:val="center"/>
          </w:tcPr>
          <w:p w14:paraId="00000072">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All calculations accurate; correct final answer</w:t>
            </w:r>
          </w:p>
        </w:tc>
        <w:tc>
          <w:tcPr>
            <w:tcBorders>
              <w:top w:val="nil"/>
              <w:left w:val="nil"/>
              <w:bottom w:val="single" w:color="000000" w:sz="4" w:space="0"/>
              <w:right w:val="single" w:color="000000" w:sz="4" w:space="0"/>
            </w:tcBorders>
            <w:vAlign w:val="center"/>
          </w:tcPr>
          <w:p w14:paraId="00000073">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Minor calculation errors</w:t>
            </w:r>
          </w:p>
        </w:tc>
        <w:tc>
          <w:tcPr>
            <w:tcBorders>
              <w:top w:val="nil"/>
              <w:left w:val="nil"/>
              <w:bottom w:val="single" w:color="000000" w:sz="4" w:space="0"/>
              <w:right w:val="single" w:color="000000" w:sz="4" w:space="0"/>
            </w:tcBorders>
            <w:vAlign w:val="center"/>
          </w:tcPr>
          <w:p w14:paraId="00000074">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Frequent errors; incorrect final answer</w:t>
            </w:r>
          </w:p>
        </w:tc>
        <w:tc>
          <w:tcPr>
            <w:tcBorders>
              <w:top w:val="nil"/>
              <w:left w:val="nil"/>
              <w:bottom w:val="single" w:color="000000" w:sz="4" w:space="0"/>
              <w:right w:val="single" w:color="000000" w:sz="4" w:space="0"/>
            </w:tcBorders>
            <w:vAlign w:val="center"/>
          </w:tcPr>
          <w:p w14:paraId="00000075">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No valid calculations</w:t>
            </w:r>
          </w:p>
        </w:tc>
      </w:tr>
      <w:tr w14:paraId="161B00E5">
        <w:tblPrEx>
          <w:tblCellMar>
            <w:top w:w="0" w:type="dxa"/>
            <w:left w:w="115" w:type="dxa"/>
            <w:bottom w:w="0" w:type="dxa"/>
            <w:right w:w="115" w:type="dxa"/>
          </w:tblCellMar>
        </w:tblPrEx>
        <w:trPr>
          <w:trHeight w:val="1039" w:hRule="atLeast"/>
        </w:trPr>
        <w:tc>
          <w:tcPr>
            <w:tcBorders>
              <w:top w:val="nil"/>
              <w:left w:val="single" w:color="000000" w:sz="4" w:space="0"/>
              <w:bottom w:val="single" w:color="000000" w:sz="4" w:space="0"/>
              <w:right w:val="single" w:color="000000" w:sz="4" w:space="0"/>
            </w:tcBorders>
            <w:vAlign w:val="center"/>
          </w:tcPr>
          <w:p w14:paraId="00000076">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Interpretation of Results</w:t>
            </w:r>
          </w:p>
        </w:tc>
        <w:tc>
          <w:tcPr>
            <w:tcBorders>
              <w:top w:val="nil"/>
              <w:left w:val="nil"/>
              <w:bottom w:val="single" w:color="000000" w:sz="4" w:space="0"/>
              <w:right w:val="single" w:color="000000" w:sz="4" w:space="0"/>
            </w:tcBorders>
            <w:vAlign w:val="center"/>
          </w:tcPr>
          <w:p w14:paraId="00000077">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15%</w:t>
            </w:r>
          </w:p>
        </w:tc>
        <w:tc>
          <w:tcPr>
            <w:tcBorders>
              <w:top w:val="nil"/>
              <w:left w:val="nil"/>
              <w:bottom w:val="single" w:color="000000" w:sz="4" w:space="0"/>
              <w:right w:val="single" w:color="000000" w:sz="4" w:space="0"/>
            </w:tcBorders>
            <w:vAlign w:val="center"/>
          </w:tcPr>
          <w:p w14:paraId="00000078">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Clearly interprets results with units and engineering relevance</w:t>
            </w:r>
          </w:p>
        </w:tc>
        <w:tc>
          <w:tcPr>
            <w:tcBorders>
              <w:top w:val="nil"/>
              <w:left w:val="nil"/>
              <w:bottom w:val="single" w:color="000000" w:sz="4" w:space="0"/>
              <w:right w:val="single" w:color="000000" w:sz="4" w:space="0"/>
            </w:tcBorders>
            <w:vAlign w:val="center"/>
          </w:tcPr>
          <w:p w14:paraId="00000079">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Basic interpretation with minor omissions</w:t>
            </w:r>
          </w:p>
        </w:tc>
        <w:tc>
          <w:tcPr>
            <w:tcBorders>
              <w:top w:val="nil"/>
              <w:left w:val="nil"/>
              <w:bottom w:val="single" w:color="000000" w:sz="4" w:space="0"/>
              <w:right w:val="single" w:color="000000" w:sz="4" w:space="0"/>
            </w:tcBorders>
            <w:vAlign w:val="center"/>
          </w:tcPr>
          <w:p w14:paraId="0000007A">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Limited or unclear interpretation</w:t>
            </w:r>
          </w:p>
        </w:tc>
        <w:tc>
          <w:tcPr>
            <w:tcBorders>
              <w:top w:val="nil"/>
              <w:left w:val="nil"/>
              <w:bottom w:val="single" w:color="000000" w:sz="4" w:space="0"/>
              <w:right w:val="single" w:color="000000" w:sz="4" w:space="0"/>
            </w:tcBorders>
            <w:vAlign w:val="center"/>
          </w:tcPr>
          <w:p w14:paraId="0000007B">
            <w:pPr>
              <w:jc w:val="center"/>
              <w:rPr>
                <w:rFonts w:ascii="Arial" w:hAnsi="Arial" w:eastAsia="Arial" w:cs="Arial"/>
                <w:color w:val="000000"/>
                <w:sz w:val="22"/>
                <w:szCs w:val="22"/>
              </w:rPr>
            </w:pPr>
            <w:r>
              <w:rPr>
                <w:rFonts w:ascii="Times New Roman" w:hAnsi="Times New Roman" w:eastAsia="Times New Roman" w:cs="Times New Roman"/>
                <w:color w:val="000000"/>
                <w:sz w:val="17"/>
                <w:szCs w:val="17"/>
                <w:rtl w:val="0"/>
              </w:rPr>
              <w:t>No interpretation</w:t>
            </w:r>
          </w:p>
        </w:tc>
      </w:tr>
    </w:tbl>
    <w:p w14:paraId="0000007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000007D">
      <w:pPr>
        <w:ind w:left="1440" w:firstLine="720"/>
      </w:pPr>
    </w:p>
    <w:p w14:paraId="0000007E">
      <w:pPr>
        <w:rPr>
          <w:color w:val="000000"/>
        </w:rPr>
      </w:pPr>
    </w:p>
    <w:p w14:paraId="0000007F">
      <w:pPr>
        <w:jc w:val="center"/>
        <w:rPr>
          <w:b/>
          <w:bCs/>
          <w:sz w:val="34"/>
          <w:szCs w:val="34"/>
        </w:rPr>
      </w:pPr>
    </w:p>
    <w:p w14:paraId="00000080">
      <w:pPr>
        <w:jc w:val="center"/>
        <w:rPr>
          <w:b/>
          <w:bCs/>
          <w:sz w:val="34"/>
          <w:szCs w:val="34"/>
        </w:rPr>
      </w:pPr>
    </w:p>
    <w:p w14:paraId="00000081">
      <w:pPr>
        <w:jc w:val="center"/>
        <w:rPr>
          <w:b/>
          <w:bCs/>
          <w:sz w:val="34"/>
          <w:szCs w:val="34"/>
        </w:rPr>
      </w:pPr>
    </w:p>
    <w:p w14:paraId="00000082">
      <w:pPr>
        <w:jc w:val="center"/>
        <w:rPr>
          <w:b/>
          <w:bCs/>
          <w:sz w:val="34"/>
          <w:szCs w:val="34"/>
        </w:rPr>
      </w:pPr>
    </w:p>
    <w:p w14:paraId="00000083">
      <w:pPr>
        <w:jc w:val="center"/>
        <w:rPr>
          <w:b/>
          <w:bCs/>
          <w:sz w:val="34"/>
          <w:szCs w:val="34"/>
        </w:rPr>
      </w:pPr>
    </w:p>
    <w:p w14:paraId="00000084">
      <w:pPr>
        <w:jc w:val="center"/>
        <w:rPr>
          <w:b/>
          <w:bCs/>
          <w:sz w:val="34"/>
          <w:szCs w:val="34"/>
        </w:rPr>
      </w:pPr>
    </w:p>
    <w:p w14:paraId="00000085">
      <w:pPr>
        <w:jc w:val="center"/>
        <w:rPr>
          <w:b/>
          <w:bCs/>
          <w:sz w:val="34"/>
          <w:szCs w:val="34"/>
        </w:rPr>
      </w:pPr>
    </w:p>
    <w:p w14:paraId="00000086">
      <w:pPr>
        <w:jc w:val="center"/>
        <w:rPr>
          <w:b/>
          <w:bCs/>
          <w:sz w:val="34"/>
          <w:szCs w:val="34"/>
        </w:rPr>
      </w:pPr>
    </w:p>
    <w:p w14:paraId="00000087">
      <w:r>
        <w:br w:type="page"/>
      </w:r>
    </w:p>
    <w:p w14:paraId="00000088">
      <w:pPr>
        <w:jc w:val="center"/>
      </w:pPr>
      <w:r>
        <w:rPr>
          <w:rFonts w:ascii="Times New Roman" w:hAnsi="Times New Roman" w:eastAsia="Times New Roman" w:cs="Times New Roman"/>
          <w:b/>
          <w:bCs/>
          <w:sz w:val="32"/>
          <w:szCs w:val="32"/>
          <w:rtl w:val="0"/>
        </w:rPr>
        <w:t>ANSWERS – ANALYTICAL PROBLEM SOLVING</w:t>
      </w:r>
    </w:p>
    <w:p w14:paraId="00000089">
      <w:pPr>
        <w:spacing w:before="160" w:after="80"/>
      </w:pPr>
      <w:r>
        <w:rPr>
          <w:rFonts w:ascii="Times New Roman" w:hAnsi="Times New Roman" w:eastAsia="Times New Roman" w:cs="Times New Roman"/>
          <w:b/>
          <w:bCs/>
          <w:sz w:val="24"/>
          <w:szCs w:val="24"/>
          <w:rtl w:val="0"/>
        </w:rPr>
        <w:t>Question 1: Subnetting the university network 192.168.20.0/24</w:t>
      </w:r>
    </w:p>
    <w:p w14:paraId="0000008A">
      <w:pPr>
        <w:spacing w:after="80"/>
      </w:pPr>
      <w:r>
        <w:rPr>
          <w:rFonts w:ascii="Times New Roman" w:hAnsi="Times New Roman" w:eastAsia="Times New Roman" w:cs="Times New Roman"/>
          <w:sz w:val="21"/>
          <w:szCs w:val="21"/>
          <w:rtl w:val="0"/>
        </w:rPr>
        <w:t>Given: Address block = 192.168.20.0/24. Lab A requires /26, Lab B requires /27, and Lab C requires /28.</w:t>
      </w:r>
    </w:p>
    <w:p w14:paraId="0000008B">
      <w:pPr>
        <w:spacing w:after="80"/>
      </w:pPr>
      <w:r>
        <w:rPr>
          <w:rFonts w:ascii="Times New Roman" w:hAnsi="Times New Roman" w:eastAsia="Times New Roman" w:cs="Times New Roman"/>
          <w:sz w:val="21"/>
          <w:szCs w:val="21"/>
          <w:rtl w:val="0"/>
        </w:rPr>
        <w:t>Formulae used: Total addresses = 2^(32 − prefix length); usable hosts = total addresses − 2. The first address is the network address and the last address is the broadcast address.</w:t>
      </w:r>
    </w:p>
    <w:p w14:paraId="0000008C">
      <w:pPr>
        <w:spacing w:after="80"/>
      </w:pPr>
      <w:r>
        <w:rPr>
          <w:rFonts w:ascii="Times New Roman" w:hAnsi="Times New Roman" w:eastAsia="Times New Roman" w:cs="Times New Roman"/>
          <w:sz w:val="21"/>
          <w:szCs w:val="21"/>
          <w:rtl w:val="0"/>
        </w:rPr>
        <w:t>A /26 subnet has 64 addresses and block size 64; a /27 subnet has 32 addresses and block size 32; a /28 subnet has 16 addresses and block size 16.</w:t>
      </w:r>
    </w:p>
    <w:tbl>
      <w:tblPr>
        <w:tblStyle w:val="15"/>
        <w:tblW w:w="9072"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15" w:type="dxa"/>
          <w:bottom w:w="0" w:type="dxa"/>
          <w:right w:w="115" w:type="dxa"/>
        </w:tblCellMar>
      </w:tblPr>
      <w:tblGrid>
        <w:gridCol w:w="1512"/>
        <w:gridCol w:w="1512"/>
        <w:gridCol w:w="1512"/>
        <w:gridCol w:w="1512"/>
        <w:gridCol w:w="1512"/>
        <w:gridCol w:w="1512"/>
      </w:tblGrid>
      <w:tr w14:paraId="6291B60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shd w:val="clear" w:color="auto" w:fill="D9EAF7"/>
            <w:vAlign w:val="center"/>
          </w:tcPr>
          <w:p w14:paraId="0000008D">
            <w:r>
              <w:rPr>
                <w:rFonts w:ascii="Times New Roman" w:hAnsi="Times New Roman" w:eastAsia="Times New Roman" w:cs="Times New Roman"/>
                <w:b/>
                <w:bCs/>
                <w:sz w:val="17"/>
                <w:szCs w:val="17"/>
                <w:rtl w:val="0"/>
              </w:rPr>
              <w:t>Lab</w:t>
            </w:r>
          </w:p>
        </w:tc>
        <w:tc>
          <w:tcPr>
            <w:shd w:val="clear" w:color="auto" w:fill="D9EAF7"/>
            <w:vAlign w:val="center"/>
          </w:tcPr>
          <w:p w14:paraId="0000008E">
            <w:r>
              <w:rPr>
                <w:rFonts w:ascii="Times New Roman" w:hAnsi="Times New Roman" w:eastAsia="Times New Roman" w:cs="Times New Roman"/>
                <w:b/>
                <w:bCs/>
                <w:sz w:val="17"/>
                <w:szCs w:val="17"/>
                <w:rtl w:val="0"/>
              </w:rPr>
              <w:t>Prefix / Subnet mask</w:t>
            </w:r>
          </w:p>
        </w:tc>
        <w:tc>
          <w:tcPr>
            <w:shd w:val="clear" w:color="auto" w:fill="D9EAF7"/>
            <w:vAlign w:val="center"/>
          </w:tcPr>
          <w:p w14:paraId="0000008F">
            <w:r>
              <w:rPr>
                <w:rFonts w:ascii="Times New Roman" w:hAnsi="Times New Roman" w:eastAsia="Times New Roman" w:cs="Times New Roman"/>
                <w:b/>
                <w:bCs/>
                <w:sz w:val="17"/>
                <w:szCs w:val="17"/>
                <w:rtl w:val="0"/>
              </w:rPr>
              <w:t>Network address</w:t>
            </w:r>
          </w:p>
        </w:tc>
        <w:tc>
          <w:tcPr>
            <w:shd w:val="clear" w:color="auto" w:fill="D9EAF7"/>
            <w:vAlign w:val="center"/>
          </w:tcPr>
          <w:p w14:paraId="00000090">
            <w:r>
              <w:rPr>
                <w:rFonts w:ascii="Times New Roman" w:hAnsi="Times New Roman" w:eastAsia="Times New Roman" w:cs="Times New Roman"/>
                <w:b/>
                <w:bCs/>
                <w:sz w:val="17"/>
                <w:szCs w:val="17"/>
                <w:rtl w:val="0"/>
              </w:rPr>
              <w:t>Valid host range</w:t>
            </w:r>
          </w:p>
        </w:tc>
        <w:tc>
          <w:tcPr>
            <w:shd w:val="clear" w:color="auto" w:fill="D9EAF7"/>
            <w:vAlign w:val="center"/>
          </w:tcPr>
          <w:p w14:paraId="00000091">
            <w:r>
              <w:rPr>
                <w:rFonts w:ascii="Times New Roman" w:hAnsi="Times New Roman" w:eastAsia="Times New Roman" w:cs="Times New Roman"/>
                <w:b/>
                <w:bCs/>
                <w:sz w:val="17"/>
                <w:szCs w:val="17"/>
                <w:rtl w:val="0"/>
              </w:rPr>
              <w:t>Broadcast address</w:t>
            </w:r>
          </w:p>
        </w:tc>
        <w:tc>
          <w:tcPr>
            <w:shd w:val="clear" w:color="auto" w:fill="D9EAF7"/>
            <w:vAlign w:val="center"/>
          </w:tcPr>
          <w:p w14:paraId="00000092">
            <w:r>
              <w:rPr>
                <w:rFonts w:ascii="Times New Roman" w:hAnsi="Times New Roman" w:eastAsia="Times New Roman" w:cs="Times New Roman"/>
                <w:b/>
                <w:bCs/>
                <w:sz w:val="17"/>
                <w:szCs w:val="17"/>
                <w:rtl w:val="0"/>
              </w:rPr>
              <w:t>Usable hosts</w:t>
            </w:r>
          </w:p>
        </w:tc>
      </w:tr>
      <w:tr w14:paraId="42DB007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93">
            <w:r>
              <w:rPr>
                <w:rFonts w:ascii="Times New Roman" w:hAnsi="Times New Roman" w:eastAsia="Times New Roman" w:cs="Times New Roman"/>
                <w:sz w:val="17"/>
                <w:szCs w:val="17"/>
                <w:rtl w:val="0"/>
              </w:rPr>
              <w:t>Lab A</w:t>
            </w:r>
          </w:p>
        </w:tc>
        <w:tc>
          <w:tcPr>
            <w:vAlign w:val="center"/>
          </w:tcPr>
          <w:p w14:paraId="00000094">
            <w:r>
              <w:rPr>
                <w:rFonts w:ascii="Times New Roman" w:hAnsi="Times New Roman" w:eastAsia="Times New Roman" w:cs="Times New Roman"/>
                <w:sz w:val="17"/>
                <w:szCs w:val="17"/>
                <w:rtl w:val="0"/>
              </w:rPr>
              <w:t>/26 — 255.255.255.192</w:t>
            </w:r>
          </w:p>
        </w:tc>
        <w:tc>
          <w:tcPr>
            <w:vAlign w:val="center"/>
          </w:tcPr>
          <w:p w14:paraId="00000095">
            <w:r>
              <w:rPr>
                <w:rFonts w:ascii="Times New Roman" w:hAnsi="Times New Roman" w:eastAsia="Times New Roman" w:cs="Times New Roman"/>
                <w:sz w:val="17"/>
                <w:szCs w:val="17"/>
                <w:rtl w:val="0"/>
              </w:rPr>
              <w:t>192.168.20.0</w:t>
            </w:r>
          </w:p>
        </w:tc>
        <w:tc>
          <w:tcPr>
            <w:vAlign w:val="center"/>
          </w:tcPr>
          <w:p w14:paraId="00000096">
            <w:r>
              <w:rPr>
                <w:rFonts w:ascii="Times New Roman" w:hAnsi="Times New Roman" w:eastAsia="Times New Roman" w:cs="Times New Roman"/>
                <w:sz w:val="17"/>
                <w:szCs w:val="17"/>
                <w:rtl w:val="0"/>
              </w:rPr>
              <w:t>192.168.20.1 – 192.168.20.62</w:t>
            </w:r>
          </w:p>
        </w:tc>
        <w:tc>
          <w:tcPr>
            <w:vAlign w:val="center"/>
          </w:tcPr>
          <w:p w14:paraId="00000097">
            <w:r>
              <w:rPr>
                <w:rFonts w:ascii="Times New Roman" w:hAnsi="Times New Roman" w:eastAsia="Times New Roman" w:cs="Times New Roman"/>
                <w:sz w:val="17"/>
                <w:szCs w:val="17"/>
                <w:rtl w:val="0"/>
              </w:rPr>
              <w:t>192.168.20.63</w:t>
            </w:r>
          </w:p>
        </w:tc>
        <w:tc>
          <w:tcPr>
            <w:vAlign w:val="center"/>
          </w:tcPr>
          <w:p w14:paraId="00000098">
            <w:r>
              <w:rPr>
                <w:rFonts w:ascii="Times New Roman" w:hAnsi="Times New Roman" w:eastAsia="Times New Roman" w:cs="Times New Roman"/>
                <w:sz w:val="17"/>
                <w:szCs w:val="17"/>
                <w:rtl w:val="0"/>
              </w:rPr>
              <w:t>62</w:t>
            </w:r>
          </w:p>
        </w:tc>
      </w:tr>
      <w:tr w14:paraId="52A6EA7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99">
            <w:r>
              <w:rPr>
                <w:rFonts w:ascii="Times New Roman" w:hAnsi="Times New Roman" w:eastAsia="Times New Roman" w:cs="Times New Roman"/>
                <w:sz w:val="17"/>
                <w:szCs w:val="17"/>
                <w:rtl w:val="0"/>
              </w:rPr>
              <w:t>Lab B</w:t>
            </w:r>
          </w:p>
        </w:tc>
        <w:tc>
          <w:tcPr>
            <w:vAlign w:val="center"/>
          </w:tcPr>
          <w:p w14:paraId="0000009A">
            <w:r>
              <w:rPr>
                <w:rFonts w:ascii="Times New Roman" w:hAnsi="Times New Roman" w:eastAsia="Times New Roman" w:cs="Times New Roman"/>
                <w:sz w:val="17"/>
                <w:szCs w:val="17"/>
                <w:rtl w:val="0"/>
              </w:rPr>
              <w:t>/27 — 255.255.255.224</w:t>
            </w:r>
          </w:p>
        </w:tc>
        <w:tc>
          <w:tcPr>
            <w:vAlign w:val="center"/>
          </w:tcPr>
          <w:p w14:paraId="0000009B">
            <w:r>
              <w:rPr>
                <w:rFonts w:ascii="Times New Roman" w:hAnsi="Times New Roman" w:eastAsia="Times New Roman" w:cs="Times New Roman"/>
                <w:sz w:val="17"/>
                <w:szCs w:val="17"/>
                <w:rtl w:val="0"/>
              </w:rPr>
              <w:t>192.168.20.64</w:t>
            </w:r>
          </w:p>
        </w:tc>
        <w:tc>
          <w:tcPr>
            <w:vAlign w:val="center"/>
          </w:tcPr>
          <w:p w14:paraId="0000009C">
            <w:r>
              <w:rPr>
                <w:rFonts w:ascii="Times New Roman" w:hAnsi="Times New Roman" w:eastAsia="Times New Roman" w:cs="Times New Roman"/>
                <w:sz w:val="17"/>
                <w:szCs w:val="17"/>
                <w:rtl w:val="0"/>
              </w:rPr>
              <w:t>192.168.20.65 – 192.168.20.94</w:t>
            </w:r>
          </w:p>
        </w:tc>
        <w:tc>
          <w:tcPr>
            <w:vAlign w:val="center"/>
          </w:tcPr>
          <w:p w14:paraId="0000009D">
            <w:r>
              <w:rPr>
                <w:rFonts w:ascii="Times New Roman" w:hAnsi="Times New Roman" w:eastAsia="Times New Roman" w:cs="Times New Roman"/>
                <w:sz w:val="17"/>
                <w:szCs w:val="17"/>
                <w:rtl w:val="0"/>
              </w:rPr>
              <w:t>192.168.20.95</w:t>
            </w:r>
          </w:p>
        </w:tc>
        <w:tc>
          <w:tcPr>
            <w:vAlign w:val="center"/>
          </w:tcPr>
          <w:p w14:paraId="0000009E">
            <w:r>
              <w:rPr>
                <w:rFonts w:ascii="Times New Roman" w:hAnsi="Times New Roman" w:eastAsia="Times New Roman" w:cs="Times New Roman"/>
                <w:sz w:val="17"/>
                <w:szCs w:val="17"/>
                <w:rtl w:val="0"/>
              </w:rPr>
              <w:t>30</w:t>
            </w:r>
          </w:p>
        </w:tc>
      </w:tr>
      <w:tr w14:paraId="57322F0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9F">
            <w:r>
              <w:rPr>
                <w:rFonts w:ascii="Times New Roman" w:hAnsi="Times New Roman" w:eastAsia="Times New Roman" w:cs="Times New Roman"/>
                <w:sz w:val="17"/>
                <w:szCs w:val="17"/>
                <w:rtl w:val="0"/>
              </w:rPr>
              <w:t>Lab C</w:t>
            </w:r>
          </w:p>
        </w:tc>
        <w:tc>
          <w:tcPr>
            <w:vAlign w:val="center"/>
          </w:tcPr>
          <w:p w14:paraId="000000A0">
            <w:r>
              <w:rPr>
                <w:rFonts w:ascii="Times New Roman" w:hAnsi="Times New Roman" w:eastAsia="Times New Roman" w:cs="Times New Roman"/>
                <w:sz w:val="17"/>
                <w:szCs w:val="17"/>
                <w:rtl w:val="0"/>
              </w:rPr>
              <w:t>/28 — 255.255.255.240</w:t>
            </w:r>
          </w:p>
        </w:tc>
        <w:tc>
          <w:tcPr>
            <w:vAlign w:val="center"/>
          </w:tcPr>
          <w:p w14:paraId="000000A1">
            <w:r>
              <w:rPr>
                <w:rFonts w:ascii="Times New Roman" w:hAnsi="Times New Roman" w:eastAsia="Times New Roman" w:cs="Times New Roman"/>
                <w:sz w:val="17"/>
                <w:szCs w:val="17"/>
                <w:rtl w:val="0"/>
              </w:rPr>
              <w:t>192.168.20.96</w:t>
            </w:r>
          </w:p>
        </w:tc>
        <w:tc>
          <w:tcPr>
            <w:vAlign w:val="center"/>
          </w:tcPr>
          <w:p w14:paraId="000000A2">
            <w:r>
              <w:rPr>
                <w:rFonts w:ascii="Times New Roman" w:hAnsi="Times New Roman" w:eastAsia="Times New Roman" w:cs="Times New Roman"/>
                <w:sz w:val="17"/>
                <w:szCs w:val="17"/>
                <w:rtl w:val="0"/>
              </w:rPr>
              <w:t>192.168.20.97 – 192.168.20.110</w:t>
            </w:r>
          </w:p>
        </w:tc>
        <w:tc>
          <w:tcPr>
            <w:vAlign w:val="center"/>
          </w:tcPr>
          <w:p w14:paraId="000000A3">
            <w:r>
              <w:rPr>
                <w:rFonts w:ascii="Times New Roman" w:hAnsi="Times New Roman" w:eastAsia="Times New Roman" w:cs="Times New Roman"/>
                <w:sz w:val="17"/>
                <w:szCs w:val="17"/>
                <w:rtl w:val="0"/>
              </w:rPr>
              <w:t>192.168.20.111</w:t>
            </w:r>
          </w:p>
        </w:tc>
        <w:tc>
          <w:tcPr>
            <w:vAlign w:val="center"/>
          </w:tcPr>
          <w:p w14:paraId="000000A4">
            <w:r>
              <w:rPr>
                <w:rFonts w:ascii="Times New Roman" w:hAnsi="Times New Roman" w:eastAsia="Times New Roman" w:cs="Times New Roman"/>
                <w:sz w:val="17"/>
                <w:szCs w:val="17"/>
                <w:rtl w:val="0"/>
              </w:rPr>
              <w:t>14</w:t>
            </w:r>
          </w:p>
        </w:tc>
      </w:tr>
    </w:tbl>
    <w:p w14:paraId="000000A5"/>
    <w:p w14:paraId="000000A6">
      <w:pPr>
        <w:spacing w:after="80"/>
      </w:pPr>
      <w:r>
        <w:rPr>
          <w:rFonts w:ascii="Times New Roman" w:hAnsi="Times New Roman" w:eastAsia="Times New Roman" w:cs="Times New Roman"/>
          <w:sz w:val="21"/>
          <w:szCs w:val="21"/>
          <w:rtl w:val="0"/>
        </w:rPr>
        <w:t>Working: The subnets are allocated consecutively without overlap. Lab A occupies .0–.63, Lab B occupies .64–.95, and Lab C occupies .96–.111, all within 192.168.20.0/24.</w:t>
      </w:r>
    </w:p>
    <w:p w14:paraId="000000A7">
      <w:pPr>
        <w:spacing w:after="80"/>
      </w:pPr>
      <w:r>
        <w:rPr>
          <w:rFonts w:ascii="Times New Roman" w:hAnsi="Times New Roman" w:eastAsia="Times New Roman" w:cs="Times New Roman"/>
          <w:sz w:val="21"/>
          <w:szCs w:val="21"/>
          <w:rtl w:val="0"/>
        </w:rPr>
        <w:t>Result: Lab A has 62 usable host addresses, Lab B has 30, and Lab C has 14.</w:t>
      </w:r>
    </w:p>
    <w:p w14:paraId="000000A8">
      <w:pPr>
        <w:spacing w:before="160" w:after="80"/>
      </w:pPr>
      <w:r>
        <w:rPr>
          <w:rFonts w:ascii="Times New Roman" w:hAnsi="Times New Roman" w:eastAsia="Times New Roman" w:cs="Times New Roman"/>
          <w:b/>
          <w:bCs/>
          <w:sz w:val="24"/>
          <w:szCs w:val="24"/>
          <w:rtl w:val="0"/>
        </w:rPr>
        <w:t>Question 2: Determine the subnets for two systems</w:t>
      </w:r>
    </w:p>
    <w:p w14:paraId="000000A9">
      <w:pPr>
        <w:spacing w:after="80"/>
      </w:pPr>
      <w:r>
        <w:rPr>
          <w:rFonts w:ascii="Times New Roman" w:hAnsi="Times New Roman" w:eastAsia="Times New Roman" w:cs="Times New Roman"/>
          <w:sz w:val="21"/>
          <w:szCs w:val="21"/>
          <w:rtl w:val="0"/>
        </w:rPr>
        <w:t>Given: System 1 = 192.168.1.130; System 2 = 192.168.1.190; subnet mask = 255.255.255.192 = /26.</w:t>
      </w:r>
    </w:p>
    <w:p w14:paraId="000000AA">
      <w:pPr>
        <w:spacing w:after="80"/>
      </w:pPr>
      <w:r>
        <w:rPr>
          <w:rFonts w:ascii="Times New Roman" w:hAnsi="Times New Roman" w:eastAsia="Times New Roman" w:cs="Times New Roman"/>
          <w:sz w:val="21"/>
          <w:szCs w:val="21"/>
          <w:rtl w:val="0"/>
        </w:rPr>
        <w:t>Formulae used: Addresses per subnet = 2^(32 − 26) = 64; usable hosts = 64 − 2 = 62. Block size = 256 − 192 = 64.</w:t>
      </w:r>
    </w:p>
    <w:p w14:paraId="000000AB">
      <w:pPr>
        <w:spacing w:after="80"/>
      </w:pPr>
      <w:r>
        <w:rPr>
          <w:rFonts w:ascii="Times New Roman" w:hAnsi="Times New Roman" w:eastAsia="Times New Roman" w:cs="Times New Roman"/>
          <w:sz w:val="21"/>
          <w:szCs w:val="21"/>
          <w:rtl w:val="0"/>
        </w:rPr>
        <w:t>The /26 subnet boundaries in the last octet are 0, 64, 128, and 192. Both .130 and .190 fall in the 128–191 block.</w:t>
      </w:r>
    </w:p>
    <w:tbl>
      <w:tblPr>
        <w:tblStyle w:val="16"/>
        <w:tblW w:w="9072"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15" w:type="dxa"/>
          <w:bottom w:w="0" w:type="dxa"/>
          <w:right w:w="115" w:type="dxa"/>
        </w:tblCellMar>
      </w:tblPr>
      <w:tblGrid>
        <w:gridCol w:w="3024"/>
        <w:gridCol w:w="3024"/>
        <w:gridCol w:w="3024"/>
      </w:tblGrid>
      <w:tr w14:paraId="070BD57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shd w:val="clear" w:color="auto" w:fill="D9EAF7"/>
            <w:vAlign w:val="center"/>
          </w:tcPr>
          <w:p w14:paraId="000000AC">
            <w:r>
              <w:rPr>
                <w:rFonts w:ascii="Times New Roman" w:hAnsi="Times New Roman" w:eastAsia="Times New Roman" w:cs="Times New Roman"/>
                <w:b/>
                <w:bCs/>
                <w:sz w:val="17"/>
                <w:szCs w:val="17"/>
                <w:rtl w:val="0"/>
              </w:rPr>
              <w:t>Item</w:t>
            </w:r>
          </w:p>
        </w:tc>
        <w:tc>
          <w:tcPr>
            <w:shd w:val="clear" w:color="auto" w:fill="D9EAF7"/>
            <w:vAlign w:val="center"/>
          </w:tcPr>
          <w:p w14:paraId="000000AD">
            <w:r>
              <w:rPr>
                <w:rFonts w:ascii="Times New Roman" w:hAnsi="Times New Roman" w:eastAsia="Times New Roman" w:cs="Times New Roman"/>
                <w:b/>
                <w:bCs/>
                <w:sz w:val="17"/>
                <w:szCs w:val="17"/>
                <w:rtl w:val="0"/>
              </w:rPr>
              <w:t>System 1</w:t>
            </w:r>
          </w:p>
        </w:tc>
        <w:tc>
          <w:tcPr>
            <w:shd w:val="clear" w:color="auto" w:fill="D9EAF7"/>
            <w:vAlign w:val="center"/>
          </w:tcPr>
          <w:p w14:paraId="000000AE">
            <w:r>
              <w:rPr>
                <w:rFonts w:ascii="Times New Roman" w:hAnsi="Times New Roman" w:eastAsia="Times New Roman" w:cs="Times New Roman"/>
                <w:b/>
                <w:bCs/>
                <w:sz w:val="17"/>
                <w:szCs w:val="17"/>
                <w:rtl w:val="0"/>
              </w:rPr>
              <w:t>System 2</w:t>
            </w:r>
          </w:p>
        </w:tc>
      </w:tr>
      <w:tr w14:paraId="46E9853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AF">
            <w:r>
              <w:rPr>
                <w:rFonts w:ascii="Times New Roman" w:hAnsi="Times New Roman" w:eastAsia="Times New Roman" w:cs="Times New Roman"/>
                <w:sz w:val="17"/>
                <w:szCs w:val="17"/>
                <w:rtl w:val="0"/>
              </w:rPr>
              <w:t>IP address</w:t>
            </w:r>
          </w:p>
        </w:tc>
        <w:tc>
          <w:tcPr>
            <w:vAlign w:val="center"/>
          </w:tcPr>
          <w:p w14:paraId="000000B0">
            <w:r>
              <w:rPr>
                <w:rFonts w:ascii="Times New Roman" w:hAnsi="Times New Roman" w:eastAsia="Times New Roman" w:cs="Times New Roman"/>
                <w:sz w:val="17"/>
                <w:szCs w:val="17"/>
                <w:rtl w:val="0"/>
              </w:rPr>
              <w:t>192.168.1.130</w:t>
            </w:r>
          </w:p>
        </w:tc>
        <w:tc>
          <w:tcPr>
            <w:vAlign w:val="center"/>
          </w:tcPr>
          <w:p w14:paraId="000000B1">
            <w:r>
              <w:rPr>
                <w:rFonts w:ascii="Times New Roman" w:hAnsi="Times New Roman" w:eastAsia="Times New Roman" w:cs="Times New Roman"/>
                <w:sz w:val="17"/>
                <w:szCs w:val="17"/>
                <w:rtl w:val="0"/>
              </w:rPr>
              <w:t>192.168.1.190</w:t>
            </w:r>
          </w:p>
        </w:tc>
      </w:tr>
      <w:tr w14:paraId="2636A5A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B2">
            <w:r>
              <w:rPr>
                <w:rFonts w:ascii="Times New Roman" w:hAnsi="Times New Roman" w:eastAsia="Times New Roman" w:cs="Times New Roman"/>
                <w:sz w:val="17"/>
                <w:szCs w:val="17"/>
                <w:rtl w:val="0"/>
              </w:rPr>
              <w:t>Subnet mask</w:t>
            </w:r>
          </w:p>
        </w:tc>
        <w:tc>
          <w:tcPr>
            <w:vAlign w:val="center"/>
          </w:tcPr>
          <w:p w14:paraId="000000B3">
            <w:r>
              <w:rPr>
                <w:rFonts w:ascii="Times New Roman" w:hAnsi="Times New Roman" w:eastAsia="Times New Roman" w:cs="Times New Roman"/>
                <w:sz w:val="17"/>
                <w:szCs w:val="17"/>
                <w:rtl w:val="0"/>
              </w:rPr>
              <w:t>255.255.255.192 (/26)</w:t>
            </w:r>
          </w:p>
        </w:tc>
        <w:tc>
          <w:tcPr>
            <w:vAlign w:val="center"/>
          </w:tcPr>
          <w:p w14:paraId="000000B4">
            <w:r>
              <w:rPr>
                <w:rFonts w:ascii="Times New Roman" w:hAnsi="Times New Roman" w:eastAsia="Times New Roman" w:cs="Times New Roman"/>
                <w:sz w:val="17"/>
                <w:szCs w:val="17"/>
                <w:rtl w:val="0"/>
              </w:rPr>
              <w:t>255.255.255.192 (/26)</w:t>
            </w:r>
          </w:p>
        </w:tc>
      </w:tr>
      <w:tr w14:paraId="6442959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B5">
            <w:r>
              <w:rPr>
                <w:rFonts w:ascii="Times New Roman" w:hAnsi="Times New Roman" w:eastAsia="Times New Roman" w:cs="Times New Roman"/>
                <w:sz w:val="17"/>
                <w:szCs w:val="17"/>
                <w:rtl w:val="0"/>
              </w:rPr>
              <w:t>Subnet address range</w:t>
            </w:r>
          </w:p>
        </w:tc>
        <w:tc>
          <w:tcPr>
            <w:vAlign w:val="center"/>
          </w:tcPr>
          <w:p w14:paraId="000000B6">
            <w:r>
              <w:rPr>
                <w:rFonts w:ascii="Times New Roman" w:hAnsi="Times New Roman" w:eastAsia="Times New Roman" w:cs="Times New Roman"/>
                <w:sz w:val="17"/>
                <w:szCs w:val="17"/>
                <w:rtl w:val="0"/>
              </w:rPr>
              <w:t>192.168.1.128 – 192.168.1.191</w:t>
            </w:r>
          </w:p>
        </w:tc>
        <w:tc>
          <w:tcPr>
            <w:vAlign w:val="center"/>
          </w:tcPr>
          <w:p w14:paraId="000000B7">
            <w:r>
              <w:rPr>
                <w:rFonts w:ascii="Times New Roman" w:hAnsi="Times New Roman" w:eastAsia="Times New Roman" w:cs="Times New Roman"/>
                <w:sz w:val="17"/>
                <w:szCs w:val="17"/>
                <w:rtl w:val="0"/>
              </w:rPr>
              <w:t>192.168.1.128 – 192.168.1.191</w:t>
            </w:r>
          </w:p>
        </w:tc>
      </w:tr>
      <w:tr w14:paraId="3B4E891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B8">
            <w:r>
              <w:rPr>
                <w:rFonts w:ascii="Times New Roman" w:hAnsi="Times New Roman" w:eastAsia="Times New Roman" w:cs="Times New Roman"/>
                <w:sz w:val="17"/>
                <w:szCs w:val="17"/>
                <w:rtl w:val="0"/>
              </w:rPr>
              <w:t>Network address</w:t>
            </w:r>
          </w:p>
        </w:tc>
        <w:tc>
          <w:tcPr>
            <w:vAlign w:val="center"/>
          </w:tcPr>
          <w:p w14:paraId="000000B9">
            <w:r>
              <w:rPr>
                <w:rFonts w:ascii="Times New Roman" w:hAnsi="Times New Roman" w:eastAsia="Times New Roman" w:cs="Times New Roman"/>
                <w:sz w:val="17"/>
                <w:szCs w:val="17"/>
                <w:rtl w:val="0"/>
              </w:rPr>
              <w:t>192.168.1.128</w:t>
            </w:r>
          </w:p>
        </w:tc>
        <w:tc>
          <w:tcPr>
            <w:vAlign w:val="center"/>
          </w:tcPr>
          <w:p w14:paraId="000000BA">
            <w:r>
              <w:rPr>
                <w:rFonts w:ascii="Times New Roman" w:hAnsi="Times New Roman" w:eastAsia="Times New Roman" w:cs="Times New Roman"/>
                <w:sz w:val="17"/>
                <w:szCs w:val="17"/>
                <w:rtl w:val="0"/>
              </w:rPr>
              <w:t>192.168.1.128</w:t>
            </w:r>
          </w:p>
        </w:tc>
      </w:tr>
      <w:tr w14:paraId="101AB78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BB">
            <w:r>
              <w:rPr>
                <w:rFonts w:ascii="Times New Roman" w:hAnsi="Times New Roman" w:eastAsia="Times New Roman" w:cs="Times New Roman"/>
                <w:sz w:val="17"/>
                <w:szCs w:val="17"/>
                <w:rtl w:val="0"/>
              </w:rPr>
              <w:t>Valid host range</w:t>
            </w:r>
          </w:p>
        </w:tc>
        <w:tc>
          <w:tcPr>
            <w:vAlign w:val="center"/>
          </w:tcPr>
          <w:p w14:paraId="000000BC">
            <w:r>
              <w:rPr>
                <w:rFonts w:ascii="Times New Roman" w:hAnsi="Times New Roman" w:eastAsia="Times New Roman" w:cs="Times New Roman"/>
                <w:sz w:val="17"/>
                <w:szCs w:val="17"/>
                <w:rtl w:val="0"/>
              </w:rPr>
              <w:t>192.168.1.129 – 192.168.1.190</w:t>
            </w:r>
          </w:p>
        </w:tc>
        <w:tc>
          <w:tcPr>
            <w:vAlign w:val="center"/>
          </w:tcPr>
          <w:p w14:paraId="000000BD">
            <w:r>
              <w:rPr>
                <w:rFonts w:ascii="Times New Roman" w:hAnsi="Times New Roman" w:eastAsia="Times New Roman" w:cs="Times New Roman"/>
                <w:sz w:val="17"/>
                <w:szCs w:val="17"/>
                <w:rtl w:val="0"/>
              </w:rPr>
              <w:t>192.168.1.129 – 192.168.1.190</w:t>
            </w:r>
          </w:p>
        </w:tc>
      </w:tr>
      <w:tr w14:paraId="43D4FED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BE">
            <w:r>
              <w:rPr>
                <w:rFonts w:ascii="Times New Roman" w:hAnsi="Times New Roman" w:eastAsia="Times New Roman" w:cs="Times New Roman"/>
                <w:sz w:val="17"/>
                <w:szCs w:val="17"/>
                <w:rtl w:val="0"/>
              </w:rPr>
              <w:t>Broadcast address</w:t>
            </w:r>
          </w:p>
        </w:tc>
        <w:tc>
          <w:tcPr>
            <w:vAlign w:val="center"/>
          </w:tcPr>
          <w:p w14:paraId="000000BF">
            <w:r>
              <w:rPr>
                <w:rFonts w:ascii="Times New Roman" w:hAnsi="Times New Roman" w:eastAsia="Times New Roman" w:cs="Times New Roman"/>
                <w:sz w:val="17"/>
                <w:szCs w:val="17"/>
                <w:rtl w:val="0"/>
              </w:rPr>
              <w:t>192.168.1.191</w:t>
            </w:r>
          </w:p>
        </w:tc>
        <w:tc>
          <w:tcPr>
            <w:vAlign w:val="center"/>
          </w:tcPr>
          <w:p w14:paraId="000000C0">
            <w:r>
              <w:rPr>
                <w:rFonts w:ascii="Times New Roman" w:hAnsi="Times New Roman" w:eastAsia="Times New Roman" w:cs="Times New Roman"/>
                <w:sz w:val="17"/>
                <w:szCs w:val="17"/>
                <w:rtl w:val="0"/>
              </w:rPr>
              <w:t>192.168.1.191</w:t>
            </w:r>
          </w:p>
        </w:tc>
      </w:tr>
      <w:tr w14:paraId="4081699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C1">
            <w:r>
              <w:rPr>
                <w:rFonts w:ascii="Times New Roman" w:hAnsi="Times New Roman" w:eastAsia="Times New Roman" w:cs="Times New Roman"/>
                <w:sz w:val="17"/>
                <w:szCs w:val="17"/>
                <w:rtl w:val="0"/>
              </w:rPr>
              <w:t>Is the given IP a valid host?</w:t>
            </w:r>
          </w:p>
        </w:tc>
        <w:tc>
          <w:tcPr>
            <w:vAlign w:val="center"/>
          </w:tcPr>
          <w:p w14:paraId="000000C2">
            <w:r>
              <w:rPr>
                <w:rFonts w:ascii="Times New Roman" w:hAnsi="Times New Roman" w:eastAsia="Times New Roman" w:cs="Times New Roman"/>
                <w:sz w:val="17"/>
                <w:szCs w:val="17"/>
                <w:rtl w:val="0"/>
              </w:rPr>
              <w:t>Yes</w:t>
            </w:r>
          </w:p>
        </w:tc>
        <w:tc>
          <w:tcPr>
            <w:vAlign w:val="center"/>
          </w:tcPr>
          <w:p w14:paraId="000000C3">
            <w:r>
              <w:rPr>
                <w:rFonts w:ascii="Times New Roman" w:hAnsi="Times New Roman" w:eastAsia="Times New Roman" w:cs="Times New Roman"/>
                <w:sz w:val="17"/>
                <w:szCs w:val="17"/>
                <w:rtl w:val="0"/>
              </w:rPr>
              <w:t>Yes</w:t>
            </w:r>
          </w:p>
        </w:tc>
      </w:tr>
      <w:tr w14:paraId="1904DA0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C4">
            <w:r>
              <w:rPr>
                <w:rFonts w:ascii="Times New Roman" w:hAnsi="Times New Roman" w:eastAsia="Times New Roman" w:cs="Times New Roman"/>
                <w:sz w:val="17"/>
                <w:szCs w:val="17"/>
                <w:rtl w:val="0"/>
              </w:rPr>
              <w:t>Usable host addresses</w:t>
            </w:r>
          </w:p>
        </w:tc>
        <w:tc>
          <w:tcPr>
            <w:vAlign w:val="center"/>
          </w:tcPr>
          <w:p w14:paraId="000000C5">
            <w:r>
              <w:rPr>
                <w:rFonts w:ascii="Times New Roman" w:hAnsi="Times New Roman" w:eastAsia="Times New Roman" w:cs="Times New Roman"/>
                <w:sz w:val="17"/>
                <w:szCs w:val="17"/>
                <w:rtl w:val="0"/>
              </w:rPr>
              <w:t>62</w:t>
            </w:r>
          </w:p>
        </w:tc>
        <w:tc>
          <w:tcPr>
            <w:vAlign w:val="center"/>
          </w:tcPr>
          <w:p w14:paraId="000000C6">
            <w:r>
              <w:rPr>
                <w:rFonts w:ascii="Times New Roman" w:hAnsi="Times New Roman" w:eastAsia="Times New Roman" w:cs="Times New Roman"/>
                <w:sz w:val="17"/>
                <w:szCs w:val="17"/>
                <w:rtl w:val="0"/>
              </w:rPr>
              <w:t>62</w:t>
            </w:r>
          </w:p>
        </w:tc>
      </w:tr>
    </w:tbl>
    <w:p w14:paraId="000000C7"/>
    <w:p w14:paraId="000000C8">
      <w:pPr>
        <w:spacing w:after="80"/>
      </w:pPr>
      <w:r>
        <w:rPr>
          <w:rFonts w:ascii="Times New Roman" w:hAnsi="Times New Roman" w:eastAsia="Times New Roman" w:cs="Times New Roman"/>
          <w:sz w:val="21"/>
          <w:szCs w:val="21"/>
          <w:rtl w:val="0"/>
        </w:rPr>
        <w:t>Verification: Both IP addresses lie in the valid host range 192.168.1.129–192.168.1.190. Hence, they belong to the same subnet, 192.168.1.128/26.</w:t>
      </w:r>
    </w:p>
    <w:p w14:paraId="000000C9">
      <w:pPr>
        <w:spacing w:after="80"/>
      </w:pPr>
      <w:r>
        <w:rPr>
          <w:rFonts w:ascii="Times New Roman" w:hAnsi="Times New Roman" w:eastAsia="Times New Roman" w:cs="Times New Roman"/>
          <w:sz w:val="21"/>
          <w:szCs w:val="21"/>
          <w:rtl w:val="0"/>
        </w:rPr>
        <w:t>Result: Both systems are in the same subnet, which provides 62 usable host addresses.</w:t>
      </w:r>
    </w:p>
    <w:p w14:paraId="000000CA">
      <w:pPr>
        <w:spacing w:before="160" w:after="80"/>
      </w:pPr>
      <w:r>
        <w:rPr>
          <w:rFonts w:ascii="Times New Roman" w:hAnsi="Times New Roman" w:eastAsia="Times New Roman" w:cs="Times New Roman"/>
          <w:b/>
          <w:bCs/>
          <w:sz w:val="24"/>
          <w:szCs w:val="24"/>
          <w:rtl w:val="0"/>
        </w:rPr>
        <w:t>Question 3: Departmental subnet allocation from 172.16.0.0/16</w:t>
      </w:r>
    </w:p>
    <w:p w14:paraId="000000CB">
      <w:pPr>
        <w:spacing w:after="80"/>
      </w:pPr>
      <w:r>
        <w:rPr>
          <w:rFonts w:ascii="Times New Roman" w:hAnsi="Times New Roman" w:eastAsia="Times New Roman" w:cs="Times New Roman"/>
          <w:sz w:val="21"/>
          <w:szCs w:val="21"/>
          <w:rtl w:val="0"/>
        </w:rPr>
        <w:t>Given: Parent network = 172.16.0.0/16. HR uses /25, Sales /26, IT /27, and Admin /28.</w:t>
      </w:r>
    </w:p>
    <w:p w14:paraId="000000CC">
      <w:pPr>
        <w:spacing w:after="80"/>
      </w:pPr>
      <w:r>
        <w:rPr>
          <w:rFonts w:ascii="Times New Roman" w:hAnsi="Times New Roman" w:eastAsia="Times New Roman" w:cs="Times New Roman"/>
          <w:sz w:val="21"/>
          <w:szCs w:val="21"/>
          <w:rtl w:val="0"/>
        </w:rPr>
        <w:t>Formulae used: Total addresses = 2^(32 − prefix length); usable hosts = total addresses − 2. Subnets are allocated consecutively with correct block alignment.</w:t>
      </w:r>
    </w:p>
    <w:p w14:paraId="000000CD">
      <w:pPr>
        <w:spacing w:after="80"/>
      </w:pPr>
      <w:r>
        <w:rPr>
          <w:rFonts w:ascii="Times New Roman" w:hAnsi="Times New Roman" w:eastAsia="Times New Roman" w:cs="Times New Roman"/>
          <w:sz w:val="21"/>
          <w:szCs w:val="21"/>
          <w:rtl w:val="0"/>
        </w:rPr>
        <w:t>The /16 network contains 65,536 addresses. The required subnet sizes are 128, 64, 32, and 16 addresses respectively.</w:t>
      </w:r>
    </w:p>
    <w:tbl>
      <w:tblPr>
        <w:tblStyle w:val="17"/>
        <w:tblW w:w="9072"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15" w:type="dxa"/>
          <w:bottom w:w="0" w:type="dxa"/>
          <w:right w:w="115" w:type="dxa"/>
        </w:tblCellMar>
      </w:tblPr>
      <w:tblGrid>
        <w:gridCol w:w="1512"/>
        <w:gridCol w:w="1512"/>
        <w:gridCol w:w="1512"/>
        <w:gridCol w:w="1512"/>
        <w:gridCol w:w="1512"/>
        <w:gridCol w:w="1512"/>
      </w:tblGrid>
      <w:tr w14:paraId="6898FFE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shd w:val="clear" w:color="auto" w:fill="D9EAF7"/>
            <w:vAlign w:val="center"/>
          </w:tcPr>
          <w:p w14:paraId="000000CE">
            <w:r>
              <w:rPr>
                <w:rFonts w:ascii="Times New Roman" w:hAnsi="Times New Roman" w:eastAsia="Times New Roman" w:cs="Times New Roman"/>
                <w:b/>
                <w:bCs/>
                <w:sz w:val="17"/>
                <w:szCs w:val="17"/>
                <w:rtl w:val="0"/>
              </w:rPr>
              <w:t>Department</w:t>
            </w:r>
          </w:p>
        </w:tc>
        <w:tc>
          <w:tcPr>
            <w:shd w:val="clear" w:color="auto" w:fill="D9EAF7"/>
            <w:vAlign w:val="center"/>
          </w:tcPr>
          <w:p w14:paraId="000000CF">
            <w:r>
              <w:rPr>
                <w:rFonts w:ascii="Times New Roman" w:hAnsi="Times New Roman" w:eastAsia="Times New Roman" w:cs="Times New Roman"/>
                <w:b/>
                <w:bCs/>
                <w:sz w:val="17"/>
                <w:szCs w:val="17"/>
                <w:rtl w:val="0"/>
              </w:rPr>
              <w:t>Prefix / Mask</w:t>
            </w:r>
          </w:p>
        </w:tc>
        <w:tc>
          <w:tcPr>
            <w:shd w:val="clear" w:color="auto" w:fill="D9EAF7"/>
            <w:vAlign w:val="center"/>
          </w:tcPr>
          <w:p w14:paraId="000000D0">
            <w:r>
              <w:rPr>
                <w:rFonts w:ascii="Times New Roman" w:hAnsi="Times New Roman" w:eastAsia="Times New Roman" w:cs="Times New Roman"/>
                <w:b/>
                <w:bCs/>
                <w:sz w:val="17"/>
                <w:szCs w:val="17"/>
                <w:rtl w:val="0"/>
              </w:rPr>
              <w:t>Network address</w:t>
            </w:r>
          </w:p>
        </w:tc>
        <w:tc>
          <w:tcPr>
            <w:shd w:val="clear" w:color="auto" w:fill="D9EAF7"/>
            <w:vAlign w:val="center"/>
          </w:tcPr>
          <w:p w14:paraId="000000D1">
            <w:r>
              <w:rPr>
                <w:rFonts w:ascii="Times New Roman" w:hAnsi="Times New Roman" w:eastAsia="Times New Roman" w:cs="Times New Roman"/>
                <w:b/>
                <w:bCs/>
                <w:sz w:val="17"/>
                <w:szCs w:val="17"/>
                <w:rtl w:val="0"/>
              </w:rPr>
              <w:t>Valid host range</w:t>
            </w:r>
          </w:p>
        </w:tc>
        <w:tc>
          <w:tcPr>
            <w:shd w:val="clear" w:color="auto" w:fill="D9EAF7"/>
            <w:vAlign w:val="center"/>
          </w:tcPr>
          <w:p w14:paraId="000000D2">
            <w:r>
              <w:rPr>
                <w:rFonts w:ascii="Times New Roman" w:hAnsi="Times New Roman" w:eastAsia="Times New Roman" w:cs="Times New Roman"/>
                <w:b/>
                <w:bCs/>
                <w:sz w:val="17"/>
                <w:szCs w:val="17"/>
                <w:rtl w:val="0"/>
              </w:rPr>
              <w:t>Broadcast address</w:t>
            </w:r>
          </w:p>
        </w:tc>
        <w:tc>
          <w:tcPr>
            <w:shd w:val="clear" w:color="auto" w:fill="D9EAF7"/>
            <w:vAlign w:val="center"/>
          </w:tcPr>
          <w:p w14:paraId="000000D3">
            <w:r>
              <w:rPr>
                <w:rFonts w:ascii="Times New Roman" w:hAnsi="Times New Roman" w:eastAsia="Times New Roman" w:cs="Times New Roman"/>
                <w:b/>
                <w:bCs/>
                <w:sz w:val="17"/>
                <w:szCs w:val="17"/>
                <w:rtl w:val="0"/>
              </w:rPr>
              <w:t>Usable hosts</w:t>
            </w:r>
          </w:p>
        </w:tc>
      </w:tr>
      <w:tr w14:paraId="173387A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D4">
            <w:r>
              <w:rPr>
                <w:rFonts w:ascii="Times New Roman" w:hAnsi="Times New Roman" w:eastAsia="Times New Roman" w:cs="Times New Roman"/>
                <w:sz w:val="17"/>
                <w:szCs w:val="17"/>
                <w:rtl w:val="0"/>
              </w:rPr>
              <w:t>HR</w:t>
            </w:r>
          </w:p>
        </w:tc>
        <w:tc>
          <w:tcPr>
            <w:vAlign w:val="center"/>
          </w:tcPr>
          <w:p w14:paraId="000000D5">
            <w:r>
              <w:rPr>
                <w:rFonts w:ascii="Times New Roman" w:hAnsi="Times New Roman" w:eastAsia="Times New Roman" w:cs="Times New Roman"/>
                <w:sz w:val="17"/>
                <w:szCs w:val="17"/>
                <w:rtl w:val="0"/>
              </w:rPr>
              <w:t>/25 — 255.255.255.128</w:t>
            </w:r>
          </w:p>
        </w:tc>
        <w:tc>
          <w:tcPr>
            <w:vAlign w:val="center"/>
          </w:tcPr>
          <w:p w14:paraId="000000D6">
            <w:r>
              <w:rPr>
                <w:rFonts w:ascii="Times New Roman" w:hAnsi="Times New Roman" w:eastAsia="Times New Roman" w:cs="Times New Roman"/>
                <w:sz w:val="17"/>
                <w:szCs w:val="17"/>
                <w:rtl w:val="0"/>
              </w:rPr>
              <w:t>172.16.0.0</w:t>
            </w:r>
          </w:p>
        </w:tc>
        <w:tc>
          <w:tcPr>
            <w:vAlign w:val="center"/>
          </w:tcPr>
          <w:p w14:paraId="000000D7">
            <w:r>
              <w:rPr>
                <w:rFonts w:ascii="Times New Roman" w:hAnsi="Times New Roman" w:eastAsia="Times New Roman" w:cs="Times New Roman"/>
                <w:sz w:val="17"/>
                <w:szCs w:val="17"/>
                <w:rtl w:val="0"/>
              </w:rPr>
              <w:t>172.16.0.1 – 172.16.0.126</w:t>
            </w:r>
          </w:p>
        </w:tc>
        <w:tc>
          <w:tcPr>
            <w:vAlign w:val="center"/>
          </w:tcPr>
          <w:p w14:paraId="000000D8">
            <w:r>
              <w:rPr>
                <w:rFonts w:ascii="Times New Roman" w:hAnsi="Times New Roman" w:eastAsia="Times New Roman" w:cs="Times New Roman"/>
                <w:sz w:val="17"/>
                <w:szCs w:val="17"/>
                <w:rtl w:val="0"/>
              </w:rPr>
              <w:t>172.16.0.127</w:t>
            </w:r>
          </w:p>
        </w:tc>
        <w:tc>
          <w:tcPr>
            <w:vAlign w:val="center"/>
          </w:tcPr>
          <w:p w14:paraId="000000D9">
            <w:r>
              <w:rPr>
                <w:rFonts w:ascii="Times New Roman" w:hAnsi="Times New Roman" w:eastAsia="Times New Roman" w:cs="Times New Roman"/>
                <w:sz w:val="17"/>
                <w:szCs w:val="17"/>
                <w:rtl w:val="0"/>
              </w:rPr>
              <w:t>126</w:t>
            </w:r>
          </w:p>
        </w:tc>
      </w:tr>
      <w:tr w14:paraId="03F6893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DA">
            <w:r>
              <w:rPr>
                <w:rFonts w:ascii="Times New Roman" w:hAnsi="Times New Roman" w:eastAsia="Times New Roman" w:cs="Times New Roman"/>
                <w:sz w:val="17"/>
                <w:szCs w:val="17"/>
                <w:rtl w:val="0"/>
              </w:rPr>
              <w:t>Sales</w:t>
            </w:r>
          </w:p>
        </w:tc>
        <w:tc>
          <w:tcPr>
            <w:vAlign w:val="center"/>
          </w:tcPr>
          <w:p w14:paraId="000000DB">
            <w:r>
              <w:rPr>
                <w:rFonts w:ascii="Times New Roman" w:hAnsi="Times New Roman" w:eastAsia="Times New Roman" w:cs="Times New Roman"/>
                <w:sz w:val="17"/>
                <w:szCs w:val="17"/>
                <w:rtl w:val="0"/>
              </w:rPr>
              <w:t>/26 — 255.255.255.192</w:t>
            </w:r>
          </w:p>
        </w:tc>
        <w:tc>
          <w:tcPr>
            <w:vAlign w:val="center"/>
          </w:tcPr>
          <w:p w14:paraId="000000DC">
            <w:r>
              <w:rPr>
                <w:rFonts w:ascii="Times New Roman" w:hAnsi="Times New Roman" w:eastAsia="Times New Roman" w:cs="Times New Roman"/>
                <w:sz w:val="17"/>
                <w:szCs w:val="17"/>
                <w:rtl w:val="0"/>
              </w:rPr>
              <w:t>172.16.0.128</w:t>
            </w:r>
          </w:p>
        </w:tc>
        <w:tc>
          <w:tcPr>
            <w:vAlign w:val="center"/>
          </w:tcPr>
          <w:p w14:paraId="000000DD">
            <w:r>
              <w:rPr>
                <w:rFonts w:ascii="Times New Roman" w:hAnsi="Times New Roman" w:eastAsia="Times New Roman" w:cs="Times New Roman"/>
                <w:sz w:val="17"/>
                <w:szCs w:val="17"/>
                <w:rtl w:val="0"/>
              </w:rPr>
              <w:t>172.16.0.129 – 172.16.0.190</w:t>
            </w:r>
          </w:p>
        </w:tc>
        <w:tc>
          <w:tcPr>
            <w:vAlign w:val="center"/>
          </w:tcPr>
          <w:p w14:paraId="000000DE">
            <w:r>
              <w:rPr>
                <w:rFonts w:ascii="Times New Roman" w:hAnsi="Times New Roman" w:eastAsia="Times New Roman" w:cs="Times New Roman"/>
                <w:sz w:val="17"/>
                <w:szCs w:val="17"/>
                <w:rtl w:val="0"/>
              </w:rPr>
              <w:t>172.16.0.191</w:t>
            </w:r>
          </w:p>
        </w:tc>
        <w:tc>
          <w:tcPr>
            <w:vAlign w:val="center"/>
          </w:tcPr>
          <w:p w14:paraId="000000DF">
            <w:r>
              <w:rPr>
                <w:rFonts w:ascii="Times New Roman" w:hAnsi="Times New Roman" w:eastAsia="Times New Roman" w:cs="Times New Roman"/>
                <w:sz w:val="17"/>
                <w:szCs w:val="17"/>
                <w:rtl w:val="0"/>
              </w:rPr>
              <w:t>62</w:t>
            </w:r>
          </w:p>
        </w:tc>
      </w:tr>
      <w:tr w14:paraId="650EAF5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E0">
            <w:r>
              <w:rPr>
                <w:rFonts w:ascii="Times New Roman" w:hAnsi="Times New Roman" w:eastAsia="Times New Roman" w:cs="Times New Roman"/>
                <w:sz w:val="17"/>
                <w:szCs w:val="17"/>
                <w:rtl w:val="0"/>
              </w:rPr>
              <w:t>IT</w:t>
            </w:r>
          </w:p>
        </w:tc>
        <w:tc>
          <w:tcPr>
            <w:vAlign w:val="center"/>
          </w:tcPr>
          <w:p w14:paraId="000000E1">
            <w:r>
              <w:rPr>
                <w:rFonts w:ascii="Times New Roman" w:hAnsi="Times New Roman" w:eastAsia="Times New Roman" w:cs="Times New Roman"/>
                <w:sz w:val="17"/>
                <w:szCs w:val="17"/>
                <w:rtl w:val="0"/>
              </w:rPr>
              <w:t>/27 — 255.255.255.224</w:t>
            </w:r>
          </w:p>
        </w:tc>
        <w:tc>
          <w:tcPr>
            <w:vAlign w:val="center"/>
          </w:tcPr>
          <w:p w14:paraId="000000E2">
            <w:r>
              <w:rPr>
                <w:rFonts w:ascii="Times New Roman" w:hAnsi="Times New Roman" w:eastAsia="Times New Roman" w:cs="Times New Roman"/>
                <w:sz w:val="17"/>
                <w:szCs w:val="17"/>
                <w:rtl w:val="0"/>
              </w:rPr>
              <w:t>172.16.0.192</w:t>
            </w:r>
          </w:p>
        </w:tc>
        <w:tc>
          <w:tcPr>
            <w:vAlign w:val="center"/>
          </w:tcPr>
          <w:p w14:paraId="000000E3">
            <w:r>
              <w:rPr>
                <w:rFonts w:ascii="Times New Roman" w:hAnsi="Times New Roman" w:eastAsia="Times New Roman" w:cs="Times New Roman"/>
                <w:sz w:val="17"/>
                <w:szCs w:val="17"/>
                <w:rtl w:val="0"/>
              </w:rPr>
              <w:t>172.16.0.193 – 172.16.0.222</w:t>
            </w:r>
          </w:p>
        </w:tc>
        <w:tc>
          <w:tcPr>
            <w:vAlign w:val="center"/>
          </w:tcPr>
          <w:p w14:paraId="000000E4">
            <w:r>
              <w:rPr>
                <w:rFonts w:ascii="Times New Roman" w:hAnsi="Times New Roman" w:eastAsia="Times New Roman" w:cs="Times New Roman"/>
                <w:sz w:val="17"/>
                <w:szCs w:val="17"/>
                <w:rtl w:val="0"/>
              </w:rPr>
              <w:t>172.16.0.223</w:t>
            </w:r>
          </w:p>
        </w:tc>
        <w:tc>
          <w:tcPr>
            <w:vAlign w:val="center"/>
          </w:tcPr>
          <w:p w14:paraId="000000E5">
            <w:r>
              <w:rPr>
                <w:rFonts w:ascii="Times New Roman" w:hAnsi="Times New Roman" w:eastAsia="Times New Roman" w:cs="Times New Roman"/>
                <w:sz w:val="17"/>
                <w:szCs w:val="17"/>
                <w:rtl w:val="0"/>
              </w:rPr>
              <w:t>30</w:t>
            </w:r>
          </w:p>
        </w:tc>
      </w:tr>
      <w:tr w14:paraId="7F20983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E6">
            <w:r>
              <w:rPr>
                <w:rFonts w:ascii="Times New Roman" w:hAnsi="Times New Roman" w:eastAsia="Times New Roman" w:cs="Times New Roman"/>
                <w:sz w:val="17"/>
                <w:szCs w:val="17"/>
                <w:rtl w:val="0"/>
              </w:rPr>
              <w:t>Admin</w:t>
            </w:r>
          </w:p>
        </w:tc>
        <w:tc>
          <w:tcPr>
            <w:vAlign w:val="center"/>
          </w:tcPr>
          <w:p w14:paraId="000000E7">
            <w:r>
              <w:rPr>
                <w:rFonts w:ascii="Times New Roman" w:hAnsi="Times New Roman" w:eastAsia="Times New Roman" w:cs="Times New Roman"/>
                <w:sz w:val="17"/>
                <w:szCs w:val="17"/>
                <w:rtl w:val="0"/>
              </w:rPr>
              <w:t>/28 — 255.255.255.240</w:t>
            </w:r>
          </w:p>
        </w:tc>
        <w:tc>
          <w:tcPr>
            <w:vAlign w:val="center"/>
          </w:tcPr>
          <w:p w14:paraId="000000E8">
            <w:r>
              <w:rPr>
                <w:rFonts w:ascii="Times New Roman" w:hAnsi="Times New Roman" w:eastAsia="Times New Roman" w:cs="Times New Roman"/>
                <w:sz w:val="17"/>
                <w:szCs w:val="17"/>
                <w:rtl w:val="0"/>
              </w:rPr>
              <w:t>172.16.0.224</w:t>
            </w:r>
          </w:p>
        </w:tc>
        <w:tc>
          <w:tcPr>
            <w:vAlign w:val="center"/>
          </w:tcPr>
          <w:p w14:paraId="000000E9">
            <w:r>
              <w:rPr>
                <w:rFonts w:ascii="Times New Roman" w:hAnsi="Times New Roman" w:eastAsia="Times New Roman" w:cs="Times New Roman"/>
                <w:sz w:val="17"/>
                <w:szCs w:val="17"/>
                <w:rtl w:val="0"/>
              </w:rPr>
              <w:t>172.16.0.225 – 172.16.0.238</w:t>
            </w:r>
          </w:p>
        </w:tc>
        <w:tc>
          <w:tcPr>
            <w:vAlign w:val="center"/>
          </w:tcPr>
          <w:p w14:paraId="000000EA">
            <w:r>
              <w:rPr>
                <w:rFonts w:ascii="Times New Roman" w:hAnsi="Times New Roman" w:eastAsia="Times New Roman" w:cs="Times New Roman"/>
                <w:sz w:val="17"/>
                <w:szCs w:val="17"/>
                <w:rtl w:val="0"/>
              </w:rPr>
              <w:t>172.16.0.239</w:t>
            </w:r>
          </w:p>
        </w:tc>
        <w:tc>
          <w:tcPr>
            <w:vAlign w:val="center"/>
          </w:tcPr>
          <w:p w14:paraId="000000EB">
            <w:r>
              <w:rPr>
                <w:rFonts w:ascii="Times New Roman" w:hAnsi="Times New Roman" w:eastAsia="Times New Roman" w:cs="Times New Roman"/>
                <w:sz w:val="17"/>
                <w:szCs w:val="17"/>
                <w:rtl w:val="0"/>
              </w:rPr>
              <w:t>14</w:t>
            </w:r>
          </w:p>
        </w:tc>
      </w:tr>
    </w:tbl>
    <w:p w14:paraId="000000EC"/>
    <w:p w14:paraId="000000ED">
      <w:pPr>
        <w:spacing w:after="80"/>
      </w:pPr>
      <w:r>
        <w:rPr>
          <w:rFonts w:ascii="Times New Roman" w:hAnsi="Times New Roman" w:eastAsia="Times New Roman" w:cs="Times New Roman"/>
          <w:sz w:val="21"/>
          <w:szCs w:val="21"/>
          <w:rtl w:val="0"/>
        </w:rPr>
        <w:t>Working: The allocations use 128 + 64 + 32 + 16 = 240 addresses, from 172.16.0.0 through 172.16.0.239.</w:t>
      </w:r>
    </w:p>
    <w:p w14:paraId="000000EE">
      <w:pPr>
        <w:spacing w:after="80"/>
      </w:pPr>
      <w:r>
        <w:rPr>
          <w:rFonts w:ascii="Times New Roman" w:hAnsi="Times New Roman" w:eastAsia="Times New Roman" w:cs="Times New Roman"/>
          <w:sz w:val="21"/>
          <w:szCs w:val="21"/>
          <w:rtl w:val="0"/>
        </w:rPr>
        <w:t>Remaining unused range: 172.16.0.240 through 172.16.255.255. This is a continuous range within the original /16 block, although not a single CIDR subnet.</w:t>
      </w:r>
    </w:p>
    <w:p w14:paraId="000000EF">
      <w:pPr>
        <w:spacing w:after="80"/>
      </w:pPr>
      <w:r>
        <w:rPr>
          <w:rFonts w:ascii="Times New Roman" w:hAnsi="Times New Roman" w:eastAsia="Times New Roman" w:cs="Times New Roman"/>
          <w:sz w:val="21"/>
          <w:szCs w:val="21"/>
          <w:rtl w:val="0"/>
        </w:rPr>
        <w:t>The unused range contains 65,296 addresses (65,536 − 240). Result: HR has 126 usable hosts, Sales 62, IT 30, and Admin 14.</w:t>
      </w:r>
    </w:p>
    <w:p w14:paraId="000000F0">
      <w:pPr>
        <w:spacing w:before="160" w:after="80"/>
      </w:pPr>
      <w:r>
        <w:rPr>
          <w:rFonts w:ascii="Times New Roman" w:hAnsi="Times New Roman" w:eastAsia="Times New Roman" w:cs="Times New Roman"/>
          <w:b/>
          <w:bCs/>
          <w:sz w:val="24"/>
          <w:szCs w:val="24"/>
          <w:rtl w:val="0"/>
        </w:rPr>
        <w:t>Question 4: Subnetting 172.16.10.0/24 using /27</w:t>
      </w:r>
    </w:p>
    <w:p w14:paraId="000000F1">
      <w:pPr>
        <w:spacing w:after="80"/>
      </w:pPr>
      <w:r>
        <w:rPr>
          <w:rFonts w:ascii="Times New Roman" w:hAnsi="Times New Roman" w:eastAsia="Times New Roman" w:cs="Times New Roman"/>
          <w:sz w:val="21"/>
          <w:szCs w:val="21"/>
          <w:rtl w:val="0"/>
        </w:rPr>
        <w:t>Given: Parent network = 172.16.10.0/24; new prefix = /27; target IPs = 172.16.10.78 and 172.16.10.95.</w:t>
      </w:r>
    </w:p>
    <w:p w14:paraId="000000F2">
      <w:pPr>
        <w:spacing w:after="80"/>
      </w:pPr>
      <w:r>
        <w:rPr>
          <w:rFonts w:ascii="Times New Roman" w:hAnsi="Times New Roman" w:eastAsia="Times New Roman" w:cs="Times New Roman"/>
          <w:sz w:val="21"/>
          <w:szCs w:val="21"/>
          <w:rtl w:val="0"/>
        </w:rPr>
        <w:t>Formulae used: Number of subnets = 2^(27 − 24) = 8. Addresses per /27 subnet = 2^(32 − 27) = 32; usable hosts = 32 − 2 = 30.</w:t>
      </w:r>
    </w:p>
    <w:p w14:paraId="000000F3">
      <w:pPr>
        <w:spacing w:after="80"/>
      </w:pPr>
      <w:r>
        <w:rPr>
          <w:rFonts w:ascii="Times New Roman" w:hAnsi="Times New Roman" w:eastAsia="Times New Roman" w:cs="Times New Roman"/>
          <w:sz w:val="21"/>
          <w:szCs w:val="21"/>
          <w:rtl w:val="0"/>
        </w:rPr>
        <w:t>The /27 mask is 255.255.255.224, giving block size 256 − 224 = 32. The subnet boundaries are .0, .32, .64, .96, .128, .160, .192, and .224.</w:t>
      </w:r>
    </w:p>
    <w:tbl>
      <w:tblPr>
        <w:tblStyle w:val="18"/>
        <w:tblW w:w="9072"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15" w:type="dxa"/>
          <w:bottom w:w="0" w:type="dxa"/>
          <w:right w:w="115" w:type="dxa"/>
        </w:tblCellMar>
      </w:tblPr>
      <w:tblGrid>
        <w:gridCol w:w="2268"/>
        <w:gridCol w:w="2268"/>
        <w:gridCol w:w="2268"/>
        <w:gridCol w:w="2268"/>
      </w:tblGrid>
      <w:tr w14:paraId="3E641BC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shd w:val="clear" w:color="auto" w:fill="D9EAF7"/>
            <w:vAlign w:val="center"/>
          </w:tcPr>
          <w:p w14:paraId="000000F4">
            <w:r>
              <w:rPr>
                <w:rFonts w:ascii="Times New Roman" w:hAnsi="Times New Roman" w:eastAsia="Times New Roman" w:cs="Times New Roman"/>
                <w:b/>
                <w:bCs/>
                <w:sz w:val="17"/>
                <w:szCs w:val="17"/>
                <w:rtl w:val="0"/>
              </w:rPr>
              <w:t>Subnet</w:t>
            </w:r>
          </w:p>
        </w:tc>
        <w:tc>
          <w:tcPr>
            <w:shd w:val="clear" w:color="auto" w:fill="D9EAF7"/>
            <w:vAlign w:val="center"/>
          </w:tcPr>
          <w:p w14:paraId="000000F5">
            <w:r>
              <w:rPr>
                <w:rFonts w:ascii="Times New Roman" w:hAnsi="Times New Roman" w:eastAsia="Times New Roman" w:cs="Times New Roman"/>
                <w:b/>
                <w:bCs/>
                <w:sz w:val="17"/>
                <w:szCs w:val="17"/>
                <w:rtl w:val="0"/>
              </w:rPr>
              <w:t>Network address</w:t>
            </w:r>
          </w:p>
        </w:tc>
        <w:tc>
          <w:tcPr>
            <w:shd w:val="clear" w:color="auto" w:fill="D9EAF7"/>
            <w:vAlign w:val="center"/>
          </w:tcPr>
          <w:p w14:paraId="000000F6">
            <w:r>
              <w:rPr>
                <w:rFonts w:ascii="Times New Roman" w:hAnsi="Times New Roman" w:eastAsia="Times New Roman" w:cs="Times New Roman"/>
                <w:b/>
                <w:bCs/>
                <w:sz w:val="17"/>
                <w:szCs w:val="17"/>
                <w:rtl w:val="0"/>
              </w:rPr>
              <w:t>Valid host range</w:t>
            </w:r>
          </w:p>
        </w:tc>
        <w:tc>
          <w:tcPr>
            <w:shd w:val="clear" w:color="auto" w:fill="D9EAF7"/>
            <w:vAlign w:val="center"/>
          </w:tcPr>
          <w:p w14:paraId="000000F7">
            <w:r>
              <w:rPr>
                <w:rFonts w:ascii="Times New Roman" w:hAnsi="Times New Roman" w:eastAsia="Times New Roman" w:cs="Times New Roman"/>
                <w:b/>
                <w:bCs/>
                <w:sz w:val="17"/>
                <w:szCs w:val="17"/>
                <w:rtl w:val="0"/>
              </w:rPr>
              <w:t>Broadcast address</w:t>
            </w:r>
          </w:p>
        </w:tc>
      </w:tr>
      <w:tr w14:paraId="1824091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F8">
            <w:r>
              <w:rPr>
                <w:rFonts w:ascii="Times New Roman" w:hAnsi="Times New Roman" w:eastAsia="Times New Roman" w:cs="Times New Roman"/>
                <w:sz w:val="17"/>
                <w:szCs w:val="17"/>
                <w:rtl w:val="0"/>
              </w:rPr>
              <w:t>1</w:t>
            </w:r>
          </w:p>
        </w:tc>
        <w:tc>
          <w:tcPr>
            <w:vAlign w:val="center"/>
          </w:tcPr>
          <w:p w14:paraId="000000F9">
            <w:r>
              <w:rPr>
                <w:rFonts w:ascii="Times New Roman" w:hAnsi="Times New Roman" w:eastAsia="Times New Roman" w:cs="Times New Roman"/>
                <w:sz w:val="17"/>
                <w:szCs w:val="17"/>
                <w:rtl w:val="0"/>
              </w:rPr>
              <w:t>172.16.10.0/27</w:t>
            </w:r>
          </w:p>
        </w:tc>
        <w:tc>
          <w:tcPr>
            <w:vAlign w:val="center"/>
          </w:tcPr>
          <w:p w14:paraId="000000FA">
            <w:r>
              <w:rPr>
                <w:rFonts w:ascii="Times New Roman" w:hAnsi="Times New Roman" w:eastAsia="Times New Roman" w:cs="Times New Roman"/>
                <w:sz w:val="17"/>
                <w:szCs w:val="17"/>
                <w:rtl w:val="0"/>
              </w:rPr>
              <w:t>172.16.10.1 – 172.16.10.30</w:t>
            </w:r>
          </w:p>
        </w:tc>
        <w:tc>
          <w:tcPr>
            <w:vAlign w:val="center"/>
          </w:tcPr>
          <w:p w14:paraId="000000FB">
            <w:r>
              <w:rPr>
                <w:rFonts w:ascii="Times New Roman" w:hAnsi="Times New Roman" w:eastAsia="Times New Roman" w:cs="Times New Roman"/>
                <w:sz w:val="17"/>
                <w:szCs w:val="17"/>
                <w:rtl w:val="0"/>
              </w:rPr>
              <w:t>172.16.10.31</w:t>
            </w:r>
          </w:p>
        </w:tc>
      </w:tr>
      <w:tr w14:paraId="197A239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0FC">
            <w:r>
              <w:rPr>
                <w:rFonts w:ascii="Times New Roman" w:hAnsi="Times New Roman" w:eastAsia="Times New Roman" w:cs="Times New Roman"/>
                <w:sz w:val="17"/>
                <w:szCs w:val="17"/>
                <w:rtl w:val="0"/>
              </w:rPr>
              <w:t>2</w:t>
            </w:r>
          </w:p>
        </w:tc>
        <w:tc>
          <w:tcPr>
            <w:vAlign w:val="center"/>
          </w:tcPr>
          <w:p w14:paraId="000000FD">
            <w:r>
              <w:rPr>
                <w:rFonts w:ascii="Times New Roman" w:hAnsi="Times New Roman" w:eastAsia="Times New Roman" w:cs="Times New Roman"/>
                <w:sz w:val="17"/>
                <w:szCs w:val="17"/>
                <w:rtl w:val="0"/>
              </w:rPr>
              <w:t>172.16.10.32/27</w:t>
            </w:r>
          </w:p>
        </w:tc>
        <w:tc>
          <w:tcPr>
            <w:vAlign w:val="center"/>
          </w:tcPr>
          <w:p w14:paraId="000000FE">
            <w:r>
              <w:rPr>
                <w:rFonts w:ascii="Times New Roman" w:hAnsi="Times New Roman" w:eastAsia="Times New Roman" w:cs="Times New Roman"/>
                <w:sz w:val="17"/>
                <w:szCs w:val="17"/>
                <w:rtl w:val="0"/>
              </w:rPr>
              <w:t>172.16.10.33 – 172.16.10.62</w:t>
            </w:r>
          </w:p>
        </w:tc>
        <w:tc>
          <w:tcPr>
            <w:vAlign w:val="center"/>
          </w:tcPr>
          <w:p w14:paraId="000000FF">
            <w:r>
              <w:rPr>
                <w:rFonts w:ascii="Times New Roman" w:hAnsi="Times New Roman" w:eastAsia="Times New Roman" w:cs="Times New Roman"/>
                <w:sz w:val="17"/>
                <w:szCs w:val="17"/>
                <w:rtl w:val="0"/>
              </w:rPr>
              <w:t>172.16.10.63</w:t>
            </w:r>
          </w:p>
        </w:tc>
      </w:tr>
      <w:tr w14:paraId="36AF421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100">
            <w:r>
              <w:rPr>
                <w:rFonts w:ascii="Times New Roman" w:hAnsi="Times New Roman" w:eastAsia="Times New Roman" w:cs="Times New Roman"/>
                <w:sz w:val="17"/>
                <w:szCs w:val="17"/>
                <w:rtl w:val="0"/>
              </w:rPr>
              <w:t>3</w:t>
            </w:r>
          </w:p>
        </w:tc>
        <w:tc>
          <w:tcPr>
            <w:vAlign w:val="center"/>
          </w:tcPr>
          <w:p w14:paraId="00000101">
            <w:r>
              <w:rPr>
                <w:rFonts w:ascii="Times New Roman" w:hAnsi="Times New Roman" w:eastAsia="Times New Roman" w:cs="Times New Roman"/>
                <w:sz w:val="17"/>
                <w:szCs w:val="17"/>
                <w:rtl w:val="0"/>
              </w:rPr>
              <w:t>172.16.10.64/27</w:t>
            </w:r>
          </w:p>
        </w:tc>
        <w:tc>
          <w:tcPr>
            <w:vAlign w:val="center"/>
          </w:tcPr>
          <w:p w14:paraId="00000102">
            <w:r>
              <w:rPr>
                <w:rFonts w:ascii="Times New Roman" w:hAnsi="Times New Roman" w:eastAsia="Times New Roman" w:cs="Times New Roman"/>
                <w:sz w:val="17"/>
                <w:szCs w:val="17"/>
                <w:rtl w:val="0"/>
              </w:rPr>
              <w:t>172.16.10.65 – 172.16.10.94</w:t>
            </w:r>
          </w:p>
        </w:tc>
        <w:tc>
          <w:tcPr>
            <w:vAlign w:val="center"/>
          </w:tcPr>
          <w:p w14:paraId="00000103">
            <w:r>
              <w:rPr>
                <w:rFonts w:ascii="Times New Roman" w:hAnsi="Times New Roman" w:eastAsia="Times New Roman" w:cs="Times New Roman"/>
                <w:sz w:val="17"/>
                <w:szCs w:val="17"/>
                <w:rtl w:val="0"/>
              </w:rPr>
              <w:t>172.16.10.95</w:t>
            </w:r>
          </w:p>
        </w:tc>
      </w:tr>
      <w:tr w14:paraId="4AD0497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104">
            <w:r>
              <w:rPr>
                <w:rFonts w:ascii="Times New Roman" w:hAnsi="Times New Roman" w:eastAsia="Times New Roman" w:cs="Times New Roman"/>
                <w:sz w:val="17"/>
                <w:szCs w:val="17"/>
                <w:rtl w:val="0"/>
              </w:rPr>
              <w:t>4</w:t>
            </w:r>
          </w:p>
        </w:tc>
        <w:tc>
          <w:tcPr>
            <w:vAlign w:val="center"/>
          </w:tcPr>
          <w:p w14:paraId="00000105">
            <w:r>
              <w:rPr>
                <w:rFonts w:ascii="Times New Roman" w:hAnsi="Times New Roman" w:eastAsia="Times New Roman" w:cs="Times New Roman"/>
                <w:sz w:val="17"/>
                <w:szCs w:val="17"/>
                <w:rtl w:val="0"/>
              </w:rPr>
              <w:t>172.16.10.96/27</w:t>
            </w:r>
          </w:p>
        </w:tc>
        <w:tc>
          <w:tcPr>
            <w:vAlign w:val="center"/>
          </w:tcPr>
          <w:p w14:paraId="00000106">
            <w:r>
              <w:rPr>
                <w:rFonts w:ascii="Times New Roman" w:hAnsi="Times New Roman" w:eastAsia="Times New Roman" w:cs="Times New Roman"/>
                <w:sz w:val="17"/>
                <w:szCs w:val="17"/>
                <w:rtl w:val="0"/>
              </w:rPr>
              <w:t>172.16.10.97 – 172.16.10.126</w:t>
            </w:r>
          </w:p>
        </w:tc>
        <w:tc>
          <w:tcPr>
            <w:vAlign w:val="center"/>
          </w:tcPr>
          <w:p w14:paraId="00000107">
            <w:r>
              <w:rPr>
                <w:rFonts w:ascii="Times New Roman" w:hAnsi="Times New Roman" w:eastAsia="Times New Roman" w:cs="Times New Roman"/>
                <w:sz w:val="17"/>
                <w:szCs w:val="17"/>
                <w:rtl w:val="0"/>
              </w:rPr>
              <w:t>172.16.10.127</w:t>
            </w:r>
          </w:p>
        </w:tc>
      </w:tr>
      <w:tr w14:paraId="2D064C2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108">
            <w:r>
              <w:rPr>
                <w:rFonts w:ascii="Times New Roman" w:hAnsi="Times New Roman" w:eastAsia="Times New Roman" w:cs="Times New Roman"/>
                <w:sz w:val="17"/>
                <w:szCs w:val="17"/>
                <w:rtl w:val="0"/>
              </w:rPr>
              <w:t>5</w:t>
            </w:r>
          </w:p>
        </w:tc>
        <w:tc>
          <w:tcPr>
            <w:vAlign w:val="center"/>
          </w:tcPr>
          <w:p w14:paraId="00000109">
            <w:r>
              <w:rPr>
                <w:rFonts w:ascii="Times New Roman" w:hAnsi="Times New Roman" w:eastAsia="Times New Roman" w:cs="Times New Roman"/>
                <w:sz w:val="17"/>
                <w:szCs w:val="17"/>
                <w:rtl w:val="0"/>
              </w:rPr>
              <w:t>172.16.10.128/27</w:t>
            </w:r>
          </w:p>
        </w:tc>
        <w:tc>
          <w:tcPr>
            <w:vAlign w:val="center"/>
          </w:tcPr>
          <w:p w14:paraId="0000010A">
            <w:r>
              <w:rPr>
                <w:rFonts w:ascii="Times New Roman" w:hAnsi="Times New Roman" w:eastAsia="Times New Roman" w:cs="Times New Roman"/>
                <w:sz w:val="17"/>
                <w:szCs w:val="17"/>
                <w:rtl w:val="0"/>
              </w:rPr>
              <w:t>172.16.10.129 – 172.16.10.158</w:t>
            </w:r>
          </w:p>
        </w:tc>
        <w:tc>
          <w:tcPr>
            <w:vAlign w:val="center"/>
          </w:tcPr>
          <w:p w14:paraId="0000010B">
            <w:r>
              <w:rPr>
                <w:rFonts w:ascii="Times New Roman" w:hAnsi="Times New Roman" w:eastAsia="Times New Roman" w:cs="Times New Roman"/>
                <w:sz w:val="17"/>
                <w:szCs w:val="17"/>
                <w:rtl w:val="0"/>
              </w:rPr>
              <w:t>172.16.10.159</w:t>
            </w:r>
          </w:p>
        </w:tc>
      </w:tr>
      <w:tr w14:paraId="693FFC2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10C">
            <w:r>
              <w:rPr>
                <w:rFonts w:ascii="Times New Roman" w:hAnsi="Times New Roman" w:eastAsia="Times New Roman" w:cs="Times New Roman"/>
                <w:sz w:val="17"/>
                <w:szCs w:val="17"/>
                <w:rtl w:val="0"/>
              </w:rPr>
              <w:t>6</w:t>
            </w:r>
          </w:p>
        </w:tc>
        <w:tc>
          <w:tcPr>
            <w:vAlign w:val="center"/>
          </w:tcPr>
          <w:p w14:paraId="0000010D">
            <w:r>
              <w:rPr>
                <w:rFonts w:ascii="Times New Roman" w:hAnsi="Times New Roman" w:eastAsia="Times New Roman" w:cs="Times New Roman"/>
                <w:sz w:val="17"/>
                <w:szCs w:val="17"/>
                <w:rtl w:val="0"/>
              </w:rPr>
              <w:t>172.16.10.160/27</w:t>
            </w:r>
          </w:p>
        </w:tc>
        <w:tc>
          <w:tcPr>
            <w:vAlign w:val="center"/>
          </w:tcPr>
          <w:p w14:paraId="0000010E">
            <w:r>
              <w:rPr>
                <w:rFonts w:ascii="Times New Roman" w:hAnsi="Times New Roman" w:eastAsia="Times New Roman" w:cs="Times New Roman"/>
                <w:sz w:val="17"/>
                <w:szCs w:val="17"/>
                <w:rtl w:val="0"/>
              </w:rPr>
              <w:t>172.16.10.161 – 172.16.10.190</w:t>
            </w:r>
          </w:p>
        </w:tc>
        <w:tc>
          <w:tcPr>
            <w:vAlign w:val="center"/>
          </w:tcPr>
          <w:p w14:paraId="0000010F">
            <w:r>
              <w:rPr>
                <w:rFonts w:ascii="Times New Roman" w:hAnsi="Times New Roman" w:eastAsia="Times New Roman" w:cs="Times New Roman"/>
                <w:sz w:val="17"/>
                <w:szCs w:val="17"/>
                <w:rtl w:val="0"/>
              </w:rPr>
              <w:t>172.16.10.191</w:t>
            </w:r>
          </w:p>
        </w:tc>
      </w:tr>
      <w:tr w14:paraId="37457A0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110">
            <w:r>
              <w:rPr>
                <w:rFonts w:ascii="Times New Roman" w:hAnsi="Times New Roman" w:eastAsia="Times New Roman" w:cs="Times New Roman"/>
                <w:sz w:val="17"/>
                <w:szCs w:val="17"/>
                <w:rtl w:val="0"/>
              </w:rPr>
              <w:t>7</w:t>
            </w:r>
          </w:p>
        </w:tc>
        <w:tc>
          <w:tcPr>
            <w:vAlign w:val="center"/>
          </w:tcPr>
          <w:p w14:paraId="00000111">
            <w:r>
              <w:rPr>
                <w:rFonts w:ascii="Times New Roman" w:hAnsi="Times New Roman" w:eastAsia="Times New Roman" w:cs="Times New Roman"/>
                <w:sz w:val="17"/>
                <w:szCs w:val="17"/>
                <w:rtl w:val="0"/>
              </w:rPr>
              <w:t>172.16.10.192/27</w:t>
            </w:r>
          </w:p>
        </w:tc>
        <w:tc>
          <w:tcPr>
            <w:vAlign w:val="center"/>
          </w:tcPr>
          <w:p w14:paraId="00000112">
            <w:r>
              <w:rPr>
                <w:rFonts w:ascii="Times New Roman" w:hAnsi="Times New Roman" w:eastAsia="Times New Roman" w:cs="Times New Roman"/>
                <w:sz w:val="17"/>
                <w:szCs w:val="17"/>
                <w:rtl w:val="0"/>
              </w:rPr>
              <w:t>172.16.10.193 – 172.16.10.222</w:t>
            </w:r>
          </w:p>
        </w:tc>
        <w:tc>
          <w:tcPr>
            <w:vAlign w:val="center"/>
          </w:tcPr>
          <w:p w14:paraId="00000113">
            <w:r>
              <w:rPr>
                <w:rFonts w:ascii="Times New Roman" w:hAnsi="Times New Roman" w:eastAsia="Times New Roman" w:cs="Times New Roman"/>
                <w:sz w:val="17"/>
                <w:szCs w:val="17"/>
                <w:rtl w:val="0"/>
              </w:rPr>
              <w:t>172.16.10.223</w:t>
            </w:r>
          </w:p>
        </w:tc>
      </w:tr>
      <w:tr w14:paraId="0C55AD3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15" w:type="dxa"/>
            <w:bottom w:w="0" w:type="dxa"/>
            <w:right w:w="115" w:type="dxa"/>
          </w:tblCellMar>
        </w:tblPrEx>
        <w:trPr>
          <w:jc w:val="center"/>
        </w:trPr>
        <w:tc>
          <w:tcPr>
            <w:vAlign w:val="center"/>
          </w:tcPr>
          <w:p w14:paraId="00000114">
            <w:r>
              <w:rPr>
                <w:rFonts w:ascii="Times New Roman" w:hAnsi="Times New Roman" w:eastAsia="Times New Roman" w:cs="Times New Roman"/>
                <w:sz w:val="17"/>
                <w:szCs w:val="17"/>
                <w:rtl w:val="0"/>
              </w:rPr>
              <w:t>8</w:t>
            </w:r>
          </w:p>
        </w:tc>
        <w:tc>
          <w:tcPr>
            <w:vAlign w:val="center"/>
          </w:tcPr>
          <w:p w14:paraId="00000115">
            <w:r>
              <w:rPr>
                <w:rFonts w:ascii="Times New Roman" w:hAnsi="Times New Roman" w:eastAsia="Times New Roman" w:cs="Times New Roman"/>
                <w:sz w:val="17"/>
                <w:szCs w:val="17"/>
                <w:rtl w:val="0"/>
              </w:rPr>
              <w:t>172.16.10.224/27</w:t>
            </w:r>
          </w:p>
        </w:tc>
        <w:tc>
          <w:tcPr>
            <w:vAlign w:val="center"/>
          </w:tcPr>
          <w:p w14:paraId="00000116">
            <w:r>
              <w:rPr>
                <w:rFonts w:ascii="Times New Roman" w:hAnsi="Times New Roman" w:eastAsia="Times New Roman" w:cs="Times New Roman"/>
                <w:sz w:val="17"/>
                <w:szCs w:val="17"/>
                <w:rtl w:val="0"/>
              </w:rPr>
              <w:t>172.16.10.225 – 172.16.10.254</w:t>
            </w:r>
          </w:p>
        </w:tc>
        <w:tc>
          <w:tcPr>
            <w:vAlign w:val="center"/>
          </w:tcPr>
          <w:p w14:paraId="00000117">
            <w:r>
              <w:rPr>
                <w:rFonts w:ascii="Times New Roman" w:hAnsi="Times New Roman" w:eastAsia="Times New Roman" w:cs="Times New Roman"/>
                <w:sz w:val="17"/>
                <w:szCs w:val="17"/>
                <w:rtl w:val="0"/>
              </w:rPr>
              <w:t>172.16.10.255</w:t>
            </w:r>
          </w:p>
        </w:tc>
      </w:tr>
    </w:tbl>
    <w:p w14:paraId="00000118"/>
    <w:p w14:paraId="00000119">
      <w:pPr>
        <w:spacing w:after="80"/>
      </w:pPr>
      <w:r>
        <w:rPr>
          <w:rFonts w:ascii="Times New Roman" w:hAnsi="Times New Roman" w:eastAsia="Times New Roman" w:cs="Times New Roman"/>
          <w:sz w:val="21"/>
          <w:szCs w:val="21"/>
          <w:rtl w:val="0"/>
        </w:rPr>
        <w:t>Subnet containing 172.16.10.78: It falls between .64 and .95, so it belongs to 172.16.10.64/27. Network address = 172.16.10.64; valid host range = 172.16.10.65–172.16.10.94; broadcast address = 172.16.10.95.</w:t>
      </w:r>
    </w:p>
    <w:p w14:paraId="0000011A">
      <w:pPr>
        <w:spacing w:after="80"/>
      </w:pPr>
      <w:r>
        <w:rPr>
          <w:rFonts w:ascii="Times New Roman" w:hAnsi="Times New Roman" w:eastAsia="Times New Roman" w:cs="Times New Roman"/>
          <w:sz w:val="21"/>
          <w:szCs w:val="21"/>
          <w:rtl w:val="0"/>
        </w:rPr>
        <w:t>Does 172.16.10.95 belong to the same subnet? It is inside the subnet's address block but is the broadcast address, not a valid host address. It cannot be assigned to a host.</w:t>
      </w:r>
    </w:p>
    <w:p w14:paraId="0000011B">
      <w:pPr>
        <w:spacing w:after="80"/>
      </w:pPr>
      <w:r>
        <w:rPr>
          <w:rFonts w:ascii="Times New Roman" w:hAnsi="Times New Roman" w:eastAsia="Times New Roman" w:cs="Times New Roman"/>
          <w:sz w:val="21"/>
          <w:szCs w:val="21"/>
          <w:rtl w:val="0"/>
        </w:rPr>
        <w:t>Result: Eight subnets are created, each with 30 usable host addresses. The IP .78 is a valid host in subnet 3, while .95 is that subnet's broadcast address.</w:t>
      </w:r>
    </w:p>
    <w:p w14:paraId="0000011C">
      <w:pPr>
        <w:spacing w:before="160" w:after="80"/>
      </w:pPr>
      <w:r>
        <w:rPr>
          <w:rFonts w:ascii="Times New Roman" w:hAnsi="Times New Roman" w:eastAsia="Times New Roman" w:cs="Times New Roman"/>
          <w:b/>
          <w:bCs/>
          <w:sz w:val="24"/>
          <w:szCs w:val="24"/>
          <w:rtl w:val="0"/>
        </w:rPr>
        <w:t>Question 5: IPv6 address compression, expansion, and /64 prefix</w:t>
      </w:r>
    </w:p>
    <w:p w14:paraId="0000011D">
      <w:pPr>
        <w:spacing w:after="80"/>
      </w:pPr>
      <w:r>
        <w:rPr>
          <w:rFonts w:ascii="Times New Roman" w:hAnsi="Times New Roman" w:eastAsia="Times New Roman" w:cs="Times New Roman"/>
          <w:sz w:val="21"/>
          <w:szCs w:val="21"/>
          <w:rtl w:val="0"/>
        </w:rPr>
        <w:t>Given IPv6 address: 2001:0db8:0000:0000:0000:ff00:0042:8329; prefix length = /64.</w:t>
      </w:r>
    </w:p>
    <w:p w14:paraId="0000011E">
      <w:pPr>
        <w:spacing w:after="80"/>
      </w:pPr>
      <w:r>
        <w:rPr>
          <w:rFonts w:ascii="Times New Roman" w:hAnsi="Times New Roman" w:eastAsia="Times New Roman" w:cs="Times New Roman"/>
          <w:sz w:val="21"/>
          <w:szCs w:val="21"/>
          <w:rtl w:val="0"/>
        </w:rPr>
        <w:t>Rules used: Remove leading zeros from each hextet, then replace one consecutive run of all-zero hextets with ::. A /64 prefix is the first four hextets (64 bits).</w:t>
      </w:r>
    </w:p>
    <w:p w14:paraId="0000011F">
      <w:pPr>
        <w:spacing w:after="80"/>
      </w:pPr>
      <w:r>
        <w:rPr>
          <w:rFonts w:ascii="Times New Roman" w:hAnsi="Times New Roman" w:eastAsia="Times New Roman" w:cs="Times New Roman"/>
          <w:sz w:val="21"/>
          <w:szCs w:val="21"/>
          <w:rtl w:val="0"/>
        </w:rPr>
        <w:t>Step 1 – Compress: Removing leading zeros gives 2001:db8:0:0:0:ff00:42:8329. Compress the three consecutive zero hextets.</w:t>
      </w:r>
    </w:p>
    <w:p w14:paraId="00000120">
      <w:pPr>
        <w:spacing w:after="80"/>
      </w:pPr>
      <w:r>
        <w:rPr>
          <w:rFonts w:ascii="Times New Roman" w:hAnsi="Times New Roman" w:eastAsia="Times New Roman" w:cs="Times New Roman"/>
          <w:sz w:val="21"/>
          <w:szCs w:val="21"/>
          <w:rtl w:val="0"/>
        </w:rPr>
        <w:t>Shortest form: 2001:db8::ff00:42:8329</w:t>
      </w:r>
    </w:p>
    <w:p w14:paraId="00000121">
      <w:pPr>
        <w:spacing w:after="80"/>
      </w:pPr>
      <w:r>
        <w:rPr>
          <w:rFonts w:ascii="Times New Roman" w:hAnsi="Times New Roman" w:eastAsia="Times New Roman" w:cs="Times New Roman"/>
          <w:sz w:val="21"/>
          <w:szCs w:val="21"/>
          <w:rtl w:val="0"/>
        </w:rPr>
        <w:t>Step 2 – Expand: Three zero hextets are inserted by :: to restore eight hextets.</w:t>
      </w:r>
    </w:p>
    <w:p w14:paraId="00000122">
      <w:pPr>
        <w:spacing w:after="80"/>
      </w:pPr>
      <w:r>
        <w:rPr>
          <w:rFonts w:ascii="Times New Roman" w:hAnsi="Times New Roman" w:eastAsia="Times New Roman" w:cs="Times New Roman"/>
          <w:sz w:val="21"/>
          <w:szCs w:val="21"/>
          <w:rtl w:val="0"/>
        </w:rPr>
        <w:t>Expanded form: 2001:0db8:0000:0000:0000:ff00:0042:8329</w:t>
      </w:r>
    </w:p>
    <w:p w14:paraId="00000123">
      <w:pPr>
        <w:spacing w:after="80"/>
      </w:pPr>
      <w:r>
        <w:rPr>
          <w:rFonts w:ascii="Times New Roman" w:hAnsi="Times New Roman" w:eastAsia="Times New Roman" w:cs="Times New Roman"/>
          <w:sz w:val="21"/>
          <w:szCs w:val="21"/>
          <w:rtl w:val="0"/>
        </w:rPr>
        <w:t>Step 3 – Network prefix: The first four hextets form the 64-bit prefix.</w:t>
      </w:r>
    </w:p>
    <w:p w14:paraId="00000124">
      <w:pPr>
        <w:spacing w:after="80"/>
      </w:pPr>
      <w:r>
        <w:rPr>
          <w:rFonts w:ascii="Times New Roman" w:hAnsi="Times New Roman" w:eastAsia="Times New Roman" w:cs="Times New Roman"/>
          <w:sz w:val="21"/>
          <w:szCs w:val="21"/>
          <w:rtl w:val="0"/>
        </w:rPr>
        <w:t>Network prefix: 2001:0db8:0000:0000::/64 (equivalently, 2001:db8:0:0::/64).</w:t>
      </w:r>
    </w:p>
    <w:p w14:paraId="00000125">
      <w:pPr>
        <w:spacing w:after="80"/>
      </w:pPr>
      <w:r>
        <w:rPr>
          <w:rFonts w:ascii="Times New Roman" w:hAnsi="Times New Roman" w:eastAsia="Times New Roman" w:cs="Times New Roman"/>
          <w:sz w:val="21"/>
          <w:szCs w:val="21"/>
          <w:rtl w:val="0"/>
        </w:rPr>
        <w:t>Step 4 – Possible interface identifiers: 128 − 64 = 64 bits remain for the interface identifier. Therefore, the number of possible 64-bit values is 2^64 = 18,446,744,073,709,551,616.</w:t>
      </w:r>
    </w:p>
    <w:p w14:paraId="00000126">
      <w:pPr>
        <w:spacing w:after="80"/>
      </w:pPr>
      <w:r>
        <w:rPr>
          <w:rFonts w:ascii="Times New Roman" w:hAnsi="Times New Roman" w:eastAsia="Times New Roman" w:cs="Times New Roman"/>
          <w:sz w:val="21"/>
          <w:szCs w:val="21"/>
          <w:rtl w:val="0"/>
        </w:rPr>
        <w:t>Unlike conventional IPv4 subnet calculations, IPv6 does not subtract network and broadcast addresses in the same way. Thus, 2^64 is the number of possible interface-identifier values in the /64.</w:t>
      </w:r>
    </w:p>
    <w:p w14:paraId="00000127">
      <w:pPr>
        <w:spacing w:after="80"/>
      </w:pPr>
      <w:r>
        <w:rPr>
          <w:rFonts w:ascii="Times New Roman" w:hAnsi="Times New Roman" w:eastAsia="Times New Roman" w:cs="Times New Roman"/>
          <w:sz w:val="21"/>
          <w:szCs w:val="21"/>
          <w:rtl w:val="0"/>
        </w:rPr>
        <w:t>Result: Compressed address = 2001:db8::ff00:42:8329; expanded address = 2001:0db8:0000:0000:0000:ff00:0042:8329; prefix = 2001:db8:0:0::/64; interface identifier space = 2^64.</w:t>
      </w:r>
    </w:p>
    <w:sectPr>
      <w:pgSz w:w="11909" w:h="16834"/>
      <w:pgMar w:top="1008" w:right="936" w:bottom="1008" w:left="936"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D4B7643-09FF-4B71-A119-211922987E87}"/>
  </w:font>
  <w:font w:name="Arial">
    <w:panose1 w:val="020B0604020202020204"/>
    <w:charset w:val="00"/>
    <w:family w:val="swiss"/>
    <w:pitch w:val="default"/>
    <w:sig w:usb0="E0002EFF" w:usb1="C000785B" w:usb2="00000009" w:usb3="00000000" w:csb0="400001FF" w:csb1="FFFF0000"/>
    <w:embedRegular r:id="rId2" w:fontKey="{188782E1-26AD-4134-8430-BB62C562385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0E7430A-4244-4F96-BA53-EA06FFCED1D6}"/>
  </w:font>
  <w:font w:name="Wingdings">
    <w:panose1 w:val="05000000000000000000"/>
    <w:charset w:val="02"/>
    <w:family w:val="auto"/>
    <w:pitch w:val="default"/>
    <w:sig w:usb0="00000000" w:usb1="00000000" w:usb2="00000000" w:usb3="00000000" w:csb0="80000000" w:csb1="00000000"/>
    <w:embedRegular r:id="rId4" w:fontKey="{C5476040-3882-4AF2-850C-3ED40BF4217E}"/>
  </w:font>
  <w:font w:name="Calibri">
    <w:panose1 w:val="020F0502020204030204"/>
    <w:charset w:val="00"/>
    <w:family w:val="swiss"/>
    <w:pitch w:val="default"/>
    <w:sig w:usb0="E4002EFF" w:usb1="C200247B" w:usb2="00000009" w:usb3="00000000" w:csb0="200001FF" w:csb1="00000000"/>
    <w:embedRegular r:id="rId5" w:fontKey="{B91D20F3-D428-480A-B419-8AB6E9C75F52}"/>
  </w:font>
  <w:font w:name="等线">
    <w:altName w:val="Microsoft YaHei"/>
    <w:panose1 w:val="00000000000000000000"/>
    <w:charset w:val="86"/>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embedRegular r:id="rId6" w:fontKey="{685898D8-B1B8-45C4-BDD9-41C8E59E06D9}"/>
  </w:font>
  <w:font w:name="Cambria">
    <w:panose1 w:val="02040503050406030204"/>
    <w:charset w:val="00"/>
    <w:family w:val="auto"/>
    <w:pitch w:val="default"/>
    <w:sig w:usb0="E00006FF" w:usb1="420024FF" w:usb2="02000000" w:usb3="00000000" w:csb0="2000019F" w:csb1="00000000"/>
    <w:embedRegular r:id="rId7" w:fontKey="{1D1F53D7-64AA-45D2-9CA4-A0F4E36849F5}"/>
  </w:font>
  <w:font w:name="Segoe Print">
    <w:panose1 w:val="02000600000000000000"/>
    <w:charset w:val="00"/>
    <w:family w:val="auto"/>
    <w:pitch w:val="default"/>
    <w:sig w:usb0="0000028F" w:usb1="00000000" w:usb2="00000000" w:usb3="00000000" w:csb0="2000009F" w:csb1="47010000"/>
    <w:embedRegular r:id="rId8" w:fontKey="{F176A1B3-7C1C-4699-9870-6712054CB9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embedTrueTypeFonts/>
  <w:documentProtection w:enforcement="0"/>
  <w:defaultTabStop w:val="720"/>
  <w:compat>
    <w:compatSetting w:name="compatibilityMode" w:uri="http://schemas.microsoft.com/office/word" w:val="15"/>
  </w:compat>
  <w:rsids>
    <w:rsidRoot w:val="00000000"/>
    <w:rsid w:val="27B173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IN"/>
    </w:rPr>
  </w:style>
  <w:style w:type="paragraph" w:styleId="2">
    <w:name w:val="heading 1"/>
    <w:basedOn w:val="1"/>
    <w:next w:val="1"/>
    <w:qFormat/>
    <w:uiPriority w:val="0"/>
    <w:pPr>
      <w:keepNext/>
      <w:keepLines/>
      <w:spacing w:before="400" w:after="120" w:line="276" w:lineRule="auto"/>
    </w:pPr>
    <w:rPr>
      <w:rFonts w:ascii="Arial" w:hAnsi="Arial" w:eastAsia="Arial" w:cs="Arial"/>
      <w:sz w:val="40"/>
      <w:szCs w:val="40"/>
    </w:rPr>
  </w:style>
  <w:style w:type="paragraph" w:styleId="3">
    <w:name w:val="heading 2"/>
    <w:basedOn w:val="1"/>
    <w:next w:val="1"/>
    <w:qFormat/>
    <w:uiPriority w:val="0"/>
    <w:pPr>
      <w:keepNext/>
      <w:keepLines/>
      <w:spacing w:before="360" w:after="120" w:line="276" w:lineRule="auto"/>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pPr>
    <w:rPr>
      <w:rFonts w:ascii="Arial" w:hAnsi="Arial" w:eastAsia="Arial" w:cs="Arial"/>
      <w:color w:val="666666"/>
      <w:sz w:val="22"/>
      <w:szCs w:val="22"/>
    </w:rPr>
  </w:style>
  <w:style w:type="paragraph" w:styleId="7">
    <w:name w:val="heading 6"/>
    <w:basedOn w:val="1"/>
    <w:next w:val="1"/>
    <w:qFormat/>
    <w:uiPriority w:val="0"/>
    <w:pPr>
      <w:keepNext/>
      <w:keepLines/>
      <w:spacing w:before="240" w:after="80" w:line="276" w:lineRule="auto"/>
    </w:pPr>
    <w:rPr>
      <w:rFonts w:ascii="Arial" w:hAnsi="Arial" w:eastAsia="Arial" w:cs="Arial"/>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tblPr>
      <w:tblCellMar>
        <w:top w:w="0" w:type="dxa"/>
        <w:left w:w="115" w:type="dxa"/>
        <w:bottom w:w="0" w:type="dxa"/>
        <w:right w:w="115" w:type="dxa"/>
      </w:tblCellMar>
    </w:tblPr>
  </w:style>
  <w:style w:type="table" w:customStyle="1" w:styleId="16">
    <w:name w:val="_Style 13"/>
    <w:basedOn w:val="12"/>
    <w:qFormat/>
    <w:uiPriority w:val="0"/>
    <w:tblPr>
      <w:tblCellMar>
        <w:top w:w="0" w:type="dxa"/>
        <w:left w:w="115" w:type="dxa"/>
        <w:bottom w:w="0" w:type="dxa"/>
        <w:right w:w="115" w:type="dxa"/>
      </w:tblCellMar>
    </w:tblPr>
  </w:style>
  <w:style w:type="table" w:customStyle="1" w:styleId="17">
    <w:name w:val="_Style 14"/>
    <w:basedOn w:val="12"/>
    <w:qFormat/>
    <w:uiPriority w:val="0"/>
    <w:tblPr>
      <w:tblCellMar>
        <w:top w:w="0" w:type="dxa"/>
        <w:left w:w="115" w:type="dxa"/>
        <w:bottom w:w="0" w:type="dxa"/>
        <w:right w:w="115" w:type="dxa"/>
      </w:tblCellMar>
    </w:tblPr>
  </w:style>
  <w:style w:type="table" w:customStyle="1" w:styleId="18">
    <w:name w:val="_Style 15"/>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2026-10-24T04:46:31Z</dcterms:created>
  <dc:creator>gopal</dc:creator>
  <cp:lastModifiedBy>gopal</cp:lastModifiedBy>
  <dcterms:modified xsi:type="dcterms:W3CDTF">2026-10-24T04:48:53Z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3FCB6D77F3494464A876DF90B5E31FB3_13</vt:lpwstr>
  </property>
</Properties>
</file>