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FA083" w14:textId="77777777" w:rsidR="000B1000" w:rsidRPr="000B1000" w:rsidRDefault="000B1000" w:rsidP="000B1000">
      <w:r w:rsidRPr="000B1000">
        <w:t xml:space="preserve">Below is a </w:t>
      </w:r>
      <w:r w:rsidRPr="000B1000">
        <w:rPr>
          <w:b/>
          <w:bCs/>
        </w:rPr>
        <w:t>reframed, concise, and professional version</w:t>
      </w:r>
      <w:r w:rsidRPr="000B1000">
        <w:t xml:space="preserve"> of the points from the image, </w:t>
      </w:r>
      <w:r w:rsidRPr="000B1000">
        <w:rPr>
          <w:b/>
          <w:bCs/>
        </w:rPr>
        <w:t>integrated cleanly into the compressed MoM style</w:t>
      </w:r>
      <w:r w:rsidRPr="000B1000">
        <w:t xml:space="preserve"> and suitable for client-facing documentation.</w:t>
      </w:r>
    </w:p>
    <w:p w14:paraId="01BDC821" w14:textId="77777777" w:rsidR="000B1000" w:rsidRPr="000B1000" w:rsidRDefault="000B1000" w:rsidP="000B1000">
      <w:r w:rsidRPr="000B1000">
        <w:pict w14:anchorId="0F9FE490">
          <v:rect id="_x0000_i1073" style="width:0;height:1.5pt" o:hralign="center" o:hrstd="t" o:hr="t" fillcolor="#a0a0a0" stroked="f"/>
        </w:pict>
      </w:r>
    </w:p>
    <w:p w14:paraId="68B33F86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Meeting Minutes</w:t>
      </w:r>
    </w:p>
    <w:p w14:paraId="3F98F7F6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Discussion Points</w:t>
      </w:r>
    </w:p>
    <w:p w14:paraId="6A6D61A5" w14:textId="77777777" w:rsidR="000B1000" w:rsidRPr="000B1000" w:rsidRDefault="000B1000" w:rsidP="000B1000">
      <w:r w:rsidRPr="000B1000">
        <w:pict w14:anchorId="04101D37">
          <v:rect id="_x0000_i1074" style="width:0;height:1.5pt" o:hralign="center" o:hrstd="t" o:hr="t" fillcolor="#a0a0a0" stroked="f"/>
        </w:pict>
      </w:r>
    </w:p>
    <w:p w14:paraId="0147E983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1. Platform Architecture &amp; Hosting</w:t>
      </w:r>
    </w:p>
    <w:p w14:paraId="3ED5EFA7" w14:textId="70AC277A" w:rsidR="000B1000" w:rsidRPr="000B1000" w:rsidRDefault="000B1000" w:rsidP="000B1000">
      <w:pPr>
        <w:numPr>
          <w:ilvl w:val="0"/>
          <w:numId w:val="1"/>
        </w:numPr>
      </w:pPr>
      <w:r>
        <w:t>Gopal</w:t>
      </w:r>
      <w:r w:rsidRPr="000B1000">
        <w:t xml:space="preserve"> presented a </w:t>
      </w:r>
      <w:r w:rsidRPr="000B1000">
        <w:rPr>
          <w:b/>
          <w:bCs/>
        </w:rPr>
        <w:t>bare-minimum, standalone infrastructure</w:t>
      </w:r>
      <w:r w:rsidRPr="000B1000">
        <w:t xml:space="preserve"> to initiate development.</w:t>
      </w:r>
    </w:p>
    <w:p w14:paraId="3057A1D4" w14:textId="77777777" w:rsidR="000B1000" w:rsidRPr="000B1000" w:rsidRDefault="000B1000" w:rsidP="000B1000">
      <w:pPr>
        <w:numPr>
          <w:ilvl w:val="0"/>
          <w:numId w:val="1"/>
        </w:numPr>
      </w:pPr>
      <w:r w:rsidRPr="000B1000">
        <w:t xml:space="preserve">Backend services will run on </w:t>
      </w:r>
      <w:r w:rsidRPr="000B1000">
        <w:rPr>
          <w:b/>
          <w:bCs/>
        </w:rPr>
        <w:t>managed Kubernetes</w:t>
      </w:r>
      <w:r w:rsidRPr="000B1000">
        <w:t>, with databases hosted as managed services.</w:t>
      </w:r>
    </w:p>
    <w:p w14:paraId="2CE7FDE3" w14:textId="77777777" w:rsidR="000B1000" w:rsidRPr="000B1000" w:rsidRDefault="000B1000" w:rsidP="000B1000">
      <w:pPr>
        <w:numPr>
          <w:ilvl w:val="0"/>
          <w:numId w:val="1"/>
        </w:numPr>
      </w:pPr>
      <w:r w:rsidRPr="000B1000">
        <w:rPr>
          <w:b/>
          <w:bCs/>
        </w:rPr>
        <w:t xml:space="preserve">Azure remains the preferred </w:t>
      </w:r>
      <w:proofErr w:type="gramStart"/>
      <w:r w:rsidRPr="000B1000">
        <w:rPr>
          <w:b/>
          <w:bCs/>
        </w:rPr>
        <w:t>cloud</w:t>
      </w:r>
      <w:r w:rsidRPr="000B1000">
        <w:t>,</w:t>
      </w:r>
      <w:proofErr w:type="gramEnd"/>
      <w:r w:rsidRPr="000B1000">
        <w:t xml:space="preserve"> however the solution is </w:t>
      </w:r>
      <w:r w:rsidRPr="000B1000">
        <w:rPr>
          <w:b/>
          <w:bCs/>
        </w:rPr>
        <w:t>cloud-agnostic</w:t>
      </w:r>
      <w:r w:rsidRPr="000B1000">
        <w:t xml:space="preserve"> and can be hosted on Moro’s cloud platform.</w:t>
      </w:r>
    </w:p>
    <w:p w14:paraId="5B03A5F6" w14:textId="77777777" w:rsidR="000B1000" w:rsidRPr="000B1000" w:rsidRDefault="000B1000" w:rsidP="000B1000">
      <w:r w:rsidRPr="000B1000">
        <w:pict w14:anchorId="793D8398">
          <v:rect id="_x0000_i1104" style="width:0;height:1.5pt" o:hralign="center" o:hrstd="t" o:hr="t" fillcolor="#a0a0a0" stroked="f"/>
        </w:pict>
      </w:r>
    </w:p>
    <w:p w14:paraId="3602A68F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2. Databases, Storage &amp; Core Services</w:t>
      </w:r>
    </w:p>
    <w:p w14:paraId="1EBC8DC6" w14:textId="77777777" w:rsidR="000B1000" w:rsidRPr="000B1000" w:rsidRDefault="000B1000" w:rsidP="000B1000">
      <w:pPr>
        <w:numPr>
          <w:ilvl w:val="0"/>
          <w:numId w:val="2"/>
        </w:numPr>
      </w:pPr>
      <w:r w:rsidRPr="000B1000">
        <w:t xml:space="preserve">Agreed core services include </w:t>
      </w:r>
      <w:r w:rsidRPr="000B1000">
        <w:rPr>
          <w:b/>
          <w:bCs/>
        </w:rPr>
        <w:t>MS SQL, MongoDB, Neo4j</w:t>
      </w:r>
      <w:r w:rsidRPr="000B1000">
        <w:t>, Redis (OSS), and Blob Storage.</w:t>
      </w:r>
    </w:p>
    <w:p w14:paraId="4297A5E5" w14:textId="77777777" w:rsidR="000B1000" w:rsidRPr="000B1000" w:rsidRDefault="000B1000" w:rsidP="000B1000">
      <w:pPr>
        <w:numPr>
          <w:ilvl w:val="0"/>
          <w:numId w:val="2"/>
        </w:numPr>
      </w:pPr>
      <w:r w:rsidRPr="000B1000">
        <w:t xml:space="preserve">Infrastructure sizing is based on </w:t>
      </w:r>
      <w:r w:rsidRPr="000B1000">
        <w:rPr>
          <w:b/>
          <w:bCs/>
        </w:rPr>
        <w:t>initial rollout needs</w:t>
      </w:r>
      <w:r w:rsidRPr="000B1000">
        <w:t xml:space="preserve"> and will be scaled progressively.</w:t>
      </w:r>
    </w:p>
    <w:p w14:paraId="4EC4082D" w14:textId="77777777" w:rsidR="000B1000" w:rsidRPr="000B1000" w:rsidRDefault="000B1000" w:rsidP="000B1000">
      <w:pPr>
        <w:numPr>
          <w:ilvl w:val="0"/>
          <w:numId w:val="2"/>
        </w:numPr>
      </w:pPr>
      <w:r w:rsidRPr="000B1000">
        <w:rPr>
          <w:b/>
          <w:bCs/>
        </w:rPr>
        <w:t>Azure Key Vault</w:t>
      </w:r>
      <w:r w:rsidRPr="000B1000">
        <w:t xml:space="preserve"> will be used </w:t>
      </w:r>
      <w:r w:rsidRPr="000B1000">
        <w:rPr>
          <w:b/>
          <w:bCs/>
        </w:rPr>
        <w:t>only for secret storage</w:t>
      </w:r>
      <w:r w:rsidRPr="000B1000">
        <w:t xml:space="preserve"> (API keys and credentials).</w:t>
      </w:r>
    </w:p>
    <w:p w14:paraId="517A72D9" w14:textId="77777777" w:rsidR="000B1000" w:rsidRPr="000B1000" w:rsidRDefault="000B1000" w:rsidP="000B1000">
      <w:r w:rsidRPr="000B1000">
        <w:pict w14:anchorId="47EE5C66">
          <v:rect id="_x0000_i1105" style="width:0;height:1.5pt" o:hralign="center" o:hrstd="t" o:hr="t" fillcolor="#a0a0a0" stroked="f"/>
        </w:pict>
      </w:r>
    </w:p>
    <w:p w14:paraId="6194DA21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3. AI / Large Language Models</w:t>
      </w:r>
    </w:p>
    <w:p w14:paraId="26810206" w14:textId="77777777" w:rsidR="000B1000" w:rsidRPr="000B1000" w:rsidRDefault="000B1000" w:rsidP="000B1000">
      <w:pPr>
        <w:numPr>
          <w:ilvl w:val="0"/>
          <w:numId w:val="3"/>
        </w:numPr>
      </w:pPr>
      <w:r w:rsidRPr="000B1000">
        <w:t xml:space="preserve">LLMs will be consumed via the </w:t>
      </w:r>
      <w:r w:rsidRPr="000B1000">
        <w:rPr>
          <w:b/>
          <w:bCs/>
        </w:rPr>
        <w:t>DDA environment</w:t>
      </w:r>
      <w:r w:rsidRPr="000B1000">
        <w:t>, allowing flexibility to use models preferred by DESC and supported by DDA.</w:t>
      </w:r>
    </w:p>
    <w:p w14:paraId="3E377872" w14:textId="77777777" w:rsidR="000B1000" w:rsidRPr="000B1000" w:rsidRDefault="000B1000" w:rsidP="000B1000">
      <w:pPr>
        <w:numPr>
          <w:ilvl w:val="0"/>
          <w:numId w:val="3"/>
        </w:numPr>
      </w:pPr>
      <w:r w:rsidRPr="000B1000">
        <w:t xml:space="preserve">EY confirmed openness to consume </w:t>
      </w:r>
      <w:r w:rsidRPr="000B1000">
        <w:rPr>
          <w:b/>
          <w:bCs/>
        </w:rPr>
        <w:t>API-based LLM services</w:t>
      </w:r>
      <w:r w:rsidRPr="000B1000">
        <w:t xml:space="preserve"> rather than hosting proprietary models.</w:t>
      </w:r>
    </w:p>
    <w:p w14:paraId="71148634" w14:textId="77777777" w:rsidR="000B1000" w:rsidRPr="000B1000" w:rsidRDefault="000B1000" w:rsidP="000B1000">
      <w:r w:rsidRPr="000B1000">
        <w:pict w14:anchorId="1E5B8A67">
          <v:rect id="_x0000_i1106" style="width:0;height:1.5pt" o:hralign="center" o:hrstd="t" o:hr="t" fillcolor="#a0a0a0" stroked="f"/>
        </w:pict>
      </w:r>
    </w:p>
    <w:p w14:paraId="3B6D5C19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4. Frontend, Access &amp; Security</w:t>
      </w:r>
    </w:p>
    <w:p w14:paraId="6D72F170" w14:textId="77777777" w:rsidR="000B1000" w:rsidRPr="000B1000" w:rsidRDefault="000B1000" w:rsidP="000B1000">
      <w:pPr>
        <w:numPr>
          <w:ilvl w:val="0"/>
          <w:numId w:val="4"/>
        </w:numPr>
      </w:pPr>
      <w:r w:rsidRPr="000B1000">
        <w:t>Frontend will include web and application servers with load balancing and WAF.</w:t>
      </w:r>
    </w:p>
    <w:p w14:paraId="6DA54507" w14:textId="77777777" w:rsidR="000B1000" w:rsidRPr="000B1000" w:rsidRDefault="000B1000" w:rsidP="000B1000">
      <w:pPr>
        <w:numPr>
          <w:ilvl w:val="0"/>
          <w:numId w:val="4"/>
        </w:numPr>
      </w:pPr>
      <w:r w:rsidRPr="000B1000">
        <w:rPr>
          <w:b/>
          <w:bCs/>
        </w:rPr>
        <w:t>Application bandwidth requirements</w:t>
      </w:r>
      <w:r w:rsidRPr="000B1000">
        <w:t xml:space="preserve"> will be assessed and shared with MORO.</w:t>
      </w:r>
    </w:p>
    <w:p w14:paraId="78561ABF" w14:textId="77777777" w:rsidR="000B1000" w:rsidRPr="000B1000" w:rsidRDefault="000B1000" w:rsidP="000B1000">
      <w:pPr>
        <w:numPr>
          <w:ilvl w:val="0"/>
          <w:numId w:val="4"/>
        </w:numPr>
      </w:pPr>
      <w:r w:rsidRPr="000B1000">
        <w:t xml:space="preserve">MORO will propose </w:t>
      </w:r>
      <w:r w:rsidRPr="000B1000">
        <w:rPr>
          <w:b/>
          <w:bCs/>
        </w:rPr>
        <w:t>secure access options</w:t>
      </w:r>
      <w:r w:rsidRPr="000B1000">
        <w:t>, including:</w:t>
      </w:r>
    </w:p>
    <w:p w14:paraId="1A4CFF4F" w14:textId="77777777" w:rsidR="000B1000" w:rsidRPr="000B1000" w:rsidRDefault="000B1000" w:rsidP="000B1000">
      <w:pPr>
        <w:numPr>
          <w:ilvl w:val="1"/>
          <w:numId w:val="4"/>
        </w:numPr>
      </w:pPr>
      <w:r w:rsidRPr="000B1000">
        <w:t>VPN</w:t>
      </w:r>
    </w:p>
    <w:p w14:paraId="16EB3F29" w14:textId="77777777" w:rsidR="000B1000" w:rsidRPr="000B1000" w:rsidRDefault="000B1000" w:rsidP="000B1000">
      <w:pPr>
        <w:numPr>
          <w:ilvl w:val="1"/>
          <w:numId w:val="4"/>
        </w:numPr>
      </w:pPr>
      <w:r w:rsidRPr="000B1000">
        <w:t>Bastion hosts</w:t>
      </w:r>
    </w:p>
    <w:p w14:paraId="59E2C9FB" w14:textId="77777777" w:rsidR="000B1000" w:rsidRPr="000B1000" w:rsidRDefault="000B1000" w:rsidP="000B1000">
      <w:pPr>
        <w:numPr>
          <w:ilvl w:val="0"/>
          <w:numId w:val="4"/>
        </w:numPr>
      </w:pPr>
      <w:r w:rsidRPr="000B1000">
        <w:t xml:space="preserve">An </w:t>
      </w:r>
      <w:r w:rsidRPr="000B1000">
        <w:rPr>
          <w:b/>
          <w:bCs/>
        </w:rPr>
        <w:t>access matrix and access policy</w:t>
      </w:r>
      <w:r w:rsidRPr="000B1000">
        <w:t xml:space="preserve"> will be defined to clarify who can access what.</w:t>
      </w:r>
    </w:p>
    <w:p w14:paraId="6C6B83F6" w14:textId="77777777" w:rsidR="000B1000" w:rsidRPr="000B1000" w:rsidRDefault="000B1000" w:rsidP="000B1000">
      <w:r w:rsidRPr="000B1000">
        <w:pict w14:anchorId="38D940A0">
          <v:rect id="_x0000_i1107" style="width:0;height:1.5pt" o:hralign="center" o:hrstd="t" o:hr="t" fillcolor="#a0a0a0" stroked="f"/>
        </w:pict>
      </w:r>
    </w:p>
    <w:p w14:paraId="73B27624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5. Licensing, DR &amp; Sizing Clarifications</w:t>
      </w:r>
    </w:p>
    <w:p w14:paraId="206B33FF" w14:textId="77777777" w:rsidR="000B1000" w:rsidRPr="000B1000" w:rsidRDefault="000B1000" w:rsidP="000B1000">
      <w:pPr>
        <w:numPr>
          <w:ilvl w:val="0"/>
          <w:numId w:val="5"/>
        </w:numPr>
      </w:pPr>
      <w:r w:rsidRPr="000B1000">
        <w:rPr>
          <w:b/>
          <w:bCs/>
        </w:rPr>
        <w:lastRenderedPageBreak/>
        <w:t>MS SQL licensing options</w:t>
      </w:r>
      <w:r w:rsidRPr="000B1000">
        <w:t xml:space="preserve"> (Standard vs Enterprise, multi-node, DR) to be evaluated.</w:t>
      </w:r>
    </w:p>
    <w:p w14:paraId="4BB68D49" w14:textId="77777777" w:rsidR="000B1000" w:rsidRPr="000B1000" w:rsidRDefault="000B1000" w:rsidP="000B1000">
      <w:pPr>
        <w:numPr>
          <w:ilvl w:val="0"/>
          <w:numId w:val="5"/>
        </w:numPr>
      </w:pPr>
      <w:r w:rsidRPr="000B1000">
        <w:rPr>
          <w:b/>
          <w:bCs/>
        </w:rPr>
        <w:t>Disaster Recovery (DR)</w:t>
      </w:r>
      <w:r w:rsidRPr="000B1000">
        <w:t xml:space="preserve"> requirements to be confirmed in a subsequent phase.</w:t>
      </w:r>
    </w:p>
    <w:p w14:paraId="35570695" w14:textId="77777777" w:rsidR="000B1000" w:rsidRPr="000B1000" w:rsidRDefault="000B1000" w:rsidP="000B1000">
      <w:pPr>
        <w:numPr>
          <w:ilvl w:val="0"/>
          <w:numId w:val="5"/>
        </w:numPr>
      </w:pPr>
      <w:r w:rsidRPr="000B1000">
        <w:t xml:space="preserve">EY will provide visibility on </w:t>
      </w:r>
      <w:r w:rsidRPr="000B1000">
        <w:rPr>
          <w:b/>
          <w:bCs/>
        </w:rPr>
        <w:t>overall hardware sizing</w:t>
      </w:r>
      <w:r w:rsidRPr="000B1000">
        <w:t xml:space="preserve"> to address total infrastructure footprint queries.</w:t>
      </w:r>
    </w:p>
    <w:p w14:paraId="66A44C88" w14:textId="77777777" w:rsidR="000B1000" w:rsidRPr="000B1000" w:rsidRDefault="000B1000" w:rsidP="000B1000">
      <w:r w:rsidRPr="000B1000">
        <w:pict w14:anchorId="0190FE3D">
          <v:rect id="_x0000_i1108" style="width:0;height:1.5pt" o:hralign="center" o:hrstd="t" o:hr="t" fillcolor="#a0a0a0" stroked="f"/>
        </w:pict>
      </w:r>
    </w:p>
    <w:p w14:paraId="4818E568" w14:textId="77777777" w:rsidR="000B1000" w:rsidRPr="000B1000" w:rsidRDefault="000B1000" w:rsidP="000B1000">
      <w:pPr>
        <w:rPr>
          <w:b/>
          <w:bCs/>
        </w:rPr>
      </w:pPr>
      <w:r w:rsidRPr="000B1000">
        <w:rPr>
          <w:b/>
          <w:bCs/>
        </w:rPr>
        <w:t>Action Items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4718"/>
        <w:gridCol w:w="1100"/>
        <w:gridCol w:w="991"/>
      </w:tblGrid>
      <w:tr w:rsidR="000B1000" w:rsidRPr="000B1000" w14:paraId="764BB7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5A51D" w14:textId="77777777" w:rsidR="000B1000" w:rsidRPr="000B1000" w:rsidRDefault="000B1000" w:rsidP="000B1000">
            <w:pPr>
              <w:rPr>
                <w:b/>
                <w:bCs/>
              </w:rPr>
            </w:pPr>
            <w:r w:rsidRPr="000B1000">
              <w:rPr>
                <w:b/>
                <w:bCs/>
              </w:rPr>
              <w:t>Sr. No</w:t>
            </w:r>
          </w:p>
        </w:tc>
        <w:tc>
          <w:tcPr>
            <w:tcW w:w="0" w:type="auto"/>
            <w:vAlign w:val="center"/>
            <w:hideMark/>
          </w:tcPr>
          <w:p w14:paraId="053C3DAE" w14:textId="77777777" w:rsidR="000B1000" w:rsidRPr="000B1000" w:rsidRDefault="000B1000" w:rsidP="000B1000">
            <w:pPr>
              <w:rPr>
                <w:b/>
                <w:bCs/>
              </w:rPr>
            </w:pPr>
            <w:r w:rsidRPr="000B1000">
              <w:rPr>
                <w:b/>
                <w:bCs/>
              </w:rPr>
              <w:t>Action Items</w:t>
            </w:r>
          </w:p>
        </w:tc>
        <w:tc>
          <w:tcPr>
            <w:tcW w:w="0" w:type="auto"/>
            <w:vAlign w:val="center"/>
            <w:hideMark/>
          </w:tcPr>
          <w:p w14:paraId="7316DE4D" w14:textId="77777777" w:rsidR="000B1000" w:rsidRPr="000B1000" w:rsidRDefault="000B1000" w:rsidP="000B1000">
            <w:pPr>
              <w:rPr>
                <w:b/>
                <w:bCs/>
              </w:rPr>
            </w:pPr>
            <w:r w:rsidRPr="000B1000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4F5B229D" w14:textId="77777777" w:rsidR="000B1000" w:rsidRPr="000B1000" w:rsidRDefault="000B1000" w:rsidP="000B1000">
            <w:pPr>
              <w:rPr>
                <w:b/>
                <w:bCs/>
              </w:rPr>
            </w:pPr>
            <w:r w:rsidRPr="000B1000">
              <w:rPr>
                <w:b/>
                <w:bCs/>
              </w:rPr>
              <w:t>Due Date</w:t>
            </w:r>
          </w:p>
        </w:tc>
      </w:tr>
      <w:tr w:rsidR="000B1000" w:rsidRPr="000B1000" w14:paraId="77FF5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E7ABD" w14:textId="77777777" w:rsidR="000B1000" w:rsidRPr="000B1000" w:rsidRDefault="000B1000" w:rsidP="000B1000">
            <w:r w:rsidRPr="000B1000">
              <w:t>1</w:t>
            </w:r>
          </w:p>
        </w:tc>
        <w:tc>
          <w:tcPr>
            <w:tcW w:w="0" w:type="auto"/>
            <w:vAlign w:val="center"/>
            <w:hideMark/>
          </w:tcPr>
          <w:p w14:paraId="794773B5" w14:textId="77777777" w:rsidR="000B1000" w:rsidRPr="000B1000" w:rsidRDefault="000B1000" w:rsidP="000B1000">
            <w:r w:rsidRPr="000B1000">
              <w:t>Share architecture diagrams</w:t>
            </w:r>
          </w:p>
        </w:tc>
        <w:tc>
          <w:tcPr>
            <w:tcW w:w="0" w:type="auto"/>
            <w:vAlign w:val="center"/>
            <w:hideMark/>
          </w:tcPr>
          <w:p w14:paraId="452ED8CB" w14:textId="02AE811A" w:rsidR="000B1000" w:rsidRPr="000B1000" w:rsidRDefault="000B1000" w:rsidP="000B1000">
            <w:r>
              <w:t>GC</w:t>
            </w:r>
          </w:p>
        </w:tc>
        <w:tc>
          <w:tcPr>
            <w:tcW w:w="0" w:type="auto"/>
            <w:vAlign w:val="center"/>
            <w:hideMark/>
          </w:tcPr>
          <w:p w14:paraId="313FCF45" w14:textId="77777777" w:rsidR="000B1000" w:rsidRPr="000B1000" w:rsidRDefault="000B1000" w:rsidP="000B1000">
            <w:r w:rsidRPr="000B1000">
              <w:t>EOD</w:t>
            </w:r>
          </w:p>
        </w:tc>
      </w:tr>
      <w:tr w:rsidR="000B1000" w:rsidRPr="000B1000" w14:paraId="4671E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BC3D9" w14:textId="77777777" w:rsidR="000B1000" w:rsidRPr="000B1000" w:rsidRDefault="000B1000" w:rsidP="000B1000">
            <w:r w:rsidRPr="000B1000">
              <w:t>2</w:t>
            </w:r>
          </w:p>
        </w:tc>
        <w:tc>
          <w:tcPr>
            <w:tcW w:w="0" w:type="auto"/>
            <w:vAlign w:val="center"/>
            <w:hideMark/>
          </w:tcPr>
          <w:p w14:paraId="6D850F75" w14:textId="77777777" w:rsidR="000B1000" w:rsidRPr="000B1000" w:rsidRDefault="000B1000" w:rsidP="000B1000">
            <w:r w:rsidRPr="000B1000">
              <w:t>Share MORO hosting &amp; access options</w:t>
            </w:r>
          </w:p>
        </w:tc>
        <w:tc>
          <w:tcPr>
            <w:tcW w:w="0" w:type="auto"/>
            <w:vAlign w:val="center"/>
            <w:hideMark/>
          </w:tcPr>
          <w:p w14:paraId="24AEDB1D" w14:textId="77777777" w:rsidR="000B1000" w:rsidRPr="000B1000" w:rsidRDefault="000B1000" w:rsidP="000B1000">
            <w:r w:rsidRPr="000B1000">
              <w:t>MORO</w:t>
            </w:r>
          </w:p>
        </w:tc>
        <w:tc>
          <w:tcPr>
            <w:tcW w:w="0" w:type="auto"/>
            <w:vAlign w:val="center"/>
            <w:hideMark/>
          </w:tcPr>
          <w:p w14:paraId="6318B8AE" w14:textId="77777777" w:rsidR="000B1000" w:rsidRPr="000B1000" w:rsidRDefault="000B1000" w:rsidP="000B1000">
            <w:r w:rsidRPr="000B1000">
              <w:t>EOD</w:t>
            </w:r>
          </w:p>
        </w:tc>
      </w:tr>
      <w:tr w:rsidR="000B1000" w:rsidRPr="000B1000" w14:paraId="27D4E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45EF" w14:textId="77777777" w:rsidR="000B1000" w:rsidRPr="000B1000" w:rsidRDefault="000B1000" w:rsidP="000B1000">
            <w:r w:rsidRPr="000B1000">
              <w:t>3</w:t>
            </w:r>
          </w:p>
        </w:tc>
        <w:tc>
          <w:tcPr>
            <w:tcW w:w="0" w:type="auto"/>
            <w:vAlign w:val="center"/>
            <w:hideMark/>
          </w:tcPr>
          <w:p w14:paraId="0047AAF5" w14:textId="77777777" w:rsidR="000B1000" w:rsidRPr="000B1000" w:rsidRDefault="000B1000" w:rsidP="000B1000">
            <w:r w:rsidRPr="000B1000">
              <w:t>Confirm DDA-supported LLM models and API details</w:t>
            </w:r>
          </w:p>
        </w:tc>
        <w:tc>
          <w:tcPr>
            <w:tcW w:w="0" w:type="auto"/>
            <w:vAlign w:val="center"/>
            <w:hideMark/>
          </w:tcPr>
          <w:p w14:paraId="58763745" w14:textId="77777777" w:rsidR="000B1000" w:rsidRPr="000B1000" w:rsidRDefault="000B1000" w:rsidP="000B1000">
            <w:r w:rsidRPr="000B1000">
              <w:t>MORO</w:t>
            </w:r>
          </w:p>
        </w:tc>
        <w:tc>
          <w:tcPr>
            <w:tcW w:w="0" w:type="auto"/>
            <w:vAlign w:val="center"/>
            <w:hideMark/>
          </w:tcPr>
          <w:p w14:paraId="4A3329BC" w14:textId="77777777" w:rsidR="000B1000" w:rsidRPr="000B1000" w:rsidRDefault="000B1000" w:rsidP="000B1000">
            <w:r w:rsidRPr="000B1000">
              <w:t>TBC</w:t>
            </w:r>
          </w:p>
        </w:tc>
      </w:tr>
      <w:tr w:rsidR="000B1000" w:rsidRPr="000B1000" w14:paraId="095F3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365F" w14:textId="77777777" w:rsidR="000B1000" w:rsidRPr="000B1000" w:rsidRDefault="000B1000" w:rsidP="000B1000">
            <w:r w:rsidRPr="000B1000">
              <w:t>4</w:t>
            </w:r>
          </w:p>
        </w:tc>
        <w:tc>
          <w:tcPr>
            <w:tcW w:w="0" w:type="auto"/>
            <w:vAlign w:val="center"/>
            <w:hideMark/>
          </w:tcPr>
          <w:p w14:paraId="28DCAC43" w14:textId="77777777" w:rsidR="000B1000" w:rsidRPr="000B1000" w:rsidRDefault="000B1000" w:rsidP="000B1000">
            <w:r w:rsidRPr="000B1000">
              <w:t>Share application bandwidth requirements</w:t>
            </w:r>
          </w:p>
        </w:tc>
        <w:tc>
          <w:tcPr>
            <w:tcW w:w="0" w:type="auto"/>
            <w:vAlign w:val="center"/>
            <w:hideMark/>
          </w:tcPr>
          <w:p w14:paraId="34C94056" w14:textId="1536F3FE" w:rsidR="000B1000" w:rsidRPr="000B1000" w:rsidRDefault="000B1000" w:rsidP="000B1000">
            <w:r>
              <w:t>GC</w:t>
            </w:r>
          </w:p>
        </w:tc>
        <w:tc>
          <w:tcPr>
            <w:tcW w:w="0" w:type="auto"/>
            <w:vAlign w:val="center"/>
            <w:hideMark/>
          </w:tcPr>
          <w:p w14:paraId="27B5ED59" w14:textId="77777777" w:rsidR="000B1000" w:rsidRPr="000B1000" w:rsidRDefault="000B1000" w:rsidP="000B1000">
            <w:r w:rsidRPr="000B1000">
              <w:t>Next cycle</w:t>
            </w:r>
          </w:p>
        </w:tc>
      </w:tr>
      <w:tr w:rsidR="000B1000" w:rsidRPr="000B1000" w14:paraId="2B1D2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8E653" w14:textId="77777777" w:rsidR="000B1000" w:rsidRPr="000B1000" w:rsidRDefault="000B1000" w:rsidP="000B1000">
            <w:r w:rsidRPr="000B1000">
              <w:t>5</w:t>
            </w:r>
          </w:p>
        </w:tc>
        <w:tc>
          <w:tcPr>
            <w:tcW w:w="0" w:type="auto"/>
            <w:vAlign w:val="center"/>
            <w:hideMark/>
          </w:tcPr>
          <w:p w14:paraId="2A28CA6E" w14:textId="77777777" w:rsidR="000B1000" w:rsidRPr="000B1000" w:rsidRDefault="000B1000" w:rsidP="000B1000">
            <w:r w:rsidRPr="000B1000">
              <w:t>Define access matrix and access policy</w:t>
            </w:r>
          </w:p>
        </w:tc>
        <w:tc>
          <w:tcPr>
            <w:tcW w:w="0" w:type="auto"/>
            <w:vAlign w:val="center"/>
            <w:hideMark/>
          </w:tcPr>
          <w:p w14:paraId="79EAB45A" w14:textId="1472D878" w:rsidR="000B1000" w:rsidRPr="000B1000" w:rsidRDefault="000B1000" w:rsidP="000B1000">
            <w:r w:rsidRPr="000B1000">
              <w:t xml:space="preserve">MORO / </w:t>
            </w:r>
            <w:r>
              <w:t>GC</w:t>
            </w:r>
          </w:p>
        </w:tc>
        <w:tc>
          <w:tcPr>
            <w:tcW w:w="0" w:type="auto"/>
            <w:vAlign w:val="center"/>
            <w:hideMark/>
          </w:tcPr>
          <w:p w14:paraId="3C15CB18" w14:textId="77777777" w:rsidR="000B1000" w:rsidRPr="000B1000" w:rsidRDefault="000B1000" w:rsidP="000B1000">
            <w:r w:rsidRPr="000B1000">
              <w:t>TBC</w:t>
            </w:r>
          </w:p>
        </w:tc>
      </w:tr>
      <w:tr w:rsidR="000B1000" w:rsidRPr="000B1000" w14:paraId="07988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B9148" w14:textId="77777777" w:rsidR="000B1000" w:rsidRPr="000B1000" w:rsidRDefault="000B1000" w:rsidP="000B1000">
            <w:r w:rsidRPr="000B1000">
              <w:t>6</w:t>
            </w:r>
          </w:p>
        </w:tc>
        <w:tc>
          <w:tcPr>
            <w:tcW w:w="0" w:type="auto"/>
            <w:vAlign w:val="center"/>
            <w:hideMark/>
          </w:tcPr>
          <w:p w14:paraId="00212517" w14:textId="77777777" w:rsidR="000B1000" w:rsidRPr="000B1000" w:rsidRDefault="000B1000" w:rsidP="000B1000">
            <w:r w:rsidRPr="000B1000">
              <w:t>Confirm MS SQL licensing and DR approach</w:t>
            </w:r>
          </w:p>
        </w:tc>
        <w:tc>
          <w:tcPr>
            <w:tcW w:w="0" w:type="auto"/>
            <w:vAlign w:val="center"/>
            <w:hideMark/>
          </w:tcPr>
          <w:p w14:paraId="1298A419" w14:textId="5BCEDAA0" w:rsidR="000B1000" w:rsidRPr="000B1000" w:rsidRDefault="000B1000" w:rsidP="000B1000">
            <w:r>
              <w:t>GC</w:t>
            </w:r>
            <w:r w:rsidRPr="000B1000">
              <w:t xml:space="preserve"> / </w:t>
            </w:r>
            <w:r>
              <w:t>ABC</w:t>
            </w:r>
          </w:p>
        </w:tc>
        <w:tc>
          <w:tcPr>
            <w:tcW w:w="0" w:type="auto"/>
            <w:vAlign w:val="center"/>
            <w:hideMark/>
          </w:tcPr>
          <w:p w14:paraId="04DC042A" w14:textId="77777777" w:rsidR="000B1000" w:rsidRPr="000B1000" w:rsidRDefault="000B1000" w:rsidP="000B1000">
            <w:r w:rsidRPr="000B1000">
              <w:t>TBC</w:t>
            </w:r>
          </w:p>
        </w:tc>
      </w:tr>
      <w:tr w:rsidR="000B1000" w:rsidRPr="000B1000" w14:paraId="60A7F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838DB" w14:textId="77777777" w:rsidR="000B1000" w:rsidRPr="000B1000" w:rsidRDefault="000B1000" w:rsidP="000B1000">
            <w:r w:rsidRPr="000B1000">
              <w:t>7</w:t>
            </w:r>
          </w:p>
        </w:tc>
        <w:tc>
          <w:tcPr>
            <w:tcW w:w="0" w:type="auto"/>
            <w:vAlign w:val="center"/>
            <w:hideMark/>
          </w:tcPr>
          <w:p w14:paraId="1F29DE71" w14:textId="77777777" w:rsidR="000B1000" w:rsidRPr="000B1000" w:rsidRDefault="000B1000" w:rsidP="000B1000">
            <w:r w:rsidRPr="000B1000">
              <w:t>Share consolidated hardware sizing overview</w:t>
            </w:r>
          </w:p>
        </w:tc>
        <w:tc>
          <w:tcPr>
            <w:tcW w:w="0" w:type="auto"/>
            <w:vAlign w:val="center"/>
            <w:hideMark/>
          </w:tcPr>
          <w:p w14:paraId="24475985" w14:textId="2CFB770B" w:rsidR="000B1000" w:rsidRPr="000B1000" w:rsidRDefault="000B1000" w:rsidP="000B1000">
            <w:r>
              <w:t>GC</w:t>
            </w:r>
          </w:p>
        </w:tc>
        <w:tc>
          <w:tcPr>
            <w:tcW w:w="0" w:type="auto"/>
            <w:vAlign w:val="center"/>
            <w:hideMark/>
          </w:tcPr>
          <w:p w14:paraId="60420ADF" w14:textId="77777777" w:rsidR="000B1000" w:rsidRPr="000B1000" w:rsidRDefault="000B1000" w:rsidP="000B1000">
            <w:r w:rsidRPr="000B1000">
              <w:t>TBC</w:t>
            </w:r>
          </w:p>
        </w:tc>
      </w:tr>
    </w:tbl>
    <w:p w14:paraId="26FF0BF6" w14:textId="77777777" w:rsidR="000B1000" w:rsidRPr="000B1000" w:rsidRDefault="000B1000" w:rsidP="000B1000">
      <w:r w:rsidRPr="000B1000">
        <w:pict w14:anchorId="327621E8">
          <v:rect id="_x0000_i1080" style="width:0;height:1.5pt" o:hralign="center" o:hrstd="t" o:hr="t" fillcolor="#a0a0a0" stroked="f"/>
        </w:pict>
      </w:r>
    </w:p>
    <w:p w14:paraId="217A9BE9" w14:textId="77777777" w:rsidR="000B1000" w:rsidRPr="000B1000" w:rsidRDefault="000B1000" w:rsidP="000B1000">
      <w:r w:rsidRPr="000B1000">
        <w:t xml:space="preserve">If you want, I can </w:t>
      </w:r>
      <w:r w:rsidRPr="000B1000">
        <w:rPr>
          <w:b/>
          <w:bCs/>
        </w:rPr>
        <w:t>compress this further into a half-page executive MoM</w:t>
      </w:r>
      <w:r w:rsidRPr="000B1000">
        <w:t xml:space="preserve"> or </w:t>
      </w:r>
      <w:r w:rsidRPr="000B1000">
        <w:rPr>
          <w:b/>
          <w:bCs/>
        </w:rPr>
        <w:t>map this exactly into your Word template headings and numbering</w:t>
      </w:r>
      <w:r w:rsidRPr="000B1000">
        <w:t>.</w:t>
      </w:r>
    </w:p>
    <w:p w14:paraId="2052189F" w14:textId="77777777" w:rsidR="00810CCB" w:rsidRPr="000B1000" w:rsidRDefault="00810CCB" w:rsidP="000B1000"/>
    <w:sectPr w:rsidR="00810CCB" w:rsidRPr="000B10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1294"/>
    <w:multiLevelType w:val="multilevel"/>
    <w:tmpl w:val="D572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36148"/>
    <w:multiLevelType w:val="multilevel"/>
    <w:tmpl w:val="C26E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BF40E3"/>
    <w:multiLevelType w:val="multilevel"/>
    <w:tmpl w:val="1332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415F7"/>
    <w:multiLevelType w:val="multilevel"/>
    <w:tmpl w:val="D33A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E4251"/>
    <w:multiLevelType w:val="multilevel"/>
    <w:tmpl w:val="B50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191545">
    <w:abstractNumId w:val="0"/>
  </w:num>
  <w:num w:numId="2" w16cid:durableId="382631820">
    <w:abstractNumId w:val="1"/>
  </w:num>
  <w:num w:numId="3" w16cid:durableId="861478167">
    <w:abstractNumId w:val="4"/>
  </w:num>
  <w:num w:numId="4" w16cid:durableId="1680572375">
    <w:abstractNumId w:val="3"/>
  </w:num>
  <w:num w:numId="5" w16cid:durableId="1997146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000"/>
    <w:rsid w:val="000B1000"/>
    <w:rsid w:val="00810CCB"/>
    <w:rsid w:val="00BF7203"/>
    <w:rsid w:val="00E82576"/>
    <w:rsid w:val="00F87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9883"/>
  <w15:chartTrackingRefBased/>
  <w15:docId w15:val="{69F55743-E548-42BB-A65C-F8738F37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00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00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00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0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0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0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343</Words>
  <Characters>1959</Characters>
  <Application>Microsoft Office Word</Application>
  <DocSecurity>0</DocSecurity>
  <Lines>16</Lines>
  <Paragraphs>4</Paragraphs>
  <ScaleCrop>false</ScaleCrop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a6032</dc:creator>
  <cp:keywords/>
  <dc:description/>
  <cp:lastModifiedBy>a6032</cp:lastModifiedBy>
  <cp:revision>1</cp:revision>
  <dcterms:created xsi:type="dcterms:W3CDTF">2026-01-21T08:45:00Z</dcterms:created>
  <dcterms:modified xsi:type="dcterms:W3CDTF">2026-01-21T08:47:00Z</dcterms:modified>
</cp:coreProperties>
</file>