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pPr>
      <w:r>
        <w:rPr>
          <w:b/>
          <w:bCs/>
          <w:sz w:val="72"/>
          <w:szCs w:val="72"/>
        </w:rPr>
        <w:t xml:space="preserve">Threat Scenario Generator</w:t>
      </w:r>
    </w:p>
    <w:p>
      <w:pPr>
        <w:shd w:fill="FFE600" w:val="clear"/>
        <w:spacing w:after="300"/>
      </w:pPr>
      <w:r>
        <w:rPr>
          <w:sz w:val="8"/>
          <w:szCs w:val="8"/>
        </w:rPr>
        <w:t xml:space="preserve"> </w:t>
      </w:r>
    </w:p>
    <w:p>
      <w:pPr>
        <w:spacing w:after="2400"/>
      </w:pPr>
      <w:r>
        <w:rPr>
          <w:color w:val="595959"/>
          <w:sz w:val="40"/>
          <w:szCs w:val="40"/>
        </w:rPr>
        <w:t xml:space="preserve">Solution Design Document</w:t>
      </w:r>
    </w:p>
    <w:p>
      <w:r>
        <w:rPr>
          <w:color w:val="808080"/>
          <w:sz w:val="22"/>
          <w:szCs w:val="22"/>
        </w:rPr>
        <w:t xml:space="preserve">Version 1.1 — 26 August 2026</w:t>
      </w:r>
    </w:p>
    <w:p>
      <w:r>
        <w:br w:type="page"/>
      </w:r>
    </w:p>
    <w:p>
      <w:pPr>
        <w:spacing w:after="120"/>
      </w:pPr>
      <w:r>
        <w:rPr>
          <w:b/>
          <w:bCs/>
          <w:sz w:val="28"/>
          <w:szCs w:val="28"/>
        </w:rPr>
        <w:t xml:space="preserve">Document version history</w:t>
      </w:r>
    </w:p>
    <w:p>
      <w:pPr>
        <w:spacing w:after="140"/>
      </w:pPr>
      <w:r>
        <w:t xml:space="preserve">Revision history by author is indicated below: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1700"/>
        <w:gridCol w:w="2000"/>
        <w:gridCol w:w="4226"/>
      </w:tblGrid>
      <w:tr>
        <w:trPr>
          <w:tblHeader/>
        </w:trPr>
        <w:tc>
          <w:tcPr>
            <w:tcW w:type="dxa" w:w="1100"/>
            <w:shd w:fill="FFE600" w:val="clear"/>
            <w:tcMar>
              <w:top w:type="dxa" w:w="60"/>
              <w:left w:type="dxa" w:w="100"/>
              <w:bottom w:type="dxa" w:w="60"/>
              <w:right w:type="dxa" w:w="100"/>
            </w:tcMar>
          </w:tcPr>
          <w:p>
            <w:pPr>
              <w:spacing w:after="0"/>
            </w:pPr>
            <w:r>
              <w:rPr>
                <w:b/>
                <w:bCs/>
                <w:sz w:val="20"/>
                <w:szCs w:val="20"/>
              </w:rPr>
              <w:t xml:space="preserve">Version</w:t>
            </w:r>
          </w:p>
        </w:tc>
        <w:tc>
          <w:tcPr>
            <w:tcW w:type="dxa" w:w="1700"/>
            <w:shd w:fill="FFE600" w:val="clear"/>
            <w:tcMar>
              <w:top w:type="dxa" w:w="60"/>
              <w:left w:type="dxa" w:w="100"/>
              <w:bottom w:type="dxa" w:w="60"/>
              <w:right w:type="dxa" w:w="100"/>
            </w:tcMar>
          </w:tcPr>
          <w:p>
            <w:pPr>
              <w:spacing w:after="0"/>
            </w:pPr>
            <w:r>
              <w:rPr>
                <w:b/>
                <w:bCs/>
                <w:sz w:val="20"/>
                <w:szCs w:val="20"/>
              </w:rPr>
              <w:t xml:space="preserve">Date</w:t>
            </w:r>
          </w:p>
        </w:tc>
        <w:tc>
          <w:tcPr>
            <w:tcW w:type="dxa" w:w="2000"/>
            <w:shd w:fill="FFE600" w:val="clear"/>
            <w:tcMar>
              <w:top w:type="dxa" w:w="60"/>
              <w:left w:type="dxa" w:w="100"/>
              <w:bottom w:type="dxa" w:w="60"/>
              <w:right w:type="dxa" w:w="100"/>
            </w:tcMar>
          </w:tcPr>
          <w:p>
            <w:pPr>
              <w:spacing w:after="0"/>
            </w:pPr>
            <w:r>
              <w:rPr>
                <w:b/>
                <w:bCs/>
                <w:sz w:val="20"/>
                <w:szCs w:val="20"/>
              </w:rPr>
              <w:t xml:space="preserve">Author</w:t>
            </w:r>
          </w:p>
        </w:tc>
        <w:tc>
          <w:tcPr>
            <w:tcW w:type="dxa" w:w="4226"/>
            <w:shd w:fill="FFE600" w:val="clear"/>
            <w:tcMar>
              <w:top w:type="dxa" w:w="60"/>
              <w:left w:type="dxa" w:w="100"/>
              <w:bottom w:type="dxa" w:w="60"/>
              <w:right w:type="dxa" w:w="100"/>
            </w:tcMar>
          </w:tcPr>
          <w:p>
            <w:pPr>
              <w:spacing w:after="0"/>
            </w:pPr>
            <w:r>
              <w:rPr>
                <w:b/>
                <w:bCs/>
                <w:sz w:val="20"/>
                <w:szCs w:val="20"/>
              </w:rPr>
              <w:t xml:space="preserve">Comments</w:t>
            </w:r>
          </w:p>
        </w:tc>
      </w:tr>
      <w:tr>
        <w:tc>
          <w:tcPr>
            <w:tcW w:type="dxa" w:w="1100"/>
            <w:tcMar>
              <w:top w:type="dxa" w:w="60"/>
              <w:left w:type="dxa" w:w="100"/>
              <w:bottom w:type="dxa" w:w="60"/>
              <w:right w:type="dxa" w:w="100"/>
            </w:tcMar>
          </w:tcPr>
          <w:p>
            <w:pPr>
              <w:spacing w:after="0"/>
            </w:pPr>
            <w:r>
              <w:rPr>
                <w:b w:val="false"/>
                <w:bCs w:val="false"/>
                <w:sz w:val="20"/>
                <w:szCs w:val="20"/>
              </w:rPr>
              <w:t xml:space="preserve">1.0</w:t>
            </w:r>
          </w:p>
        </w:tc>
        <w:tc>
          <w:tcPr>
            <w:tcW w:type="dxa" w:w="1700"/>
            <w:tcMar>
              <w:top w:type="dxa" w:w="60"/>
              <w:left w:type="dxa" w:w="100"/>
              <w:bottom w:type="dxa" w:w="60"/>
              <w:right w:type="dxa" w:w="100"/>
            </w:tcMar>
          </w:tcPr>
          <w:p>
            <w:pPr>
              <w:spacing w:after="0"/>
            </w:pPr>
            <w:r>
              <w:rPr>
                <w:b w:val="false"/>
                <w:bCs w:val="false"/>
                <w:sz w:val="20"/>
                <w:szCs w:val="20"/>
              </w:rPr>
              <w:t xml:space="preserve">22 June 2026</w:t>
            </w:r>
          </w:p>
        </w:tc>
        <w:tc>
          <w:tcPr>
            <w:tcW w:type="dxa" w:w="2000"/>
            <w:tcMar>
              <w:top w:type="dxa" w:w="60"/>
              <w:left w:type="dxa" w:w="100"/>
              <w:bottom w:type="dxa" w:w="60"/>
              <w:right w:type="dxa" w:w="100"/>
            </w:tcMar>
          </w:tcPr>
          <w:p>
            <w:pPr>
              <w:spacing w:after="0"/>
            </w:pPr>
            <w:r>
              <w:rPr>
                <w:b w:val="false"/>
                <w:bCs w:val="false"/>
                <w:sz w:val="20"/>
                <w:szCs w:val="20"/>
              </w:rPr>
              <w:t xml:space="preserve">Gopal Chettri</w:t>
            </w:r>
          </w:p>
        </w:tc>
        <w:tc>
          <w:tcPr>
            <w:tcW w:type="dxa" w:w="4226"/>
            <w:tcMar>
              <w:top w:type="dxa" w:w="60"/>
              <w:left w:type="dxa" w:w="100"/>
              <w:bottom w:type="dxa" w:w="60"/>
              <w:right w:type="dxa" w:w="100"/>
            </w:tcMar>
          </w:tcPr>
          <w:p>
            <w:pPr>
              <w:spacing w:after="0"/>
            </w:pPr>
            <w:r>
              <w:rPr>
                <w:b w:val="false"/>
                <w:bCs w:val="false"/>
                <w:sz w:val="20"/>
                <w:szCs w:val="20"/>
              </w:rPr>
              <w:t xml:space="preserve">Initial draft, subject to revision.</w:t>
            </w:r>
          </w:p>
        </w:tc>
      </w:tr>
      <w:tr>
        <w:tc>
          <w:tcPr>
            <w:tcW w:type="dxa" w:w="1100"/>
            <w:tcMar>
              <w:top w:type="dxa" w:w="60"/>
              <w:left w:type="dxa" w:w="100"/>
              <w:bottom w:type="dxa" w:w="60"/>
              <w:right w:type="dxa" w:w="100"/>
            </w:tcMar>
          </w:tcPr>
          <w:p>
            <w:pPr>
              <w:spacing w:after="0"/>
            </w:pPr>
            <w:r>
              <w:rPr>
                <w:b w:val="false"/>
                <w:bCs w:val="false"/>
                <w:sz w:val="20"/>
                <w:szCs w:val="20"/>
              </w:rPr>
              <w:t xml:space="preserve">1.1</w:t>
            </w:r>
          </w:p>
        </w:tc>
        <w:tc>
          <w:tcPr>
            <w:tcW w:type="dxa" w:w="1700"/>
            <w:tcMar>
              <w:top w:type="dxa" w:w="60"/>
              <w:left w:type="dxa" w:w="100"/>
              <w:bottom w:type="dxa" w:w="60"/>
              <w:right w:type="dxa" w:w="100"/>
            </w:tcMar>
          </w:tcPr>
          <w:p>
            <w:pPr>
              <w:spacing w:after="0"/>
            </w:pPr>
            <w:r>
              <w:rPr>
                <w:b w:val="false"/>
                <w:bCs w:val="false"/>
                <w:sz w:val="20"/>
                <w:szCs w:val="20"/>
              </w:rPr>
              <w:t xml:space="preserve">26 August 2026</w:t>
            </w:r>
          </w:p>
        </w:tc>
        <w:tc>
          <w:tcPr>
            <w:tcW w:type="dxa" w:w="2000"/>
            <w:tcMar>
              <w:top w:type="dxa" w:w="60"/>
              <w:left w:type="dxa" w:w="100"/>
              <w:bottom w:type="dxa" w:w="60"/>
              <w:right w:type="dxa" w:w="100"/>
            </w:tcMar>
          </w:tcPr>
          <w:p>
            <w:pPr>
              <w:spacing w:after="0"/>
            </w:pPr>
            <w:r>
              <w:rPr>
                <w:b w:val="false"/>
                <w:bCs w:val="false"/>
                <w:sz w:val="20"/>
                <w:szCs w:val="20"/>
              </w:rPr>
              <w:t xml:space="preserve">Gopal Chettri</w:t>
            </w:r>
          </w:p>
        </w:tc>
        <w:tc>
          <w:tcPr>
            <w:tcW w:type="dxa" w:w="4226"/>
            <w:tcMar>
              <w:top w:type="dxa" w:w="60"/>
              <w:left w:type="dxa" w:w="100"/>
              <w:bottom w:type="dxa" w:w="60"/>
              <w:right w:type="dxa" w:w="100"/>
            </w:tcMar>
          </w:tcPr>
          <w:p>
            <w:pPr>
              <w:spacing w:after="0"/>
            </w:pPr>
            <w:r>
              <w:rPr>
                <w:b w:val="false"/>
                <w:bCs w:val="false"/>
                <w:sz w:val="20"/>
                <w:szCs w:val="20"/>
              </w:rPr>
              <w:t xml:space="preserve">Updated to match the implemented system: deterministic Asset Context Resolution replaces the generated supporting system description; library-first threat identification with STRIDE balancing; controls matched from the approved Control Library; per-scenario review decisions; API-key authentication replaces JWT; model names and threshold calibration updated; ASCII architecture figures added; editorial corrections.</w:t>
            </w:r>
          </w:p>
        </w:tc>
      </w:tr>
    </w:tbl>
    <w:p>
      <w:pPr>
        <w:spacing w:after="400"/>
      </w:pPr>
    </w:p>
    <w:p>
      <w:pPr>
        <w:spacing w:after="120" w:before="240"/>
      </w:pPr>
      <w:r>
        <w:rPr>
          <w:b/>
          <w:bCs/>
          <w:sz w:val="28"/>
          <w:szCs w:val="28"/>
        </w:rPr>
        <w:t xml:space="preserve">Review &amp; approvals</w:t>
      </w:r>
    </w:p>
    <w:p>
      <w:pPr>
        <w:spacing w:after="140"/>
      </w:pPr>
      <w:r>
        <w:t xml:space="preserve">All design documents must be reviewed and signed off: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600"/>
        <w:gridCol w:w="1700"/>
        <w:gridCol w:w="1700"/>
        <w:gridCol w:w="1900"/>
        <w:gridCol w:w="1226"/>
      </w:tblGrid>
      <w:tr>
        <w:trPr>
          <w:tblHeader/>
        </w:trPr>
        <w:tc>
          <w:tcPr>
            <w:tcW w:type="dxa" w:w="900"/>
            <w:shd w:fill="FFE600" w:val="clear"/>
            <w:tcMar>
              <w:top w:type="dxa" w:w="60"/>
              <w:left w:type="dxa" w:w="100"/>
              <w:bottom w:type="dxa" w:w="60"/>
              <w:right w:type="dxa" w:w="100"/>
            </w:tcMar>
          </w:tcPr>
          <w:p>
            <w:pPr>
              <w:spacing w:after="0"/>
            </w:pPr>
            <w:r>
              <w:rPr>
                <w:b/>
                <w:bCs/>
                <w:sz w:val="20"/>
                <w:szCs w:val="20"/>
              </w:rPr>
              <w:t xml:space="preserve">Version</w:t>
            </w:r>
          </w:p>
        </w:tc>
        <w:tc>
          <w:tcPr>
            <w:tcW w:type="dxa" w:w="1600"/>
            <w:shd w:fill="FFE600" w:val="clear"/>
            <w:tcMar>
              <w:top w:type="dxa" w:w="60"/>
              <w:left w:type="dxa" w:w="100"/>
              <w:bottom w:type="dxa" w:w="60"/>
              <w:right w:type="dxa" w:w="100"/>
            </w:tcMar>
          </w:tcPr>
          <w:p>
            <w:pPr>
              <w:spacing w:after="0"/>
            </w:pPr>
            <w:r>
              <w:rPr>
                <w:b/>
                <w:bCs/>
                <w:sz w:val="20"/>
                <w:szCs w:val="20"/>
              </w:rPr>
              <w:t xml:space="preserve">Date</w:t>
            </w:r>
          </w:p>
        </w:tc>
        <w:tc>
          <w:tcPr>
            <w:tcW w:type="dxa" w:w="1700"/>
            <w:shd w:fill="FFE600" w:val="clear"/>
            <w:tcMar>
              <w:top w:type="dxa" w:w="60"/>
              <w:left w:type="dxa" w:w="100"/>
              <w:bottom w:type="dxa" w:w="60"/>
              <w:right w:type="dxa" w:w="100"/>
            </w:tcMar>
          </w:tcPr>
          <w:p>
            <w:pPr>
              <w:spacing w:after="0"/>
            </w:pPr>
            <w:r>
              <w:rPr>
                <w:b/>
                <w:bCs/>
                <w:sz w:val="20"/>
                <w:szCs w:val="20"/>
              </w:rPr>
              <w:t xml:space="preserve">Preparer</w:t>
            </w:r>
          </w:p>
        </w:tc>
        <w:tc>
          <w:tcPr>
            <w:tcW w:type="dxa" w:w="1700"/>
            <w:shd w:fill="FFE600" w:val="clear"/>
            <w:tcMar>
              <w:top w:type="dxa" w:w="60"/>
              <w:left w:type="dxa" w:w="100"/>
              <w:bottom w:type="dxa" w:w="60"/>
              <w:right w:type="dxa" w:w="100"/>
            </w:tcMar>
          </w:tcPr>
          <w:p>
            <w:pPr>
              <w:spacing w:after="0"/>
            </w:pPr>
            <w:r>
              <w:rPr>
                <w:b/>
                <w:bCs/>
                <w:sz w:val="20"/>
                <w:szCs w:val="20"/>
              </w:rPr>
              <w:t xml:space="preserve">Reviewer</w:t>
            </w:r>
          </w:p>
        </w:tc>
        <w:tc>
          <w:tcPr>
            <w:tcW w:type="dxa" w:w="1900"/>
            <w:shd w:fill="FFE600" w:val="clear"/>
            <w:tcMar>
              <w:top w:type="dxa" w:w="60"/>
              <w:left w:type="dxa" w:w="100"/>
              <w:bottom w:type="dxa" w:w="60"/>
              <w:right w:type="dxa" w:w="100"/>
            </w:tcMar>
          </w:tcPr>
          <w:p>
            <w:pPr>
              <w:spacing w:after="0"/>
            </w:pPr>
            <w:r>
              <w:rPr>
                <w:b/>
                <w:bCs/>
                <w:sz w:val="20"/>
                <w:szCs w:val="20"/>
              </w:rPr>
              <w:t xml:space="preserve">Comments</w:t>
            </w:r>
          </w:p>
        </w:tc>
        <w:tc>
          <w:tcPr>
            <w:tcW w:type="dxa" w:w="1226"/>
            <w:shd w:fill="FFE600" w:val="clear"/>
            <w:tcMar>
              <w:top w:type="dxa" w:w="60"/>
              <w:left w:type="dxa" w:w="100"/>
              <w:bottom w:type="dxa" w:w="60"/>
              <w:right w:type="dxa" w:w="100"/>
            </w:tcMar>
          </w:tcPr>
          <w:p>
            <w:pPr>
              <w:spacing w:after="0"/>
            </w:pPr>
            <w:r>
              <w:rPr>
                <w:b/>
                <w:bCs/>
                <w:sz w:val="20"/>
                <w:szCs w:val="20"/>
              </w:rPr>
              <w:t xml:space="preserve">Sign Off</w:t>
            </w:r>
          </w:p>
        </w:tc>
      </w:tr>
      <w:tr>
        <w:tc>
          <w:tcPr>
            <w:tcW w:type="dxa" w:w="900"/>
            <w:tcMar>
              <w:top w:type="dxa" w:w="60"/>
              <w:left w:type="dxa" w:w="100"/>
              <w:bottom w:type="dxa" w:w="60"/>
              <w:right w:type="dxa" w:w="100"/>
            </w:tcMar>
          </w:tcPr>
          <w:p>
            <w:pPr>
              <w:spacing w:after="0"/>
            </w:pPr>
            <w:r>
              <w:rPr>
                <w:b w:val="false"/>
                <w:bCs w:val="false"/>
                <w:sz w:val="20"/>
                <w:szCs w:val="20"/>
              </w:rPr>
              <w:t xml:space="preserve">1.0</w:t>
            </w:r>
          </w:p>
        </w:tc>
        <w:tc>
          <w:tcPr>
            <w:tcW w:type="dxa" w:w="1600"/>
            <w:tcMar>
              <w:top w:type="dxa" w:w="60"/>
              <w:left w:type="dxa" w:w="100"/>
              <w:bottom w:type="dxa" w:w="60"/>
              <w:right w:type="dxa" w:w="100"/>
            </w:tcMar>
          </w:tcPr>
          <w:p>
            <w:pPr>
              <w:spacing w:after="0"/>
            </w:pPr>
            <w:r>
              <w:rPr>
                <w:b w:val="false"/>
                <w:bCs w:val="false"/>
                <w:sz w:val="20"/>
                <w:szCs w:val="20"/>
              </w:rPr>
              <w:t xml:space="preserve">22 June 2026</w:t>
            </w:r>
          </w:p>
        </w:tc>
        <w:tc>
          <w:tcPr>
            <w:tcW w:type="dxa" w:w="1700"/>
            <w:tcMar>
              <w:top w:type="dxa" w:w="60"/>
              <w:left w:type="dxa" w:w="100"/>
              <w:bottom w:type="dxa" w:w="60"/>
              <w:right w:type="dxa" w:w="100"/>
            </w:tcMar>
          </w:tcPr>
          <w:p>
            <w:pPr>
              <w:spacing w:after="0"/>
            </w:pPr>
            <w:r>
              <w:rPr>
                <w:b w:val="false"/>
                <w:bCs w:val="false"/>
                <w:sz w:val="20"/>
                <w:szCs w:val="20"/>
              </w:rPr>
              <w:t xml:space="preserve">Gopal Chettri</w:t>
            </w:r>
          </w:p>
        </w:tc>
        <w:tc>
          <w:tcPr>
            <w:tcW w:type="dxa" w:w="1700"/>
            <w:tcMar>
              <w:top w:type="dxa" w:w="60"/>
              <w:left w:type="dxa" w:w="100"/>
              <w:bottom w:type="dxa" w:w="60"/>
              <w:right w:type="dxa" w:w="100"/>
            </w:tcMar>
          </w:tcPr>
          <w:p>
            <w:pPr>
              <w:spacing w:after="0"/>
            </w:pPr>
            <w:r>
              <w:rPr>
                <w:b w:val="false"/>
                <w:bCs w:val="false"/>
                <w:sz w:val="20"/>
                <w:szCs w:val="20"/>
              </w:rPr>
              <w:t xml:space="preserve"/>
            </w:r>
          </w:p>
        </w:tc>
        <w:tc>
          <w:tcPr>
            <w:tcW w:type="dxa" w:w="1900"/>
            <w:tcMar>
              <w:top w:type="dxa" w:w="60"/>
              <w:left w:type="dxa" w:w="100"/>
              <w:bottom w:type="dxa" w:w="60"/>
              <w:right w:type="dxa" w:w="100"/>
            </w:tcMar>
          </w:tcPr>
          <w:p>
            <w:pPr>
              <w:spacing w:after="0"/>
            </w:pPr>
            <w:r>
              <w:rPr>
                <w:b w:val="false"/>
                <w:bCs w:val="false"/>
                <w:sz w:val="20"/>
                <w:szCs w:val="20"/>
              </w:rPr>
              <w:t xml:space="preserve"/>
            </w:r>
          </w:p>
        </w:tc>
        <w:tc>
          <w:tcPr>
            <w:tcW w:type="dxa" w:w="1226"/>
            <w:tcMar>
              <w:top w:type="dxa" w:w="60"/>
              <w:left w:type="dxa" w:w="100"/>
              <w:bottom w:type="dxa" w:w="60"/>
              <w:right w:type="dxa" w:w="100"/>
            </w:tcMar>
          </w:tcPr>
          <w:p>
            <w:pPr>
              <w:spacing w:after="0"/>
            </w:pPr>
            <w:r>
              <w:rPr>
                <w:b w:val="false"/>
                <w:bCs w:val="false"/>
                <w:sz w:val="20"/>
                <w:szCs w:val="20"/>
              </w:rPr>
              <w:t xml:space="preserve"/>
            </w:r>
          </w:p>
        </w:tc>
      </w:tr>
      <w:tr>
        <w:tc>
          <w:tcPr>
            <w:tcW w:type="dxa" w:w="900"/>
            <w:tcMar>
              <w:top w:type="dxa" w:w="60"/>
              <w:left w:type="dxa" w:w="100"/>
              <w:bottom w:type="dxa" w:w="60"/>
              <w:right w:type="dxa" w:w="100"/>
            </w:tcMar>
          </w:tcPr>
          <w:p>
            <w:pPr>
              <w:spacing w:after="0"/>
            </w:pPr>
            <w:r>
              <w:rPr>
                <w:b w:val="false"/>
                <w:bCs w:val="false"/>
                <w:sz w:val="20"/>
                <w:szCs w:val="20"/>
              </w:rPr>
              <w:t xml:space="preserve">1.1</w:t>
            </w:r>
          </w:p>
        </w:tc>
        <w:tc>
          <w:tcPr>
            <w:tcW w:type="dxa" w:w="1600"/>
            <w:tcMar>
              <w:top w:type="dxa" w:w="60"/>
              <w:left w:type="dxa" w:w="100"/>
              <w:bottom w:type="dxa" w:w="60"/>
              <w:right w:type="dxa" w:w="100"/>
            </w:tcMar>
          </w:tcPr>
          <w:p>
            <w:pPr>
              <w:spacing w:after="0"/>
            </w:pPr>
            <w:r>
              <w:rPr>
                <w:b w:val="false"/>
                <w:bCs w:val="false"/>
                <w:sz w:val="20"/>
                <w:szCs w:val="20"/>
              </w:rPr>
              <w:t xml:space="preserve">26 August 2026</w:t>
            </w:r>
          </w:p>
        </w:tc>
        <w:tc>
          <w:tcPr>
            <w:tcW w:type="dxa" w:w="1700"/>
            <w:tcMar>
              <w:top w:type="dxa" w:w="60"/>
              <w:left w:type="dxa" w:w="100"/>
              <w:bottom w:type="dxa" w:w="60"/>
              <w:right w:type="dxa" w:w="100"/>
            </w:tcMar>
          </w:tcPr>
          <w:p>
            <w:pPr>
              <w:spacing w:after="0"/>
            </w:pPr>
            <w:r>
              <w:rPr>
                <w:b w:val="false"/>
                <w:bCs w:val="false"/>
                <w:sz w:val="20"/>
                <w:szCs w:val="20"/>
              </w:rPr>
              <w:t xml:space="preserve">Gopal Chettri</w:t>
            </w:r>
          </w:p>
        </w:tc>
        <w:tc>
          <w:tcPr>
            <w:tcW w:type="dxa" w:w="1700"/>
            <w:tcMar>
              <w:top w:type="dxa" w:w="60"/>
              <w:left w:type="dxa" w:w="100"/>
              <w:bottom w:type="dxa" w:w="60"/>
              <w:right w:type="dxa" w:w="100"/>
            </w:tcMar>
          </w:tcPr>
          <w:p>
            <w:pPr>
              <w:spacing w:after="0"/>
            </w:pPr>
            <w:r>
              <w:rPr>
                <w:b w:val="false"/>
                <w:bCs w:val="false"/>
                <w:sz w:val="20"/>
                <w:szCs w:val="20"/>
              </w:rPr>
              <w:t xml:space="preserve"/>
            </w:r>
          </w:p>
        </w:tc>
        <w:tc>
          <w:tcPr>
            <w:tcW w:type="dxa" w:w="1900"/>
            <w:tcMar>
              <w:top w:type="dxa" w:w="60"/>
              <w:left w:type="dxa" w:w="100"/>
              <w:bottom w:type="dxa" w:w="60"/>
              <w:right w:type="dxa" w:w="100"/>
            </w:tcMar>
          </w:tcPr>
          <w:p>
            <w:pPr>
              <w:spacing w:after="0"/>
            </w:pPr>
            <w:r>
              <w:rPr>
                <w:b w:val="false"/>
                <w:bCs w:val="false"/>
                <w:sz w:val="20"/>
                <w:szCs w:val="20"/>
              </w:rPr>
              <w:t xml:space="preserve"/>
            </w:r>
          </w:p>
        </w:tc>
        <w:tc>
          <w:tcPr>
            <w:tcW w:type="dxa" w:w="1226"/>
            <w:tcMar>
              <w:top w:type="dxa" w:w="60"/>
              <w:left w:type="dxa" w:w="100"/>
              <w:bottom w:type="dxa" w:w="60"/>
              <w:right w:type="dxa" w:w="100"/>
            </w:tcMar>
          </w:tcPr>
          <w:p>
            <w:pPr>
              <w:spacing w:after="0"/>
            </w:pPr>
            <w:r>
              <w:rPr>
                <w:b w:val="false"/>
                <w:bCs w:val="false"/>
                <w:sz w:val="20"/>
                <w:szCs w:val="20"/>
              </w:rPr>
              <w:t xml:space="preserve"/>
            </w:r>
          </w:p>
        </w:tc>
      </w:tr>
    </w:tbl>
    <w:p>
      <w:r>
        <w:br w:type="page"/>
      </w:r>
    </w:p>
    <w:p>
      <w:pPr>
        <w:spacing w:after="120"/>
      </w:pPr>
      <w:r>
        <w:rPr>
          <w:b/>
          <w:bCs/>
          <w:sz w:val="28"/>
          <w:szCs w:val="28"/>
        </w:rPr>
        <w:t xml:space="preserve">Acronyms and abbreviations</w:t>
      </w:r>
    </w:p>
    <w:p>
      <w:pPr>
        <w:spacing w:after="140"/>
      </w:pPr>
      <w:r>
        <w:t xml:space="preserve">Acronyms and abbreviations used in this document are defined below: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226"/>
      </w:tblGrid>
      <w:tr>
        <w:trPr>
          <w:tblHeader/>
        </w:trPr>
        <w:tc>
          <w:tcPr>
            <w:tcW w:type="dxa" w:w="1800"/>
            <w:shd w:fill="FFE600" w:val="clear"/>
            <w:tcMar>
              <w:top w:type="dxa" w:w="60"/>
              <w:left w:type="dxa" w:w="100"/>
              <w:bottom w:type="dxa" w:w="60"/>
              <w:right w:type="dxa" w:w="100"/>
            </w:tcMar>
          </w:tcPr>
          <w:p>
            <w:pPr>
              <w:spacing w:after="0"/>
            </w:pPr>
            <w:r>
              <w:rPr>
                <w:b/>
                <w:bCs/>
                <w:sz w:val="20"/>
                <w:szCs w:val="20"/>
              </w:rPr>
              <w:t xml:space="preserve">Acronym</w:t>
            </w:r>
          </w:p>
        </w:tc>
        <w:tc>
          <w:tcPr>
            <w:tcW w:type="dxa" w:w="7226"/>
            <w:shd w:fill="FFE600" w:val="clear"/>
            <w:tcMar>
              <w:top w:type="dxa" w:w="60"/>
              <w:left w:type="dxa" w:w="100"/>
              <w:bottom w:type="dxa" w:w="60"/>
              <w:right w:type="dxa" w:w="100"/>
            </w:tcMar>
          </w:tcPr>
          <w:p>
            <w:pPr>
              <w:spacing w:after="0"/>
            </w:pPr>
            <w:r>
              <w:rPr>
                <w:b/>
                <w:bCs/>
                <w:sz w:val="20"/>
                <w:szCs w:val="20"/>
              </w:rPr>
              <w:t xml:space="preserve">Definition</w:t>
            </w:r>
          </w:p>
        </w:tc>
      </w:tr>
      <w:tr>
        <w:tc>
          <w:tcPr>
            <w:tcW w:type="dxa" w:w="1800"/>
            <w:tcMar>
              <w:top w:type="dxa" w:w="60"/>
              <w:left w:type="dxa" w:w="100"/>
              <w:bottom w:type="dxa" w:w="60"/>
              <w:right w:type="dxa" w:w="100"/>
            </w:tcMar>
          </w:tcPr>
          <w:p>
            <w:pPr>
              <w:spacing w:after="0"/>
            </w:pPr>
            <w:r>
              <w:rPr>
                <w:b w:val="false"/>
                <w:bCs w:val="false"/>
                <w:sz w:val="20"/>
                <w:szCs w:val="20"/>
              </w:rPr>
              <w:t xml:space="preserve">AI</w:t>
            </w:r>
          </w:p>
        </w:tc>
        <w:tc>
          <w:tcPr>
            <w:tcW w:type="dxa" w:w="7226"/>
            <w:tcMar>
              <w:top w:type="dxa" w:w="60"/>
              <w:left w:type="dxa" w:w="100"/>
              <w:bottom w:type="dxa" w:w="60"/>
              <w:right w:type="dxa" w:w="100"/>
            </w:tcMar>
          </w:tcPr>
          <w:p>
            <w:pPr>
              <w:spacing w:after="0"/>
            </w:pPr>
            <w:r>
              <w:rPr>
                <w:b w:val="false"/>
                <w:bCs w:val="false"/>
                <w:sz w:val="20"/>
                <w:szCs w:val="20"/>
              </w:rPr>
              <w:t xml:space="preserve">Artificial Intelligence</w:t>
            </w:r>
          </w:p>
        </w:tc>
      </w:tr>
      <w:tr>
        <w:tc>
          <w:tcPr>
            <w:tcW w:type="dxa" w:w="1800"/>
            <w:tcMar>
              <w:top w:type="dxa" w:w="60"/>
              <w:left w:type="dxa" w:w="100"/>
              <w:bottom w:type="dxa" w:w="60"/>
              <w:right w:type="dxa" w:w="100"/>
            </w:tcMar>
          </w:tcPr>
          <w:p>
            <w:pPr>
              <w:spacing w:after="0"/>
            </w:pPr>
            <w:r>
              <w:rPr>
                <w:b w:val="false"/>
                <w:bCs w:val="false"/>
                <w:sz w:val="20"/>
                <w:szCs w:val="20"/>
              </w:rPr>
              <w:t xml:space="preserve">API</w:t>
            </w:r>
          </w:p>
        </w:tc>
        <w:tc>
          <w:tcPr>
            <w:tcW w:type="dxa" w:w="7226"/>
            <w:tcMar>
              <w:top w:type="dxa" w:w="60"/>
              <w:left w:type="dxa" w:w="100"/>
              <w:bottom w:type="dxa" w:w="60"/>
              <w:right w:type="dxa" w:w="100"/>
            </w:tcMar>
          </w:tcPr>
          <w:p>
            <w:pPr>
              <w:spacing w:after="0"/>
            </w:pPr>
            <w:r>
              <w:rPr>
                <w:b w:val="false"/>
                <w:bCs w:val="false"/>
                <w:sz w:val="20"/>
                <w:szCs w:val="20"/>
              </w:rPr>
              <w:t xml:space="preserve">Application Programming Interface</w:t>
            </w:r>
          </w:p>
        </w:tc>
      </w:tr>
      <w:tr>
        <w:tc>
          <w:tcPr>
            <w:tcW w:type="dxa" w:w="1800"/>
            <w:tcMar>
              <w:top w:type="dxa" w:w="60"/>
              <w:left w:type="dxa" w:w="100"/>
              <w:bottom w:type="dxa" w:w="60"/>
              <w:right w:type="dxa" w:w="100"/>
            </w:tcMar>
          </w:tcPr>
          <w:p>
            <w:pPr>
              <w:spacing w:after="0"/>
            </w:pPr>
            <w:r>
              <w:rPr>
                <w:b w:val="false"/>
                <w:bCs w:val="false"/>
                <w:sz w:val="20"/>
                <w:szCs w:val="20"/>
              </w:rPr>
              <w:t xml:space="preserve">CIA</w:t>
            </w:r>
          </w:p>
        </w:tc>
        <w:tc>
          <w:tcPr>
            <w:tcW w:type="dxa" w:w="7226"/>
            <w:tcMar>
              <w:top w:type="dxa" w:w="60"/>
              <w:left w:type="dxa" w:w="100"/>
              <w:bottom w:type="dxa" w:w="60"/>
              <w:right w:type="dxa" w:w="100"/>
            </w:tcMar>
          </w:tcPr>
          <w:p>
            <w:pPr>
              <w:spacing w:after="0"/>
            </w:pPr>
            <w:r>
              <w:rPr>
                <w:b w:val="false"/>
                <w:bCs w:val="false"/>
                <w:sz w:val="20"/>
                <w:szCs w:val="20"/>
              </w:rPr>
              <w:t xml:space="preserve">Confidentiality, Integrity, Availability</w:t>
            </w:r>
          </w:p>
        </w:tc>
      </w:tr>
      <w:tr>
        <w:tc>
          <w:tcPr>
            <w:tcW w:type="dxa" w:w="1800"/>
            <w:tcMar>
              <w:top w:type="dxa" w:w="60"/>
              <w:left w:type="dxa" w:w="100"/>
              <w:bottom w:type="dxa" w:w="60"/>
              <w:right w:type="dxa" w:w="100"/>
            </w:tcMar>
          </w:tcPr>
          <w:p>
            <w:pPr>
              <w:spacing w:after="0"/>
            </w:pPr>
            <w:r>
              <w:rPr>
                <w:b w:val="false"/>
                <w:bCs w:val="false"/>
                <w:sz w:val="20"/>
                <w:szCs w:val="20"/>
              </w:rPr>
              <w:t xml:space="preserve">CII</w:t>
            </w:r>
          </w:p>
        </w:tc>
        <w:tc>
          <w:tcPr>
            <w:tcW w:type="dxa" w:w="7226"/>
            <w:tcMar>
              <w:top w:type="dxa" w:w="60"/>
              <w:left w:type="dxa" w:w="100"/>
              <w:bottom w:type="dxa" w:w="60"/>
              <w:right w:type="dxa" w:w="100"/>
            </w:tcMar>
          </w:tcPr>
          <w:p>
            <w:pPr>
              <w:spacing w:after="0"/>
            </w:pPr>
            <w:r>
              <w:rPr>
                <w:b w:val="false"/>
                <w:bCs w:val="false"/>
                <w:sz w:val="20"/>
                <w:szCs w:val="20"/>
              </w:rPr>
              <w:t xml:space="preserve">Critical Information Infrastructure</w:t>
            </w:r>
          </w:p>
        </w:tc>
      </w:tr>
      <w:tr>
        <w:tc>
          <w:tcPr>
            <w:tcW w:type="dxa" w:w="1800"/>
            <w:tcMar>
              <w:top w:type="dxa" w:w="60"/>
              <w:left w:type="dxa" w:w="100"/>
              <w:bottom w:type="dxa" w:w="60"/>
              <w:right w:type="dxa" w:w="100"/>
            </w:tcMar>
          </w:tcPr>
          <w:p>
            <w:pPr>
              <w:spacing w:after="0"/>
            </w:pPr>
            <w:r>
              <w:rPr>
                <w:b w:val="false"/>
                <w:bCs w:val="false"/>
                <w:sz w:val="20"/>
                <w:szCs w:val="20"/>
              </w:rPr>
              <w:t xml:space="preserve">CSF</w:t>
            </w:r>
          </w:p>
        </w:tc>
        <w:tc>
          <w:tcPr>
            <w:tcW w:type="dxa" w:w="7226"/>
            <w:tcMar>
              <w:top w:type="dxa" w:w="60"/>
              <w:left w:type="dxa" w:w="100"/>
              <w:bottom w:type="dxa" w:w="60"/>
              <w:right w:type="dxa" w:w="100"/>
            </w:tcMar>
          </w:tcPr>
          <w:p>
            <w:pPr>
              <w:spacing w:after="0"/>
            </w:pPr>
            <w:r>
              <w:rPr>
                <w:b w:val="false"/>
                <w:bCs w:val="false"/>
                <w:sz w:val="20"/>
                <w:szCs w:val="20"/>
              </w:rPr>
              <w:t xml:space="preserve">Cybersecurity Framework</w:t>
            </w:r>
          </w:p>
        </w:tc>
      </w:tr>
      <w:tr>
        <w:tc>
          <w:tcPr>
            <w:tcW w:type="dxa" w:w="1800"/>
            <w:tcMar>
              <w:top w:type="dxa" w:w="60"/>
              <w:left w:type="dxa" w:w="100"/>
              <w:bottom w:type="dxa" w:w="60"/>
              <w:right w:type="dxa" w:w="100"/>
            </w:tcMar>
          </w:tcPr>
          <w:p>
            <w:pPr>
              <w:spacing w:after="0"/>
            </w:pPr>
            <w:r>
              <w:rPr>
                <w:b w:val="false"/>
                <w:bCs w:val="false"/>
                <w:sz w:val="20"/>
                <w:szCs w:val="20"/>
              </w:rPr>
              <w:t xml:space="preserve">CSV</w:t>
            </w:r>
          </w:p>
        </w:tc>
        <w:tc>
          <w:tcPr>
            <w:tcW w:type="dxa" w:w="7226"/>
            <w:tcMar>
              <w:top w:type="dxa" w:w="60"/>
              <w:left w:type="dxa" w:w="100"/>
              <w:bottom w:type="dxa" w:w="60"/>
              <w:right w:type="dxa" w:w="100"/>
            </w:tcMar>
          </w:tcPr>
          <w:p>
            <w:pPr>
              <w:spacing w:after="0"/>
            </w:pPr>
            <w:r>
              <w:rPr>
                <w:b w:val="false"/>
                <w:bCs w:val="false"/>
                <w:sz w:val="20"/>
                <w:szCs w:val="20"/>
              </w:rPr>
              <w:t xml:space="preserve">Comma-Separated Values</w:t>
            </w:r>
          </w:p>
        </w:tc>
      </w:tr>
      <w:tr>
        <w:tc>
          <w:tcPr>
            <w:tcW w:type="dxa" w:w="1800"/>
            <w:tcMar>
              <w:top w:type="dxa" w:w="60"/>
              <w:left w:type="dxa" w:w="100"/>
              <w:bottom w:type="dxa" w:w="60"/>
              <w:right w:type="dxa" w:w="100"/>
            </w:tcMar>
          </w:tcPr>
          <w:p>
            <w:pPr>
              <w:spacing w:after="0"/>
            </w:pPr>
            <w:r>
              <w:rPr>
                <w:b w:val="false"/>
                <w:bCs w:val="false"/>
                <w:sz w:val="20"/>
                <w:szCs w:val="20"/>
              </w:rPr>
              <w:t xml:space="preserve">CTI</w:t>
            </w:r>
          </w:p>
        </w:tc>
        <w:tc>
          <w:tcPr>
            <w:tcW w:type="dxa" w:w="7226"/>
            <w:tcMar>
              <w:top w:type="dxa" w:w="60"/>
              <w:left w:type="dxa" w:w="100"/>
              <w:bottom w:type="dxa" w:w="60"/>
              <w:right w:type="dxa" w:w="100"/>
            </w:tcMar>
          </w:tcPr>
          <w:p>
            <w:pPr>
              <w:spacing w:after="0"/>
            </w:pPr>
            <w:r>
              <w:rPr>
                <w:b w:val="false"/>
                <w:bCs w:val="false"/>
                <w:sz w:val="20"/>
                <w:szCs w:val="20"/>
              </w:rPr>
              <w:t xml:space="preserve">Cyber Threat Intelligence</w:t>
            </w:r>
          </w:p>
        </w:tc>
      </w:tr>
      <w:tr>
        <w:tc>
          <w:tcPr>
            <w:tcW w:type="dxa" w:w="1800"/>
            <w:tcMar>
              <w:top w:type="dxa" w:w="60"/>
              <w:left w:type="dxa" w:w="100"/>
              <w:bottom w:type="dxa" w:w="60"/>
              <w:right w:type="dxa" w:w="100"/>
            </w:tcMar>
          </w:tcPr>
          <w:p>
            <w:pPr>
              <w:spacing w:after="0"/>
            </w:pPr>
            <w:r>
              <w:rPr>
                <w:b w:val="false"/>
                <w:bCs w:val="false"/>
                <w:sz w:val="20"/>
                <w:szCs w:val="20"/>
              </w:rPr>
              <w:t xml:space="preserve">DREAD</w:t>
            </w:r>
          </w:p>
        </w:tc>
        <w:tc>
          <w:tcPr>
            <w:tcW w:type="dxa" w:w="7226"/>
            <w:tcMar>
              <w:top w:type="dxa" w:w="60"/>
              <w:left w:type="dxa" w:w="100"/>
              <w:bottom w:type="dxa" w:w="60"/>
              <w:right w:type="dxa" w:w="100"/>
            </w:tcMar>
          </w:tcPr>
          <w:p>
            <w:pPr>
              <w:spacing w:after="0"/>
            </w:pPr>
            <w:r>
              <w:rPr>
                <w:b w:val="false"/>
                <w:bCs w:val="false"/>
                <w:sz w:val="20"/>
                <w:szCs w:val="20"/>
              </w:rPr>
              <w:t xml:space="preserve">Damage, Reproducibility, Exploitability, Affected Users, Discoverability</w:t>
            </w:r>
          </w:p>
        </w:tc>
      </w:tr>
      <w:tr>
        <w:tc>
          <w:tcPr>
            <w:tcW w:type="dxa" w:w="1800"/>
            <w:tcMar>
              <w:top w:type="dxa" w:w="60"/>
              <w:left w:type="dxa" w:w="100"/>
              <w:bottom w:type="dxa" w:w="60"/>
              <w:right w:type="dxa" w:w="100"/>
            </w:tcMar>
          </w:tcPr>
          <w:p>
            <w:pPr>
              <w:spacing w:after="0"/>
            </w:pPr>
            <w:r>
              <w:rPr>
                <w:b w:val="false"/>
                <w:bCs w:val="false"/>
                <w:sz w:val="20"/>
                <w:szCs w:val="20"/>
              </w:rPr>
              <w:t xml:space="preserve">EY</w:t>
            </w:r>
          </w:p>
        </w:tc>
        <w:tc>
          <w:tcPr>
            <w:tcW w:type="dxa" w:w="7226"/>
            <w:tcMar>
              <w:top w:type="dxa" w:w="60"/>
              <w:left w:type="dxa" w:w="100"/>
              <w:bottom w:type="dxa" w:w="60"/>
              <w:right w:type="dxa" w:w="100"/>
            </w:tcMar>
          </w:tcPr>
          <w:p>
            <w:pPr>
              <w:spacing w:after="0"/>
            </w:pPr>
            <w:r>
              <w:rPr>
                <w:b w:val="false"/>
                <w:bCs w:val="false"/>
                <w:sz w:val="20"/>
                <w:szCs w:val="20"/>
              </w:rPr>
              <w:t xml:space="preserve">Ernst &amp; Young</w:t>
            </w:r>
          </w:p>
        </w:tc>
      </w:tr>
      <w:tr>
        <w:tc>
          <w:tcPr>
            <w:tcW w:type="dxa" w:w="1800"/>
            <w:tcMar>
              <w:top w:type="dxa" w:w="60"/>
              <w:left w:type="dxa" w:w="100"/>
              <w:bottom w:type="dxa" w:w="60"/>
              <w:right w:type="dxa" w:w="100"/>
            </w:tcMar>
          </w:tcPr>
          <w:p>
            <w:pPr>
              <w:spacing w:after="0"/>
            </w:pPr>
            <w:r>
              <w:rPr>
                <w:b w:val="false"/>
                <w:bCs w:val="false"/>
                <w:sz w:val="20"/>
                <w:szCs w:val="20"/>
              </w:rPr>
              <w:t xml:space="preserve">FTE</w:t>
            </w:r>
          </w:p>
        </w:tc>
        <w:tc>
          <w:tcPr>
            <w:tcW w:type="dxa" w:w="7226"/>
            <w:tcMar>
              <w:top w:type="dxa" w:w="60"/>
              <w:left w:type="dxa" w:w="100"/>
              <w:bottom w:type="dxa" w:w="60"/>
              <w:right w:type="dxa" w:w="100"/>
            </w:tcMar>
          </w:tcPr>
          <w:p>
            <w:pPr>
              <w:spacing w:after="0"/>
            </w:pPr>
            <w:r>
              <w:rPr>
                <w:b w:val="false"/>
                <w:bCs w:val="false"/>
                <w:sz w:val="20"/>
                <w:szCs w:val="20"/>
              </w:rPr>
              <w:t xml:space="preserve">Full-Time Equivalent</w:t>
            </w:r>
          </w:p>
        </w:tc>
      </w:tr>
      <w:tr>
        <w:tc>
          <w:tcPr>
            <w:tcW w:type="dxa" w:w="1800"/>
            <w:tcMar>
              <w:top w:type="dxa" w:w="60"/>
              <w:left w:type="dxa" w:w="100"/>
              <w:bottom w:type="dxa" w:w="60"/>
              <w:right w:type="dxa" w:w="100"/>
            </w:tcMar>
          </w:tcPr>
          <w:p>
            <w:pPr>
              <w:spacing w:after="0"/>
            </w:pPr>
            <w:r>
              <w:rPr>
                <w:b w:val="false"/>
                <w:bCs w:val="false"/>
                <w:sz w:val="20"/>
                <w:szCs w:val="20"/>
              </w:rPr>
              <w:t xml:space="preserve">IEC</w:t>
            </w:r>
          </w:p>
        </w:tc>
        <w:tc>
          <w:tcPr>
            <w:tcW w:type="dxa" w:w="7226"/>
            <w:tcMar>
              <w:top w:type="dxa" w:w="60"/>
              <w:left w:type="dxa" w:w="100"/>
              <w:bottom w:type="dxa" w:w="60"/>
              <w:right w:type="dxa" w:w="100"/>
            </w:tcMar>
          </w:tcPr>
          <w:p>
            <w:pPr>
              <w:spacing w:after="0"/>
            </w:pPr>
            <w:r>
              <w:rPr>
                <w:b w:val="false"/>
                <w:bCs w:val="false"/>
                <w:sz w:val="20"/>
                <w:szCs w:val="20"/>
              </w:rPr>
              <w:t xml:space="preserve">International Electrotechnical Commission</w:t>
            </w:r>
          </w:p>
        </w:tc>
      </w:tr>
      <w:tr>
        <w:tc>
          <w:tcPr>
            <w:tcW w:type="dxa" w:w="1800"/>
            <w:tcMar>
              <w:top w:type="dxa" w:w="60"/>
              <w:left w:type="dxa" w:w="100"/>
              <w:bottom w:type="dxa" w:w="60"/>
              <w:right w:type="dxa" w:w="100"/>
            </w:tcMar>
          </w:tcPr>
          <w:p>
            <w:pPr>
              <w:spacing w:after="0"/>
            </w:pPr>
            <w:r>
              <w:rPr>
                <w:b w:val="false"/>
                <w:bCs w:val="false"/>
                <w:sz w:val="20"/>
                <w:szCs w:val="20"/>
              </w:rPr>
              <w:t xml:space="preserve">ISO</w:t>
            </w:r>
          </w:p>
        </w:tc>
        <w:tc>
          <w:tcPr>
            <w:tcW w:type="dxa" w:w="7226"/>
            <w:tcMar>
              <w:top w:type="dxa" w:w="60"/>
              <w:left w:type="dxa" w:w="100"/>
              <w:bottom w:type="dxa" w:w="60"/>
              <w:right w:type="dxa" w:w="100"/>
            </w:tcMar>
          </w:tcPr>
          <w:p>
            <w:pPr>
              <w:spacing w:after="0"/>
            </w:pPr>
            <w:r>
              <w:rPr>
                <w:b w:val="false"/>
                <w:bCs w:val="false"/>
                <w:sz w:val="20"/>
                <w:szCs w:val="20"/>
              </w:rPr>
              <w:t xml:space="preserve">International Organization for Standardization</w:t>
            </w:r>
          </w:p>
        </w:tc>
      </w:tr>
      <w:tr>
        <w:tc>
          <w:tcPr>
            <w:tcW w:type="dxa" w:w="1800"/>
            <w:tcMar>
              <w:top w:type="dxa" w:w="60"/>
              <w:left w:type="dxa" w:w="100"/>
              <w:bottom w:type="dxa" w:w="60"/>
              <w:right w:type="dxa" w:w="100"/>
            </w:tcMar>
          </w:tcPr>
          <w:p>
            <w:pPr>
              <w:spacing w:after="0"/>
            </w:pPr>
            <w:r>
              <w:rPr>
                <w:b w:val="false"/>
                <w:bCs w:val="false"/>
                <w:sz w:val="20"/>
                <w:szCs w:val="20"/>
              </w:rPr>
              <w:t xml:space="preserve">IT</w:t>
            </w:r>
          </w:p>
        </w:tc>
        <w:tc>
          <w:tcPr>
            <w:tcW w:type="dxa" w:w="7226"/>
            <w:tcMar>
              <w:top w:type="dxa" w:w="60"/>
              <w:left w:type="dxa" w:w="100"/>
              <w:bottom w:type="dxa" w:w="60"/>
              <w:right w:type="dxa" w:w="100"/>
            </w:tcMar>
          </w:tcPr>
          <w:p>
            <w:pPr>
              <w:spacing w:after="0"/>
            </w:pPr>
            <w:r>
              <w:rPr>
                <w:b w:val="false"/>
                <w:bCs w:val="false"/>
                <w:sz w:val="20"/>
                <w:szCs w:val="20"/>
              </w:rPr>
              <w:t xml:space="preserve">Information Technology</w:t>
            </w:r>
          </w:p>
        </w:tc>
      </w:tr>
      <w:tr>
        <w:tc>
          <w:tcPr>
            <w:tcW w:type="dxa" w:w="1800"/>
            <w:tcMar>
              <w:top w:type="dxa" w:w="60"/>
              <w:left w:type="dxa" w:w="100"/>
              <w:bottom w:type="dxa" w:w="60"/>
              <w:right w:type="dxa" w:w="100"/>
            </w:tcMar>
          </w:tcPr>
          <w:p>
            <w:pPr>
              <w:spacing w:after="0"/>
            </w:pPr>
            <w:r>
              <w:rPr>
                <w:b w:val="false"/>
                <w:bCs w:val="false"/>
                <w:sz w:val="20"/>
                <w:szCs w:val="20"/>
              </w:rPr>
              <w:t xml:space="preserve">JSON</w:t>
            </w:r>
          </w:p>
        </w:tc>
        <w:tc>
          <w:tcPr>
            <w:tcW w:type="dxa" w:w="7226"/>
            <w:tcMar>
              <w:top w:type="dxa" w:w="60"/>
              <w:left w:type="dxa" w:w="100"/>
              <w:bottom w:type="dxa" w:w="60"/>
              <w:right w:type="dxa" w:w="100"/>
            </w:tcMar>
          </w:tcPr>
          <w:p>
            <w:pPr>
              <w:spacing w:after="0"/>
            </w:pPr>
            <w:r>
              <w:rPr>
                <w:b w:val="false"/>
                <w:bCs w:val="false"/>
                <w:sz w:val="20"/>
                <w:szCs w:val="20"/>
              </w:rPr>
              <w:t xml:space="preserve">JavaScript Object Notation</w:t>
            </w:r>
          </w:p>
        </w:tc>
      </w:tr>
      <w:tr>
        <w:tc>
          <w:tcPr>
            <w:tcW w:type="dxa" w:w="1800"/>
            <w:tcMar>
              <w:top w:type="dxa" w:w="60"/>
              <w:left w:type="dxa" w:w="100"/>
              <w:bottom w:type="dxa" w:w="60"/>
              <w:right w:type="dxa" w:w="100"/>
            </w:tcMar>
          </w:tcPr>
          <w:p>
            <w:pPr>
              <w:spacing w:after="0"/>
            </w:pPr>
            <w:r>
              <w:rPr>
                <w:b w:val="false"/>
                <w:bCs w:val="false"/>
                <w:sz w:val="20"/>
                <w:szCs w:val="20"/>
              </w:rPr>
              <w:t xml:space="preserve">KPI</w:t>
            </w:r>
          </w:p>
        </w:tc>
        <w:tc>
          <w:tcPr>
            <w:tcW w:type="dxa" w:w="7226"/>
            <w:tcMar>
              <w:top w:type="dxa" w:w="60"/>
              <w:left w:type="dxa" w:w="100"/>
              <w:bottom w:type="dxa" w:w="60"/>
              <w:right w:type="dxa" w:w="100"/>
            </w:tcMar>
          </w:tcPr>
          <w:p>
            <w:pPr>
              <w:spacing w:after="0"/>
            </w:pPr>
            <w:r>
              <w:rPr>
                <w:b w:val="false"/>
                <w:bCs w:val="false"/>
                <w:sz w:val="20"/>
                <w:szCs w:val="20"/>
              </w:rPr>
              <w:t xml:space="preserve">Key Performance Indicator</w:t>
            </w:r>
          </w:p>
        </w:tc>
      </w:tr>
      <w:tr>
        <w:tc>
          <w:tcPr>
            <w:tcW w:type="dxa" w:w="1800"/>
            <w:tcMar>
              <w:top w:type="dxa" w:w="60"/>
              <w:left w:type="dxa" w:w="100"/>
              <w:bottom w:type="dxa" w:w="60"/>
              <w:right w:type="dxa" w:w="100"/>
            </w:tcMar>
          </w:tcPr>
          <w:p>
            <w:pPr>
              <w:spacing w:after="0"/>
            </w:pPr>
            <w:r>
              <w:rPr>
                <w:b w:val="false"/>
                <w:bCs w:val="false"/>
                <w:sz w:val="20"/>
                <w:szCs w:val="20"/>
              </w:rPr>
              <w:t xml:space="preserve">LLM</w:t>
            </w:r>
          </w:p>
        </w:tc>
        <w:tc>
          <w:tcPr>
            <w:tcW w:type="dxa" w:w="7226"/>
            <w:tcMar>
              <w:top w:type="dxa" w:w="60"/>
              <w:left w:type="dxa" w:w="100"/>
              <w:bottom w:type="dxa" w:w="60"/>
              <w:right w:type="dxa" w:w="100"/>
            </w:tcMar>
          </w:tcPr>
          <w:p>
            <w:pPr>
              <w:spacing w:after="0"/>
            </w:pPr>
            <w:r>
              <w:rPr>
                <w:b w:val="false"/>
                <w:bCs w:val="false"/>
                <w:sz w:val="20"/>
                <w:szCs w:val="20"/>
              </w:rPr>
              <w:t xml:space="preserve">Large Language Model</w:t>
            </w:r>
          </w:p>
        </w:tc>
      </w:tr>
      <w:tr>
        <w:tc>
          <w:tcPr>
            <w:tcW w:type="dxa" w:w="1800"/>
            <w:tcMar>
              <w:top w:type="dxa" w:w="60"/>
              <w:left w:type="dxa" w:w="100"/>
              <w:bottom w:type="dxa" w:w="60"/>
              <w:right w:type="dxa" w:w="100"/>
            </w:tcMar>
          </w:tcPr>
          <w:p>
            <w:pPr>
              <w:spacing w:after="0"/>
            </w:pPr>
            <w:r>
              <w:rPr>
                <w:b w:val="false"/>
                <w:bCs w:val="false"/>
                <w:sz w:val="20"/>
                <w:szCs w:val="20"/>
              </w:rPr>
              <w:t xml:space="preserve">NIST</w:t>
            </w:r>
          </w:p>
        </w:tc>
        <w:tc>
          <w:tcPr>
            <w:tcW w:type="dxa" w:w="7226"/>
            <w:tcMar>
              <w:top w:type="dxa" w:w="60"/>
              <w:left w:type="dxa" w:w="100"/>
              <w:bottom w:type="dxa" w:w="60"/>
              <w:right w:type="dxa" w:w="100"/>
            </w:tcMar>
          </w:tcPr>
          <w:p>
            <w:pPr>
              <w:spacing w:after="0"/>
            </w:pPr>
            <w:r>
              <w:rPr>
                <w:b w:val="false"/>
                <w:bCs w:val="false"/>
                <w:sz w:val="20"/>
                <w:szCs w:val="20"/>
              </w:rPr>
              <w:t xml:space="preserve">National Institute of Standards and Technology</w:t>
            </w:r>
          </w:p>
        </w:tc>
      </w:tr>
      <w:tr>
        <w:tc>
          <w:tcPr>
            <w:tcW w:type="dxa" w:w="1800"/>
            <w:tcMar>
              <w:top w:type="dxa" w:w="60"/>
              <w:left w:type="dxa" w:w="100"/>
              <w:bottom w:type="dxa" w:w="60"/>
              <w:right w:type="dxa" w:w="100"/>
            </w:tcMar>
          </w:tcPr>
          <w:p>
            <w:pPr>
              <w:spacing w:after="0"/>
            </w:pPr>
            <w:r>
              <w:rPr>
                <w:b w:val="false"/>
                <w:bCs w:val="false"/>
                <w:sz w:val="20"/>
                <w:szCs w:val="20"/>
              </w:rPr>
              <w:t xml:space="preserve">OT</w:t>
            </w:r>
          </w:p>
        </w:tc>
        <w:tc>
          <w:tcPr>
            <w:tcW w:type="dxa" w:w="7226"/>
            <w:tcMar>
              <w:top w:type="dxa" w:w="60"/>
              <w:left w:type="dxa" w:w="100"/>
              <w:bottom w:type="dxa" w:w="60"/>
              <w:right w:type="dxa" w:w="100"/>
            </w:tcMar>
          </w:tcPr>
          <w:p>
            <w:pPr>
              <w:spacing w:after="0"/>
            </w:pPr>
            <w:r>
              <w:rPr>
                <w:b w:val="false"/>
                <w:bCs w:val="false"/>
                <w:sz w:val="20"/>
                <w:szCs w:val="20"/>
              </w:rPr>
              <w:t xml:space="preserve">Operational Technology</w:t>
            </w:r>
          </w:p>
        </w:tc>
      </w:tr>
      <w:tr>
        <w:tc>
          <w:tcPr>
            <w:tcW w:type="dxa" w:w="1800"/>
            <w:tcMar>
              <w:top w:type="dxa" w:w="60"/>
              <w:left w:type="dxa" w:w="100"/>
              <w:bottom w:type="dxa" w:w="60"/>
              <w:right w:type="dxa" w:w="100"/>
            </w:tcMar>
          </w:tcPr>
          <w:p>
            <w:pPr>
              <w:spacing w:after="0"/>
            </w:pPr>
            <w:r>
              <w:rPr>
                <w:b w:val="false"/>
                <w:bCs w:val="false"/>
                <w:sz w:val="20"/>
                <w:szCs w:val="20"/>
              </w:rPr>
              <w:t xml:space="preserve">PDF</w:t>
            </w:r>
          </w:p>
        </w:tc>
        <w:tc>
          <w:tcPr>
            <w:tcW w:type="dxa" w:w="7226"/>
            <w:tcMar>
              <w:top w:type="dxa" w:w="60"/>
              <w:left w:type="dxa" w:w="100"/>
              <w:bottom w:type="dxa" w:w="60"/>
              <w:right w:type="dxa" w:w="100"/>
            </w:tcMar>
          </w:tcPr>
          <w:p>
            <w:pPr>
              <w:spacing w:after="0"/>
            </w:pPr>
            <w:r>
              <w:rPr>
                <w:b w:val="false"/>
                <w:bCs w:val="false"/>
                <w:sz w:val="20"/>
                <w:szCs w:val="20"/>
              </w:rPr>
              <w:t xml:space="preserve">Portable Document Format</w:t>
            </w:r>
          </w:p>
        </w:tc>
      </w:tr>
      <w:tr>
        <w:tc>
          <w:tcPr>
            <w:tcW w:type="dxa" w:w="1800"/>
            <w:tcMar>
              <w:top w:type="dxa" w:w="60"/>
              <w:left w:type="dxa" w:w="100"/>
              <w:bottom w:type="dxa" w:w="60"/>
              <w:right w:type="dxa" w:w="100"/>
            </w:tcMar>
          </w:tcPr>
          <w:p>
            <w:pPr>
              <w:spacing w:after="0"/>
            </w:pPr>
            <w:r>
              <w:rPr>
                <w:b w:val="false"/>
                <w:bCs w:val="false"/>
                <w:sz w:val="20"/>
                <w:szCs w:val="20"/>
              </w:rPr>
              <w:t xml:space="preserve">SAP</w:t>
            </w:r>
          </w:p>
        </w:tc>
        <w:tc>
          <w:tcPr>
            <w:tcW w:type="dxa" w:w="7226"/>
            <w:tcMar>
              <w:top w:type="dxa" w:w="60"/>
              <w:left w:type="dxa" w:w="100"/>
              <w:bottom w:type="dxa" w:w="60"/>
              <w:right w:type="dxa" w:w="100"/>
            </w:tcMar>
          </w:tcPr>
          <w:p>
            <w:pPr>
              <w:spacing w:after="0"/>
            </w:pPr>
            <w:r>
              <w:rPr>
                <w:b w:val="false"/>
                <w:bCs w:val="false"/>
                <w:sz w:val="20"/>
                <w:szCs w:val="20"/>
              </w:rPr>
              <w:t xml:space="preserve">Systems, Applications, and Products (in Data Processing)</w:t>
            </w:r>
          </w:p>
        </w:tc>
      </w:tr>
      <w:tr>
        <w:tc>
          <w:tcPr>
            <w:tcW w:type="dxa" w:w="1800"/>
            <w:tcMar>
              <w:top w:type="dxa" w:w="60"/>
              <w:left w:type="dxa" w:w="100"/>
              <w:bottom w:type="dxa" w:w="60"/>
              <w:right w:type="dxa" w:w="100"/>
            </w:tcMar>
          </w:tcPr>
          <w:p>
            <w:pPr>
              <w:spacing w:after="0"/>
            </w:pPr>
            <w:r>
              <w:rPr>
                <w:b w:val="false"/>
                <w:bCs w:val="false"/>
                <w:sz w:val="20"/>
                <w:szCs w:val="20"/>
              </w:rPr>
              <w:t xml:space="preserve">STRIDE</w:t>
            </w:r>
          </w:p>
        </w:tc>
        <w:tc>
          <w:tcPr>
            <w:tcW w:type="dxa" w:w="7226"/>
            <w:tcMar>
              <w:top w:type="dxa" w:w="60"/>
              <w:left w:type="dxa" w:w="100"/>
              <w:bottom w:type="dxa" w:w="60"/>
              <w:right w:type="dxa" w:w="100"/>
            </w:tcMar>
          </w:tcPr>
          <w:p>
            <w:pPr>
              <w:spacing w:after="0"/>
            </w:pPr>
            <w:r>
              <w:rPr>
                <w:b w:val="false"/>
                <w:bCs w:val="false"/>
                <w:sz w:val="20"/>
                <w:szCs w:val="20"/>
              </w:rPr>
              <w:t xml:space="preserve">Spoofing, Tampering, Repudiation, Information Disclosure, Denial of Service, Elevation of Privilege</w:t>
            </w:r>
          </w:p>
        </w:tc>
      </w:tr>
      <w:tr>
        <w:tc>
          <w:tcPr>
            <w:tcW w:type="dxa" w:w="1800"/>
            <w:tcMar>
              <w:top w:type="dxa" w:w="60"/>
              <w:left w:type="dxa" w:w="100"/>
              <w:bottom w:type="dxa" w:w="60"/>
              <w:right w:type="dxa" w:w="100"/>
            </w:tcMar>
          </w:tcPr>
          <w:p>
            <w:pPr>
              <w:spacing w:after="0"/>
            </w:pPr>
            <w:r>
              <w:rPr>
                <w:b w:val="false"/>
                <w:bCs w:val="false"/>
                <w:sz w:val="20"/>
                <w:szCs w:val="20"/>
              </w:rPr>
              <w:t xml:space="preserve">UI</w:t>
            </w:r>
          </w:p>
        </w:tc>
        <w:tc>
          <w:tcPr>
            <w:tcW w:type="dxa" w:w="7226"/>
            <w:tcMar>
              <w:top w:type="dxa" w:w="60"/>
              <w:left w:type="dxa" w:w="100"/>
              <w:bottom w:type="dxa" w:w="60"/>
              <w:right w:type="dxa" w:w="100"/>
            </w:tcMar>
          </w:tcPr>
          <w:p>
            <w:pPr>
              <w:spacing w:after="0"/>
            </w:pPr>
            <w:r>
              <w:rPr>
                <w:b w:val="false"/>
                <w:bCs w:val="false"/>
                <w:sz w:val="20"/>
                <w:szCs w:val="20"/>
              </w:rPr>
              <w:t xml:space="preserve">User Interface</w:t>
            </w:r>
          </w:p>
        </w:tc>
      </w:tr>
      <w:tr>
        <w:tc>
          <w:tcPr>
            <w:tcW w:type="dxa" w:w="1800"/>
            <w:tcMar>
              <w:top w:type="dxa" w:w="60"/>
              <w:left w:type="dxa" w:w="100"/>
              <w:bottom w:type="dxa" w:w="60"/>
              <w:right w:type="dxa" w:w="100"/>
            </w:tcMar>
          </w:tcPr>
          <w:p>
            <w:pPr>
              <w:spacing w:after="0"/>
            </w:pPr>
            <w:r>
              <w:rPr>
                <w:b w:val="false"/>
                <w:bCs w:val="false"/>
                <w:sz w:val="20"/>
                <w:szCs w:val="20"/>
              </w:rPr>
              <w:t xml:space="preserve">UTC</w:t>
            </w:r>
          </w:p>
        </w:tc>
        <w:tc>
          <w:tcPr>
            <w:tcW w:type="dxa" w:w="7226"/>
            <w:tcMar>
              <w:top w:type="dxa" w:w="60"/>
              <w:left w:type="dxa" w:w="100"/>
              <w:bottom w:type="dxa" w:w="60"/>
              <w:right w:type="dxa" w:w="100"/>
            </w:tcMar>
          </w:tcPr>
          <w:p>
            <w:pPr>
              <w:spacing w:after="0"/>
            </w:pPr>
            <w:r>
              <w:rPr>
                <w:b w:val="false"/>
                <w:bCs w:val="false"/>
                <w:sz w:val="20"/>
                <w:szCs w:val="20"/>
              </w:rPr>
              <w:t xml:space="preserve">Coordinated Universal Time</w:t>
            </w:r>
          </w:p>
        </w:tc>
      </w:tr>
    </w:tbl>
    <w:p>
      <w:r>
        <w:br w:type="page"/>
      </w:r>
    </w:p>
    <w:p>
      <w:pPr>
        <w:spacing w:after="200"/>
      </w:pPr>
      <w:r>
        <w:rPr>
          <w:b/>
          <w:bCs/>
          <w:sz w:val="28"/>
          <w:szCs w:val="28"/>
        </w:rPr>
        <w:t xml:space="preserve">Table of Contents</w:t>
      </w:r>
    </w:p>
    <w:p>
      <w:pPr>
        <w:tabs>
          <w:tab w:val="right" w:pos="9026" w:leader="dot"/>
        </w:tabs>
        <w:spacing w:after="80"/>
        <w:ind w:left="0"/>
      </w:pPr>
      <w:r>
        <w:t xml:space="preserve">1. Overview</w:t>
      </w:r>
      <w:r>
        <w:tab/>
        <w:t xml:space="preserve">5</w:t>
      </w:r>
    </w:p>
    <w:p>
      <w:pPr>
        <w:tabs>
          <w:tab w:val="right" w:pos="9026" w:leader="dot"/>
        </w:tabs>
        <w:spacing w:after="80"/>
        <w:ind w:left="0"/>
      </w:pPr>
      <w:r>
        <w:t xml:space="preserve">2. Functional Description</w:t>
      </w:r>
      <w:r>
        <w:tab/>
        <w:t xml:space="preserve">5</w:t>
      </w:r>
    </w:p>
    <w:p>
      <w:pPr>
        <w:tabs>
          <w:tab w:val="right" w:pos="9026" w:leader="dot"/>
        </w:tabs>
        <w:spacing w:after="80"/>
        <w:ind w:left="360"/>
      </w:pPr>
      <w:r>
        <w:t xml:space="preserve">2.1 Asset Context Resolution</w:t>
      </w:r>
      <w:r>
        <w:tab/>
        <w:t xml:space="preserve">5</w:t>
      </w:r>
    </w:p>
    <w:p>
      <w:pPr>
        <w:tabs>
          <w:tab w:val="right" w:pos="9026" w:leader="dot"/>
        </w:tabs>
        <w:spacing w:after="80"/>
        <w:ind w:left="360"/>
      </w:pPr>
      <w:r>
        <w:t xml:space="preserve">2.2 STRIDE Threat Identification</w:t>
      </w:r>
      <w:r>
        <w:tab/>
        <w:t xml:space="preserve">5</w:t>
      </w:r>
    </w:p>
    <w:p>
      <w:pPr>
        <w:tabs>
          <w:tab w:val="right" w:pos="9026" w:leader="dot"/>
        </w:tabs>
        <w:spacing w:after="80"/>
        <w:ind w:left="360"/>
      </w:pPr>
      <w:r>
        <w:t xml:space="preserve">2.3 Threat Scenarios</w:t>
      </w:r>
      <w:r>
        <w:tab/>
        <w:t xml:space="preserve">6</w:t>
      </w:r>
    </w:p>
    <w:p>
      <w:pPr>
        <w:tabs>
          <w:tab w:val="right" w:pos="9026" w:leader="dot"/>
        </w:tabs>
        <w:spacing w:after="80"/>
        <w:ind w:left="0"/>
      </w:pPr>
      <w:r>
        <w:t xml:space="preserve">3. Architecture Description</w:t>
      </w:r>
      <w:r>
        <w:tab/>
        <w:t xml:space="preserve">7</w:t>
      </w:r>
    </w:p>
    <w:p>
      <w:pPr>
        <w:tabs>
          <w:tab w:val="right" w:pos="9026" w:leader="dot"/>
        </w:tabs>
        <w:spacing w:after="80"/>
        <w:ind w:left="360"/>
      </w:pPr>
      <w:r>
        <w:t xml:space="preserve">3.1 Asset Context Resolution</w:t>
      </w:r>
      <w:r>
        <w:tab/>
        <w:t xml:space="preserve">7</w:t>
      </w:r>
    </w:p>
    <w:p>
      <w:pPr>
        <w:tabs>
          <w:tab w:val="right" w:pos="9026" w:leader="dot"/>
        </w:tabs>
        <w:spacing w:after="80"/>
        <w:ind w:left="360"/>
      </w:pPr>
      <w:r>
        <w:t xml:space="preserve">3.2 STRIDE Threat Identification</w:t>
      </w:r>
      <w:r>
        <w:tab/>
        <w:t xml:space="preserve">7</w:t>
      </w:r>
    </w:p>
    <w:p>
      <w:pPr>
        <w:tabs>
          <w:tab w:val="right" w:pos="9026" w:leader="dot"/>
        </w:tabs>
        <w:spacing w:after="80"/>
        <w:ind w:left="360"/>
      </w:pPr>
      <w:r>
        <w:t xml:space="preserve">3.3 Threat Scenario</w:t>
      </w:r>
      <w:r>
        <w:tab/>
        <w:t xml:space="preserve">8</w:t>
      </w:r>
    </w:p>
    <w:p>
      <w:pPr>
        <w:tabs>
          <w:tab w:val="right" w:pos="9026" w:leader="dot"/>
        </w:tabs>
        <w:spacing w:after="80"/>
        <w:ind w:left="0"/>
      </w:pPr>
      <w:r>
        <w:t xml:space="preserve">4. Platform Integration</w:t>
      </w:r>
      <w:r>
        <w:tab/>
        <w:t xml:space="preserve">9</w:t>
      </w:r>
    </w:p>
    <w:p>
      <w:pPr>
        <w:tabs>
          <w:tab w:val="right" w:pos="9026" w:leader="dot"/>
        </w:tabs>
        <w:spacing w:after="80"/>
        <w:ind w:left="360"/>
      </w:pPr>
      <w:r>
        <w:t xml:space="preserve">4.1 Asset Selection</w:t>
      </w:r>
      <w:r>
        <w:tab/>
        <w:t xml:space="preserve">9</w:t>
      </w:r>
    </w:p>
    <w:p>
      <w:pPr>
        <w:tabs>
          <w:tab w:val="right" w:pos="9026" w:leader="dot"/>
        </w:tabs>
        <w:spacing w:after="80"/>
        <w:ind w:left="360"/>
      </w:pPr>
      <w:r>
        <w:t xml:space="preserve">4.2 Threat Scenario Review</w:t>
      </w:r>
      <w:r>
        <w:tab/>
        <w:t xml:space="preserve">9</w:t>
      </w:r>
    </w:p>
    <w:p>
      <w:pPr>
        <w:tabs>
          <w:tab w:val="right" w:pos="9026" w:leader="dot"/>
        </w:tabs>
        <w:spacing w:after="80"/>
        <w:ind w:left="0"/>
      </w:pPr>
      <w:r>
        <w:t xml:space="preserve">5. Governance</w:t>
      </w:r>
      <w:r>
        <w:tab/>
        <w:t xml:space="preserve">9</w:t>
      </w:r>
    </w:p>
    <w:p>
      <w:pPr>
        <w:tabs>
          <w:tab w:val="right" w:pos="9026" w:leader="dot"/>
        </w:tabs>
        <w:spacing w:after="80"/>
        <w:ind w:left="360"/>
      </w:pPr>
      <w:r>
        <w:t xml:space="preserve">5.1 Security</w:t>
      </w:r>
      <w:r>
        <w:tab/>
        <w:t xml:space="preserve">9</w:t>
      </w:r>
    </w:p>
    <w:p>
      <w:pPr>
        <w:tabs>
          <w:tab w:val="right" w:pos="9026" w:leader="dot"/>
        </w:tabs>
        <w:spacing w:after="80"/>
        <w:ind w:left="360"/>
      </w:pPr>
      <w:r>
        <w:t xml:space="preserve">5.2 Explainability and Auditability</w:t>
      </w:r>
      <w:r>
        <w:tab/>
        <w:t xml:space="preserve">10</w:t>
      </w:r>
    </w:p>
    <w:p>
      <w:pPr>
        <w:tabs>
          <w:tab w:val="right" w:pos="9026" w:leader="dot"/>
        </w:tabs>
        <w:spacing w:after="80"/>
        <w:ind w:left="360"/>
      </w:pPr>
      <w:r>
        <w:t xml:space="preserve">5.3 Performance and Scalability</w:t>
      </w:r>
      <w:r>
        <w:tab/>
        <w:t xml:space="preserve">10</w:t>
      </w:r>
    </w:p>
    <w:p>
      <w:r>
        <w:br w:type="page"/>
      </w:r>
    </w:p>
    <w:p>
      <w:pPr>
        <w:pStyle w:val="Heading1"/>
      </w:pPr>
      <w:r>
        <w:t xml:space="preserve">1. Overview</w:t>
      </w:r>
    </w:p>
    <w:p>
      <w:pPr>
        <w:spacing w:after="140"/>
      </w:pPr>
      <w:r>
        <w:t xml:space="preserve">The Threat Scenario Generator is an AI-assisted capability that helps users create consistent and reviewable threat scenarios for Critical Information Infrastructure (CII) assets. It combines the selected asset's information, its supporting system context, the STRIDE threat model, an approved Threat Library, and an approved Control Library to produce a complete, reviewable set of threat scenarios for the asset. The user reviews and accepts the AI's output before anything is saved.</w:t>
      </w:r>
    </w:p>
    <w:p>
      <w:pPr>
        <w:spacing w:after="140"/>
      </w:pPr>
      <w:r>
        <w:t xml:space="preserve">The goal is to make threat modelling faster, more consistent, and easier to govern. Instead of writing threat scenarios from scratch, the user works on one selected asset at a time. When the asset is selected, the system resolves its supporting systems, services, and business context (sector, subsector, criticality) directly from platform data. That context is then used to identify relevant STRIDE-aligned threats, to generate threat scenario narratives, and to recommend controls from the approved Control Library.</w:t>
      </w:r>
    </w:p>
    <w:p>
      <w:pPr>
        <w:spacing w:after="140"/>
      </w:pPr>
      <w:r>
        <w:t xml:space="preserve">AI output never becomes final automatically. Nothing is finalized without an explicit human decision. The user reviews the generated scenarios and decides on each one individually. Only user-accepted content is saved and carried forward, which keeps the final output controlled, validated, and suitable for downstream risk assessment.</w:t>
      </w:r>
    </w:p>
    <w:p>
      <w:pPr>
        <w:pStyle w:val="Heading1"/>
      </w:pPr>
      <w:r>
        <w:t xml:space="preserve">2. Functional Description</w:t>
      </w:r>
    </w:p>
    <w:p>
      <w:pPr>
        <w:spacing w:after="140"/>
      </w:pPr>
      <w:r>
        <w:t xml:space="preserve">The solution has three functional components that run in sequence for the selected asset: Asset Context Resolution, STRIDE Threat Identification, and Threat Scenario Generation.</w:t>
      </w:r>
    </w:p>
    <w:p>
      <w:pPr>
        <w:pStyle w:val="Heading2"/>
      </w:pPr>
      <w:r>
        <w:t xml:space="preserve">2.1 Asset Context Resolution</w:t>
      </w:r>
    </w:p>
    <w:p>
      <w:pPr>
        <w:spacing w:after="140"/>
      </w:pPr>
      <w:r>
        <w:t xml:space="preserve">When a session is created, the system resolves the asset's supporting systems, services, and business context (sector, subsector, criticality) directly from platform data. This is a deterministic, code-driven step — no AI is involved. The resolved context is frozen into an auditable snapshot, so the record of “what the model saw” never changes even if the source data does later. Sensitive values and internal identifiers are removed before the snapshot reaches the AI.</w:t>
      </w:r>
    </w:p>
    <w:p>
      <w:pPr>
        <w:keepNext/>
        <w:keepLines/>
        <w:spacing w:after="0" w:before="0"/>
        <w:ind w:left="240"/>
      </w:pPr>
      <w:r>
        <w:rPr>
          <w:rFonts w:ascii="Consolas" w:cs="Consolas" w:eastAsia="Consolas" w:hAnsi="Consolas"/>
          <w:sz w:val="15"/>
          <w:szCs w:val="15"/>
        </w:rPr>
        <w:t xml:space="preserve">platform data (read-only)</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asset record ................ type, criticality, description, service</w:t>
      </w:r>
    </w:p>
    <w:p>
      <w:pPr>
        <w:keepNext/>
        <w:keepLines/>
        <w:spacing w:after="0" w:before="0"/>
        <w:ind w:left="240"/>
      </w:pPr>
      <w:r>
        <w:rPr>
          <w:rFonts w:ascii="Consolas" w:cs="Consolas" w:eastAsia="Consolas" w:hAnsi="Consolas"/>
          <w:sz w:val="15"/>
          <w:szCs w:val="15"/>
        </w:rPr>
        <w:t xml:space="preserve">    ├── supporting systems .......... technology used, hosting, criticality</w:t>
      </w:r>
    </w:p>
    <w:p>
      <w:pPr>
        <w:keepNext/>
        <w:keepLines/>
        <w:spacing w:after="0" w:before="0"/>
        <w:ind w:left="240"/>
      </w:pPr>
      <w:r>
        <w:rPr>
          <w:rFonts w:ascii="Consolas" w:cs="Consolas" w:eastAsia="Consolas" w:hAnsi="Consolas"/>
          <w:sz w:val="15"/>
          <w:szCs w:val="15"/>
        </w:rPr>
        <w:t xml:space="preserve">    ├── sector and services ......... sector, subsector, critical service</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frozen context snapshot ── sealed once per session, never updated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val="false"/>
        <w:keepLines/>
        <w:spacing w:after="0" w:before="0"/>
        <w:ind w:left="240"/>
      </w:pPr>
      <w:r>
        <w:rPr>
          <w:rFonts w:ascii="Consolas" w:cs="Consolas" w:eastAsia="Consolas" w:hAnsi="Consolas"/>
          <w:sz w:val="15"/>
          <w:szCs w:val="15"/>
        </w:rPr>
        <w:t xml:space="preserve">sensitive values and internal database keys removed before AI use</w:t>
      </w:r>
    </w:p>
    <w:p>
      <w:pPr>
        <w:spacing w:after="240"/>
      </w:pPr>
    </w:p>
    <w:p>
      <w:pPr>
        <w:pStyle w:val="Heading2"/>
      </w:pPr>
      <w:r>
        <w:t xml:space="preserve">2.2 STRIDE Threat Identification</w:t>
      </w:r>
    </w:p>
    <w:p>
      <w:pPr>
        <w:spacing w:after="140"/>
      </w:pPr>
      <w:r>
        <w:t xml:space="preserve">The STRIDE Threat Identification component identifies relevant STRIDE-aligned threats for the selected asset.</w:t>
      </w:r>
    </w:p>
    <w:p>
      <w:pPr>
        <w:spacing w:after="140"/>
      </w:pPr>
      <w:r>
        <w:t xml:space="preserve">The approved Threat Library is consulted first. Candidate threats are shortlisted through three filters:</w:t>
      </w:r>
    </w:p>
    <w:p>
      <w:pPr>
        <w:pStyle w:val="ListParagraph"/>
        <w:numPr>
          <w:ilvl w:val="0"/>
          <w:numId w:val="2"/>
        </w:numPr>
        <w:spacing w:after="60"/>
      </w:pPr>
      <w:r>
        <w:t xml:space="preserve">A sector filter keeps threats marked for this sector, plus those marked for all sectors.</w:t>
      </w:r>
    </w:p>
    <w:p>
      <w:pPr>
        <w:pStyle w:val="ListParagraph"/>
        <w:numPr>
          <w:ilvl w:val="0"/>
          <w:numId w:val="2"/>
        </w:numPr>
        <w:spacing w:after="60"/>
      </w:pPr>
      <w:r>
        <w:t xml:space="preserve">A technology gate excludes threat types that apply to none of the asset's supporting systems.</w:t>
      </w:r>
    </w:p>
    <w:p>
      <w:pPr>
        <w:pStyle w:val="ListParagraph"/>
        <w:numPr>
          <w:ilvl w:val="0"/>
          <w:numId w:val="2"/>
        </w:numPr>
        <w:spacing w:after="60"/>
      </w:pPr>
      <w:r>
        <w:t xml:space="preserve">An adversary-intelligence step brings back the techniques of threat groups known to operate in the sector.</w:t>
      </w:r>
    </w:p>
    <w:p>
      <w:pPr>
        <w:spacing w:after="140"/>
      </w:pPr>
      <w:r>
        <w:t xml:space="preserve">The AI then judges each shortlisted candidate's relevance to this asset, with a recorded reason; threats judged not relevant are dropped. In this step the AI selects from the approved library; it does not create new threats.</w:t>
      </w:r>
    </w:p>
    <w:p>
      <w:pPr>
        <w:spacing w:after="140"/>
      </w:pPr>
      <w:r>
        <w:t xml:space="preserve">The selected threats are balanced across the six STRIDE categories. Where the library holds nothing for a category, the AI proposes candidate threat attributes — Threat Type, Threat Name, and Threat Actor — to fill the gap. These proposals are suggestions only.</w:t>
      </w:r>
    </w:p>
    <w:p>
      <w:pPr>
        <w:spacing w:after="140"/>
      </w:pPr>
      <w:r>
        <w:t xml:space="preserve">Every proposed threat is then validated against the approved Threat Library before it is used further. STRIDE is the authoritative model for the Threat Category, while the Threat Library is the source of truth for the Threat Type, Threat Name, and Threat Actor. If an AI-proposed threat cannot be confirmed against the Threat Library, it is not silently accepted: it is flagged for review by the admin, but it is never added to the library automatically. The admin can accept or reject each flagged threat individually.</w:t>
      </w:r>
    </w:p>
    <w:p>
      <w:pPr>
        <w:keepNext/>
        <w:keepLines/>
        <w:spacing w:after="0" w:before="0"/>
        <w:ind w:left="240"/>
      </w:pPr>
      <w:r>
        <w:rPr>
          <w:rFonts w:ascii="Consolas" w:cs="Consolas" w:eastAsia="Consolas" w:hAnsi="Consolas"/>
          <w:sz w:val="15"/>
          <w:szCs w:val="15"/>
        </w:rPr>
        <w:t xml:space="preserve">approved Threat Library</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sector filter ............... keeps this sector plus "all sectors"</w:t>
      </w:r>
    </w:p>
    <w:p>
      <w:pPr>
        <w:keepNext/>
        <w:keepLines/>
        <w:spacing w:after="0" w:before="0"/>
        <w:ind w:left="240"/>
      </w:pPr>
      <w:r>
        <w:rPr>
          <w:rFonts w:ascii="Consolas" w:cs="Consolas" w:eastAsia="Consolas" w:hAnsi="Consolas"/>
          <w:sz w:val="15"/>
          <w:szCs w:val="15"/>
        </w:rPr>
        <w:t xml:space="preserve">    ├── technology gate ............. drops threat types that apply to none of the supporting systems</w:t>
      </w:r>
    </w:p>
    <w:p>
      <w:pPr>
        <w:keepNext/>
        <w:keepLines/>
        <w:spacing w:after="0" w:before="0"/>
        <w:ind w:left="240"/>
      </w:pPr>
      <w:r>
        <w:rPr>
          <w:rFonts w:ascii="Consolas" w:cs="Consolas" w:eastAsia="Consolas" w:hAnsi="Consolas"/>
          <w:sz w:val="15"/>
          <w:szCs w:val="15"/>
        </w:rPr>
        <w:t xml:space="preserve">    ├── adversary intel ............. brings back techniques of groups active in the sector</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candidate shortlist ──&gt; AI relevance check (selects from the library only; reasons recorded)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balance across the six STRIDE categories</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category filled ────&gt; library threat kept</w:t>
      </w:r>
    </w:p>
    <w:p>
      <w:pPr>
        <w:keepNext/>
        <w:keepLines/>
        <w:spacing w:after="0" w:before="0"/>
        <w:ind w:left="240"/>
      </w:pPr>
      <w:r>
        <w:rPr>
          <w:rFonts w:ascii="Consolas" w:cs="Consolas" w:eastAsia="Consolas" w:hAnsi="Consolas"/>
          <w:sz w:val="15"/>
          <w:szCs w:val="15"/>
        </w:rPr>
        <w:t xml:space="preserve">    └── category unfilled ──&gt; AI proposes a threat ──&gt; validated against the library</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confirmed ─────&gt; library entry adopted</w:t>
      </w:r>
    </w:p>
    <w:p>
      <w:pPr>
        <w:keepNext/>
        <w:keepLines/>
        <w:spacing w:after="0" w:before="0"/>
        <w:ind w:left="240"/>
      </w:pPr>
      <w:r>
        <w:rPr>
          <w:rFonts w:ascii="Consolas" w:cs="Consolas" w:eastAsia="Consolas" w:hAnsi="Consolas"/>
          <w:sz w:val="15"/>
          <w:szCs w:val="15"/>
        </w:rPr>
        <w:t xml:space="preserve">                                  └── not confirmed ─&gt; flagged for admin review;</w:t>
      </w:r>
    </w:p>
    <w:p>
      <w:pPr>
        <w:keepNext w:val="false"/>
        <w:keepLines/>
        <w:spacing w:after="0" w:before="0"/>
        <w:ind w:left="240"/>
      </w:pPr>
      <w:r>
        <w:rPr>
          <w:rFonts w:ascii="Consolas" w:cs="Consolas" w:eastAsia="Consolas" w:hAnsi="Consolas"/>
          <w:sz w:val="15"/>
          <w:szCs w:val="15"/>
        </w:rPr>
        <w:t xml:space="preserve">                                                       never added automatically</w:t>
      </w:r>
    </w:p>
    <w:p>
      <w:pPr>
        <w:spacing w:after="240"/>
      </w:pPr>
    </w:p>
    <w:p>
      <w:pPr>
        <w:pStyle w:val="Heading2"/>
      </w:pPr>
      <w:r>
        <w:t xml:space="preserve">2.3 Threat Scenarios</w:t>
      </w:r>
    </w:p>
    <w:p>
      <w:pPr>
        <w:spacing w:after="140"/>
      </w:pPr>
      <w:r>
        <w:t xml:space="preserve">The Threat Scenario Generation component generates the final threat scenario narratives.</w:t>
      </w:r>
    </w:p>
    <w:p>
      <w:pPr>
        <w:spacing w:after="140"/>
      </w:pPr>
      <w:r>
        <w:t xml:space="preserve">For each selected threat, the AI uses the asset context, prompt, and the validated STRIDE threat attributes to generate a scenario narrative. The narrative covers the scenario title, scenario statement, and risk statement. Controls are then matched to the scenario from the approved Control Library, so every recommended control is a real, approved control rather than AI-generated text.</w:t>
      </w:r>
    </w:p>
    <w:p>
      <w:pPr>
        <w:spacing w:after="140"/>
      </w:pPr>
      <w:r>
        <w:t xml:space="preserve">The generated scenarios are displayed to the user, who can accept all, accept a subset, reject scenarios, or regenerate specific scenarios. Each decision is recorded per scenario, with who made it and when. Only accepted scenarios are made available downstream.</w:t>
      </w:r>
    </w:p>
    <w:p>
      <w:pPr>
        <w:keepNext/>
        <w:keepLines/>
        <w:spacing w:after="0" w:before="0"/>
        <w:ind w:left="240"/>
      </w:pPr>
      <w:r>
        <w:rPr>
          <w:rFonts w:ascii="Consolas" w:cs="Consolas" w:eastAsia="Consolas" w:hAnsi="Consolas"/>
          <w:sz w:val="15"/>
          <w:szCs w:val="15"/>
        </w:rPr>
        <w:t xml:space="preserve">each selected threat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AI generates one scenario narrative</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scenario title</w:t>
      </w:r>
    </w:p>
    <w:p>
      <w:pPr>
        <w:keepNext/>
        <w:keepLines/>
        <w:spacing w:after="0" w:before="0"/>
        <w:ind w:left="240"/>
      </w:pPr>
      <w:r>
        <w:rPr>
          <w:rFonts w:ascii="Consolas" w:cs="Consolas" w:eastAsia="Consolas" w:hAnsi="Consolas"/>
          <w:sz w:val="15"/>
          <w:szCs w:val="15"/>
        </w:rPr>
        <w:t xml:space="preserve">    ├── scenario statement</w:t>
      </w:r>
    </w:p>
    <w:p>
      <w:pPr>
        <w:keepNext/>
        <w:keepLines/>
        <w:spacing w:after="0" w:before="0"/>
        <w:ind w:left="240"/>
      </w:pPr>
      <w:r>
        <w:rPr>
          <w:rFonts w:ascii="Consolas" w:cs="Consolas" w:eastAsia="Consolas" w:hAnsi="Consolas"/>
          <w:sz w:val="15"/>
          <w:szCs w:val="15"/>
        </w:rPr>
        <w:t xml:space="preserve">    ├── risk statement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controls matched from the approved Control Library</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user review</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accept all / accept a subset</w:t>
      </w:r>
    </w:p>
    <w:p>
      <w:pPr>
        <w:keepNext/>
        <w:keepLines/>
        <w:spacing w:after="0" w:before="0"/>
        <w:ind w:left="240"/>
      </w:pPr>
      <w:r>
        <w:rPr>
          <w:rFonts w:ascii="Consolas" w:cs="Consolas" w:eastAsia="Consolas" w:hAnsi="Consolas"/>
          <w:sz w:val="15"/>
          <w:szCs w:val="15"/>
        </w:rPr>
        <w:t xml:space="preserve">    ├── reject</w:t>
      </w:r>
    </w:p>
    <w:p>
      <w:pPr>
        <w:keepNext/>
        <w:keepLines/>
        <w:spacing w:after="0" w:before="0"/>
        <w:ind w:left="240"/>
      </w:pPr>
      <w:r>
        <w:rPr>
          <w:rFonts w:ascii="Consolas" w:cs="Consolas" w:eastAsia="Consolas" w:hAnsi="Consolas"/>
          <w:sz w:val="15"/>
          <w:szCs w:val="15"/>
        </w:rPr>
        <w:t xml:space="preserve">    ├── regenerate ──&gt; new version; the old version is retired, never deleted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val="false"/>
        <w:keepLines/>
        <w:spacing w:after="0" w:before="0"/>
        <w:ind w:left="240"/>
      </w:pPr>
      <w:r>
        <w:rPr>
          <w:rFonts w:ascii="Consolas" w:cs="Consolas" w:eastAsia="Consolas" w:hAnsi="Consolas"/>
          <w:sz w:val="15"/>
          <w:szCs w:val="15"/>
        </w:rPr>
        <w:t xml:space="preserve">only accepted scenarios are made available downstream</w:t>
      </w:r>
    </w:p>
    <w:p>
      <w:pPr>
        <w:spacing w:after="240"/>
      </w:pPr>
    </w:p>
    <w:p>
      <w:pPr>
        <w:pStyle w:val="Heading1"/>
      </w:pPr>
      <w:r>
        <w:t xml:space="preserve">3. Architecture Description</w:t>
      </w:r>
    </w:p>
    <w:p>
      <w:pPr>
        <w:spacing w:after="140"/>
      </w:pPr>
      <w:r>
        <w:t xml:space="preserve">This section describes how each component is built and how data flows through it. The whole workflow is driven as follows —</w:t>
      </w:r>
    </w:p>
    <w:p>
      <w:pPr>
        <w:keepNext/>
        <w:keepLines/>
        <w:spacing w:after="0" w:before="0"/>
        <w:ind w:left="240"/>
      </w:pPr>
      <w:r>
        <w:rPr>
          <w:rFonts w:ascii="Consolas" w:cs="Consolas" w:eastAsia="Consolas" w:hAnsi="Consolas"/>
          <w:sz w:val="15"/>
          <w:szCs w:val="15"/>
        </w:rPr>
        <w:t xml:space="preserve">CONTEXT RESOLUTION ──&gt; THREAT IDENTIFICATION ──&gt; SCENARIO GENERATION ──&gt; REVIEW ──&gt; DONE</w:t>
      </w:r>
    </w:p>
    <w:p>
      <w:pPr>
        <w:keepNext/>
        <w:keepLines/>
        <w:spacing w:after="0" w:before="0"/>
        <w:ind w:left="240"/>
      </w:pPr>
      <w:r>
        <w:rPr>
          <w:rFonts w:ascii="Consolas" w:cs="Consolas" w:eastAsia="Consolas" w:hAnsi="Consolas"/>
          <w:sz w:val="15"/>
          <w:szCs w:val="15"/>
        </w:rPr>
        <w:t xml:space="preserve">         │                       │                        │                 │</w:t>
      </w:r>
    </w:p>
    <w:p>
      <w:pPr>
        <w:keepNext/>
        <w:keepLines/>
        <w:spacing w:after="0" w:before="0"/>
        <w:ind w:left="240"/>
      </w:pPr>
      <w:r>
        <w:rPr>
          <w:rFonts w:ascii="Consolas" w:cs="Consolas" w:eastAsia="Consolas" w:hAnsi="Consolas"/>
          <w:sz w:val="15"/>
          <w:szCs w:val="15"/>
        </w:rPr>
        <w:t xml:space="preserve">   deterministic;          library first;           one narrative      human decision on</w:t>
      </w:r>
    </w:p>
    <w:p>
      <w:pPr>
        <w:keepNext/>
        <w:keepLines/>
        <w:spacing w:after="0" w:before="0"/>
        <w:ind w:left="240"/>
      </w:pPr>
      <w:r>
        <w:rPr>
          <w:rFonts w:ascii="Consolas" w:cs="Consolas" w:eastAsia="Consolas" w:hAnsi="Consolas"/>
          <w:sz w:val="15"/>
          <w:szCs w:val="15"/>
        </w:rPr>
        <w:t xml:space="preserve">   no AI involved          AI validates and         per threat, with   every scenario;</w:t>
      </w:r>
    </w:p>
    <w:p>
      <w:pPr>
        <w:keepNext/>
        <w:keepLines/>
        <w:spacing w:after="0" w:before="0"/>
        <w:ind w:left="240"/>
      </w:pPr>
      <w:r>
        <w:rPr>
          <w:rFonts w:ascii="Consolas" w:cs="Consolas" w:eastAsia="Consolas" w:hAnsi="Consolas"/>
          <w:sz w:val="15"/>
          <w:szCs w:val="15"/>
        </w:rPr>
        <w:t xml:space="preserve">                           fills the gaps           controls mapped    only accepted</w:t>
      </w:r>
    </w:p>
    <w:p>
      <w:pPr>
        <w:keepNext w:val="false"/>
        <w:keepLines/>
        <w:spacing w:after="0" w:before="0"/>
        <w:ind w:left="240"/>
      </w:pPr>
      <w:r>
        <w:rPr>
          <w:rFonts w:ascii="Consolas" w:cs="Consolas" w:eastAsia="Consolas" w:hAnsi="Consolas"/>
          <w:sz w:val="15"/>
          <w:szCs w:val="15"/>
        </w:rPr>
        <w:t xml:space="preserve">                                                                       content is saved</w:t>
      </w:r>
    </w:p>
    <w:p>
      <w:pPr>
        <w:spacing w:after="120"/>
      </w:pPr>
    </w:p>
    <w:p>
      <w:pPr>
        <w:spacing w:after="140"/>
      </w:pPr>
      <w:r>
        <w:t xml:space="preserve">Each request is accepted immediately and processed in the background; the user follows progress through live events and status polling until the session reaches review.</w:t>
      </w:r>
    </w:p>
    <w:p>
      <w:pPr>
        <w:pStyle w:val="Heading2"/>
      </w:pPr>
      <w:r>
        <w:t xml:space="preserve">3.1 Asset Context Resolution</w:t>
      </w:r>
    </w:p>
    <w:p>
      <w:pPr>
        <w:spacing w:after="140"/>
      </w:pPr>
      <w:r>
        <w:t xml:space="preserve">Asset Context Resolution runs inside the session-creation request. It reads the platform's own records for the selected asset — the asset entry, the supporting systems chosen for the assessment, and the sector and service structure — and assembles them into one context document. The platform tables are read-only to this module: it never creates or modifies platform data.</w:t>
      </w:r>
    </w:p>
    <w:p>
      <w:pPr>
        <w:spacing w:after="140"/>
      </w:pPr>
      <w:r>
        <w:t xml:space="preserve">The assembled context is sealed into the session as a snapshot at creation time. Every later stage reads the snapshot, never the live tables, so a mid-assessment change to platform data cannot alter an assessment already in flight, and the audit record of what the AI saw is exact.</w:t>
      </w:r>
    </w:p>
    <w:p>
      <w:pPr>
        <w:keepNext/>
        <w:keepLines/>
        <w:spacing w:after="0" w:before="0"/>
        <w:ind w:left="240"/>
      </w:pPr>
      <w:r>
        <w:rPr>
          <w:rFonts w:ascii="Consolas" w:cs="Consolas" w:eastAsia="Consolas" w:hAnsi="Consolas"/>
          <w:sz w:val="15"/>
          <w:szCs w:val="15"/>
        </w:rPr>
        <w:t xml:space="preserve">POST /v1/sessions (asset selected)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resolve context from platform tables (read-only; never modified)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seal the snapshot onto the session ── every later stage reads the snapshot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val="false"/>
        <w:keepLines/>
        <w:spacing w:after="0" w:before="0"/>
        <w:ind w:left="240"/>
      </w:pPr>
      <w:r>
        <w:rPr>
          <w:rFonts w:ascii="Consolas" w:cs="Consolas" w:eastAsia="Consolas" w:hAnsi="Consolas"/>
          <w:sz w:val="15"/>
          <w:szCs w:val="15"/>
        </w:rPr>
        <w:t xml:space="preserve">queue background generation ── the API responds immediately</w:t>
      </w:r>
    </w:p>
    <w:p>
      <w:pPr>
        <w:spacing w:after="240"/>
      </w:pPr>
    </w:p>
    <w:p>
      <w:pPr>
        <w:pStyle w:val="Heading2"/>
      </w:pPr>
      <w:r>
        <w:t xml:space="preserve">3.2 STRIDE Threat Identification</w:t>
      </w:r>
    </w:p>
    <w:p>
      <w:pPr>
        <w:spacing w:after="140"/>
      </w:pPr>
      <w:r>
        <w:t xml:space="preserve">The STRIDE Threat Identification process receives the sealed asset context — the asset, its supporting systems and services — together with an approved prompt. The approved Threat Library is searched first; the LLM validates the retrieved candidates and generates possible STRIDE threat attributes only for the categories the library could not fill.</w:t>
      </w:r>
    </w:p>
    <w:p>
      <w:pPr>
        <w:spacing w:after="140"/>
      </w:pPr>
      <w:r>
        <w:t xml:space="preserve">Each generated threat is validated through a deterministic grounding process to ensure it aligns with the approved Threat Library. The validation process works as follows:</w:t>
      </w:r>
    </w:p>
    <w:p>
      <w:pPr>
        <w:pStyle w:val="ListParagraph"/>
        <w:numPr>
          <w:ilvl w:val="0"/>
          <w:numId w:val="2"/>
        </w:numPr>
        <w:spacing w:after="60"/>
      </w:pPr>
      <w:r>
        <w:t xml:space="preserve">The threat text is converted into embeddings using the qwen3-embedding-8b model.</w:t>
      </w:r>
    </w:p>
    <w:p>
      <w:pPr>
        <w:pStyle w:val="ListParagraph"/>
        <w:numPr>
          <w:ilvl w:val="0"/>
          <w:numId w:val="2"/>
        </w:numPr>
        <w:spacing w:after="60"/>
      </w:pPr>
      <w:r>
        <w:t xml:space="preserve">The system compares these embeddings with the Threat Library entries using cosine similarity.</w:t>
      </w:r>
    </w:p>
    <w:p>
      <w:pPr>
        <w:pStyle w:val="ListParagraph"/>
        <w:numPr>
          <w:ilvl w:val="0"/>
          <w:numId w:val="2"/>
        </w:numPr>
        <w:spacing w:after="60"/>
      </w:pPr>
      <w:r>
        <w:t xml:space="preserve">The closest matching threat entries are retrieved from the library.</w:t>
      </w:r>
    </w:p>
    <w:p>
      <w:pPr>
        <w:pStyle w:val="ListParagraph"/>
        <w:numPr>
          <w:ilvl w:val="0"/>
          <w:numId w:val="2"/>
        </w:numPr>
        <w:spacing w:after="60"/>
      </w:pPr>
      <w:r>
        <w:t xml:space="preserve">These shortlisted matches are then reordered using the re-ranker (qwen3-reranker-8b) to improve relevance.</w:t>
      </w:r>
    </w:p>
    <w:p>
      <w:pPr>
        <w:pStyle w:val="ListParagraph"/>
        <w:numPr>
          <w:ilvl w:val="0"/>
          <w:numId w:val="2"/>
        </w:numPr>
        <w:spacing w:after="60"/>
      </w:pPr>
      <w:r>
        <w:t xml:space="preserve">A confidence threshold — calibrated automatically for the active model pair — is applied to select the best validated match.</w:t>
      </w:r>
    </w:p>
    <w:p>
      <w:pPr>
        <w:pStyle w:val="ListParagraph"/>
        <w:numPr>
          <w:ilvl w:val="0"/>
          <w:numId w:val="2"/>
        </w:numPr>
        <w:spacing w:after="60"/>
      </w:pPr>
      <w:r>
        <w:t xml:space="preserve">The inference model is glm-5, with kimi-k2.5 as an automatic fallback.</w:t>
      </w:r>
    </w:p>
    <w:p>
      <w:pPr>
        <w:spacing w:after="140"/>
      </w:pPr>
      <w:r>
        <w:t xml:space="preserve">This process ensures that all AI-generated threats are validated against the approved Threat Library whenever a matching threat is found. If no suitable match is available in the library, the generated threats are still used to create threat scenarios, but they remain marked as unverified and subject to user review — and, on acceptance, they are queued for the admin's library review rather than entering the library themselves.</w:t>
      </w:r>
    </w:p>
    <w:p>
      <w:pPr>
        <w:spacing w:after="120"/>
      </w:pPr>
    </w:p>
    <w:p>
      <w:pPr>
        <w:keepNext/>
        <w:keepLines/>
        <w:spacing w:after="0" w:before="0"/>
        <w:ind w:left="240"/>
      </w:pPr>
      <w:r>
        <w:rPr>
          <w:rFonts w:ascii="Consolas" w:cs="Consolas" w:eastAsia="Consolas" w:hAnsi="Consolas"/>
          <w:sz w:val="15"/>
          <w:szCs w:val="15"/>
        </w:rPr>
        <w:t xml:space="preserve">sealed asset context + approved prompt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THREAT LIBRARY RETRIEVAL</w:t>
      </w:r>
    </w:p>
    <w:p>
      <w:pPr>
        <w:keepNext/>
        <w:keepLines/>
        <w:spacing w:after="0" w:before="0"/>
        <w:ind w:left="240"/>
      </w:pPr>
      <w:r>
        <w:rPr>
          <w:rFonts w:ascii="Consolas" w:cs="Consolas" w:eastAsia="Consolas" w:hAnsi="Consolas"/>
          <w:sz w:val="15"/>
          <w:szCs w:val="15"/>
        </w:rPr>
        <w:t xml:space="preserve">    ├── sector filter · technology gate · adversary intel</w:t>
      </w:r>
    </w:p>
    <w:p>
      <w:pPr>
        <w:keepNext/>
        <w:keepLines/>
        <w:spacing w:after="0" w:before="0"/>
        <w:ind w:left="240"/>
      </w:pPr>
      <w:r>
        <w:rPr>
          <w:rFonts w:ascii="Consolas" w:cs="Consolas" w:eastAsia="Consolas" w:hAnsi="Consolas"/>
          <w:sz w:val="15"/>
          <w:szCs w:val="15"/>
        </w:rPr>
        <w:t xml:space="preserve">    ├── hybrid ranking ── word matching + meaning matching, per supporting system</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LLM RELEVANCE VALIDATION (glm-5) ── selects from the library only; drops carry a recorded reason</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STRIDE CATEGORY BALANCING ── six categories, each filled deliberately</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category filled ──&gt; library threat kept (official name and identifiers)</w:t>
      </w:r>
    </w:p>
    <w:p>
      <w:pPr>
        <w:keepNext/>
        <w:keepLines/>
        <w:spacing w:after="0" w:before="0"/>
        <w:ind w:left="240"/>
      </w:pPr>
      <w:r>
        <w:rPr>
          <w:rFonts w:ascii="Consolas" w:cs="Consolas" w:eastAsia="Consolas" w:hAnsi="Consolas"/>
          <w:sz w:val="15"/>
          <w:szCs w:val="15"/>
        </w:rPr>
        <w:t xml:space="preserve">    └── category unfilled ──&gt; LLM GAP GENERATION (glm-5)</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DETERMINISTIC GROUNDING</w:t>
      </w:r>
    </w:p>
    <w:p>
      <w:pPr>
        <w:keepNext/>
        <w:keepLines/>
        <w:spacing w:after="0" w:before="0"/>
        <w:ind w:left="240"/>
      </w:pPr>
      <w:r>
        <w:rPr>
          <w:rFonts w:ascii="Consolas" w:cs="Consolas" w:eastAsia="Consolas" w:hAnsi="Consolas"/>
          <w:sz w:val="15"/>
          <w:szCs w:val="15"/>
        </w:rPr>
        <w:t xml:space="preserve">                            ├── embed with qwen3-embedding-8b</w:t>
      </w:r>
    </w:p>
    <w:p>
      <w:pPr>
        <w:keepNext/>
        <w:keepLines/>
        <w:spacing w:after="0" w:before="0"/>
        <w:ind w:left="240"/>
      </w:pPr>
      <w:r>
        <w:rPr>
          <w:rFonts w:ascii="Consolas" w:cs="Consolas" w:eastAsia="Consolas" w:hAnsi="Consolas"/>
          <w:sz w:val="15"/>
          <w:szCs w:val="15"/>
        </w:rPr>
        <w:t xml:space="preserve">                            ├── cosine similarity against Threat Library entries</w:t>
      </w:r>
    </w:p>
    <w:p>
      <w:pPr>
        <w:keepNext/>
        <w:keepLines/>
        <w:spacing w:after="0" w:before="0"/>
        <w:ind w:left="240"/>
      </w:pPr>
      <w:r>
        <w:rPr>
          <w:rFonts w:ascii="Consolas" w:cs="Consolas" w:eastAsia="Consolas" w:hAnsi="Consolas"/>
          <w:sz w:val="15"/>
          <w:szCs w:val="15"/>
        </w:rPr>
        <w:t xml:space="preserve">                            ├── shortlist the closest entries</w:t>
      </w:r>
    </w:p>
    <w:p>
      <w:pPr>
        <w:keepNext/>
        <w:keepLines/>
        <w:spacing w:after="0" w:before="0"/>
        <w:ind w:left="240"/>
      </w:pPr>
      <w:r>
        <w:rPr>
          <w:rFonts w:ascii="Consolas" w:cs="Consolas" w:eastAsia="Consolas" w:hAnsi="Consolas"/>
          <w:sz w:val="15"/>
          <w:szCs w:val="15"/>
        </w:rPr>
        <w:t xml:space="preserve">                            ├── re-rank with qwen3-reranker-8b</w:t>
      </w:r>
    </w:p>
    <w:p>
      <w:pPr>
        <w:keepNext/>
        <w:keepLines/>
        <w:spacing w:after="0" w:before="0"/>
        <w:ind w:left="240"/>
      </w:pPr>
      <w:r>
        <w:rPr>
          <w:rFonts w:ascii="Consolas" w:cs="Consolas" w:eastAsia="Consolas" w:hAnsi="Consolas"/>
          <w:sz w:val="15"/>
          <w:szCs w:val="15"/>
        </w:rPr>
        <w:t xml:space="preserve">                            └── calibrated confidence threshold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at / above ──&gt; verified: adopts the library</w:t>
      </w:r>
    </w:p>
    <w:p>
      <w:pPr>
        <w:keepNext/>
        <w:keepLines/>
        <w:spacing w:after="0" w:before="0"/>
        <w:ind w:left="240"/>
      </w:pPr>
      <w:r>
        <w:rPr>
          <w:rFonts w:ascii="Consolas" w:cs="Consolas" w:eastAsia="Consolas" w:hAnsi="Consolas"/>
          <w:sz w:val="15"/>
          <w:szCs w:val="15"/>
        </w:rPr>
        <w:t xml:space="preserve">                                  │                  entry's name and identifiers</w:t>
      </w:r>
    </w:p>
    <w:p>
      <w:pPr>
        <w:keepNext/>
        <w:keepLines/>
        <w:spacing w:after="0" w:before="0"/>
        <w:ind w:left="240"/>
      </w:pPr>
      <w:r>
        <w:rPr>
          <w:rFonts w:ascii="Consolas" w:cs="Consolas" w:eastAsia="Consolas" w:hAnsi="Consolas"/>
          <w:sz w:val="15"/>
          <w:szCs w:val="15"/>
        </w:rPr>
        <w:t xml:space="preserve">                                  └── below ───────&gt; unverified: kept for scenarios;</w:t>
      </w:r>
    </w:p>
    <w:p>
      <w:pPr>
        <w:keepNext w:val="false"/>
        <w:keepLines/>
        <w:spacing w:after="0" w:before="0"/>
        <w:ind w:left="240"/>
      </w:pPr>
      <w:r>
        <w:rPr>
          <w:rFonts w:ascii="Consolas" w:cs="Consolas" w:eastAsia="Consolas" w:hAnsi="Consolas"/>
          <w:sz w:val="15"/>
          <w:szCs w:val="15"/>
        </w:rPr>
        <w:t xml:space="preserve">                                                     flagged for admin review on accept</w:t>
      </w:r>
    </w:p>
    <w:p>
      <w:pPr>
        <w:spacing w:after="240" w:before="120"/>
        <w:jc w:val="center"/>
      </w:pPr>
      <w:r>
        <w:rPr>
          <w:i/>
          <w:iCs/>
          <w:sz w:val="20"/>
          <w:szCs w:val="20"/>
        </w:rPr>
        <w:t xml:space="preserve">Fig 1: Logical Architecture of the STRIDE Threat Identification</w:t>
      </w:r>
    </w:p>
    <w:p>
      <w:pPr>
        <w:pStyle w:val="Heading2"/>
      </w:pPr>
      <w:r>
        <w:t xml:space="preserve">3.3 Threat Scenario</w:t>
      </w:r>
    </w:p>
    <w:p>
      <w:pPr>
        <w:spacing w:after="140"/>
      </w:pPr>
      <w:r>
        <w:t xml:space="preserve">Threat Scenario Generation receives the sealed asset context, the validated and selected STRIDE threats, and a prompt. For each selected threat it invokes the LLM once to generate a scenario narrative in a fixed response format, validates it, and stores it per threat. A scenario that fails validation is repaired once; if it still fails, the failure is stored against that one threat and the rest of the batch continues.</w:t>
      </w:r>
    </w:p>
    <w:p>
      <w:pPr>
        <w:spacing w:after="140"/>
      </w:pPr>
      <w:r>
        <w:t xml:space="preserve">Controls are then mapped for each stored scenario: the threat and the scenario's own text form the query, candidate controls are retrieved from the approved Control Library, re-ranked, and attached. The user reviews the generated scenarios and can accept all, partially accept selected scenarios, reject, or regenerate them; regeneration retires the old version and keeps it in the scenario's history. Only accepted scenarios proceed to downstream risk assessment. The final approved scenarios are then stored in the platform.</w:t>
      </w:r>
    </w:p>
    <w:p>
      <w:pPr>
        <w:spacing w:after="120"/>
      </w:pPr>
    </w:p>
    <w:p>
      <w:pPr>
        <w:keepNext/>
        <w:keepLines/>
        <w:spacing w:after="0" w:before="0"/>
        <w:ind w:left="240"/>
      </w:pPr>
      <w:r>
        <w:rPr>
          <w:rFonts w:ascii="Consolas" w:cs="Consolas" w:eastAsia="Consolas" w:hAnsi="Consolas"/>
          <w:sz w:val="15"/>
          <w:szCs w:val="15"/>
        </w:rPr>
        <w:t xml:space="preserve">sealed context + validated threats + approved prompt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one LLM call per threat (glm-5; automatic fallback kimi-k2.5) ── fixed response format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validate the response ── one structural repair attempt if incomplete</w:t>
      </w:r>
    </w:p>
    <w:p>
      <w:pPr>
        <w:keepNext/>
        <w:keepLines/>
        <w:spacing w:after="0" w:before="0"/>
        <w:ind w:left="240"/>
      </w:pPr>
      <w:r>
        <w:rPr>
          <w:rFonts w:ascii="Consolas" w:cs="Consolas" w:eastAsia="Consolas" w:hAnsi="Consolas"/>
          <w:sz w:val="15"/>
          <w:szCs w:val="15"/>
        </w:rPr>
        <w:t xml:space="preserve">    ├── screen the response ──── echoed secrets and identifiers masked</w:t>
      </w:r>
    </w:p>
    <w:p>
      <w:pPr>
        <w:keepNext/>
        <w:keepLines/>
        <w:spacing w:after="0" w:before="0"/>
        <w:ind w:left="240"/>
      </w:pPr>
      <w:r>
        <w:rPr>
          <w:rFonts w:ascii="Consolas" w:cs="Consolas" w:eastAsia="Consolas" w:hAnsi="Consolas"/>
          <w:sz w:val="15"/>
          <w:szCs w:val="15"/>
        </w:rPr>
        <w:t xml:space="preserve">    ├── store per threat ─────── versioned; a failure is isolated to its own scenario</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CONTROL MAPPING</w:t>
      </w:r>
    </w:p>
    <w:p>
      <w:pPr>
        <w:keepNext/>
        <w:keepLines/>
        <w:spacing w:after="0" w:before="0"/>
        <w:ind w:left="240"/>
      </w:pPr>
      <w:r>
        <w:rPr>
          <w:rFonts w:ascii="Consolas" w:cs="Consolas" w:eastAsia="Consolas" w:hAnsi="Consolas"/>
          <w:sz w:val="15"/>
          <w:szCs w:val="15"/>
        </w:rPr>
        <w:t xml:space="preserve">    ├── the threat and scenario text form the search query</w:t>
      </w:r>
    </w:p>
    <w:p>
      <w:pPr>
        <w:keepNext/>
        <w:keepLines/>
        <w:spacing w:after="0" w:before="0"/>
        <w:ind w:left="240"/>
      </w:pPr>
      <w:r>
        <w:rPr>
          <w:rFonts w:ascii="Consolas" w:cs="Consolas" w:eastAsia="Consolas" w:hAnsi="Consolas"/>
          <w:sz w:val="15"/>
          <w:szCs w:val="15"/>
        </w:rPr>
        <w:t xml:space="preserve">    ├── candidates retrieved from the approved Control Library</w:t>
      </w:r>
    </w:p>
    <w:p>
      <w:pPr>
        <w:keepNext/>
        <w:keepLines/>
        <w:spacing w:after="0" w:before="0"/>
        <w:ind w:left="240"/>
      </w:pPr>
      <w:r>
        <w:rPr>
          <w:rFonts w:ascii="Consolas" w:cs="Consolas" w:eastAsia="Consolas" w:hAnsi="Consolas"/>
          <w:sz w:val="15"/>
          <w:szCs w:val="15"/>
        </w:rPr>
        <w:t xml:space="preserve">    └── re-ranked; only library controls are attached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REVIEW ── accept all / accept a subset / reject / regenerate</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val="false"/>
        <w:keepLines/>
        <w:spacing w:after="0" w:before="0"/>
        <w:ind w:left="240"/>
      </w:pPr>
      <w:r>
        <w:rPr>
          <w:rFonts w:ascii="Consolas" w:cs="Consolas" w:eastAsia="Consolas" w:hAnsi="Consolas"/>
          <w:sz w:val="15"/>
          <w:szCs w:val="15"/>
        </w:rPr>
        <w:t xml:space="preserve">only accepted scenarios are stored and sent downstream</w:t>
      </w:r>
    </w:p>
    <w:p>
      <w:pPr>
        <w:spacing w:after="240" w:before="120"/>
        <w:jc w:val="center"/>
      </w:pPr>
      <w:r>
        <w:rPr>
          <w:i/>
          <w:iCs/>
          <w:sz w:val="20"/>
          <w:szCs w:val="20"/>
        </w:rPr>
        <w:t xml:space="preserve">Fig 2: Logical Architecture of the Threat Scenario Generator</w:t>
      </w:r>
    </w:p>
    <w:p>
      <w:pPr>
        <w:pStyle w:val="Heading1"/>
      </w:pPr>
      <w:r>
        <w:t xml:space="preserve">4. Platform Integration</w:t>
      </w:r>
    </w:p>
    <w:p>
      <w:pPr>
        <w:spacing w:after="140"/>
      </w:pPr>
      <w:r>
        <w:t xml:space="preserve">This section describes how the user interacts with the module through the platform. The module is reached through a set of API endpoints; every call is authenticated and scoped to the caller's own entity.</w:t>
      </w:r>
    </w:p>
    <w:p>
      <w:pPr>
        <w:pStyle w:val="Heading2"/>
      </w:pPr>
      <w:r>
        <w:t xml:space="preserve">4.1 Asset Selection</w:t>
      </w:r>
    </w:p>
    <w:p>
      <w:pPr>
        <w:spacing w:after="140"/>
      </w:pPr>
      <w:r>
        <w:t xml:space="preserve">The user starts by selecting a single asset. When the session is created, the system automatically identifies the related supporting systems and services and retrieves the associated context, including asset type, sector, subsector, entity, and service. One asset has at most one assessment in progress at a time; a second request for the same asset is refused while one is running.</w:t>
      </w:r>
    </w:p>
    <w:p>
      <w:pPr>
        <w:spacing w:after="140"/>
      </w:pPr>
      <w:r>
        <w:t xml:space="preserve">The platform uses this information to automatically pre-fill the relevant fields for the user. The same resolved context is also used as input for the AI, ensuring that the information shown to the user and the information provided to the AI always remain consistent.</w:t>
      </w:r>
    </w:p>
    <w:p>
      <w:pPr>
        <w:keepNext/>
        <w:keepLines/>
        <w:spacing w:after="0" w:before="0"/>
        <w:ind w:left="240"/>
      </w:pPr>
      <w:r>
        <w:rPr>
          <w:rFonts w:ascii="Consolas" w:cs="Consolas" w:eastAsia="Consolas" w:hAnsi="Consolas"/>
          <w:sz w:val="15"/>
          <w:szCs w:val="15"/>
        </w:rPr>
        <w:t xml:space="preserve">user selects one asset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session created ── one active assessment per asset at a time</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context resolved and sealed</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the same context pre-fills the user's fields</w:t>
      </w:r>
    </w:p>
    <w:p>
      <w:pPr>
        <w:keepNext/>
        <w:keepLines/>
        <w:spacing w:after="0" w:before="0"/>
        <w:ind w:left="240"/>
      </w:pPr>
      <w:r>
        <w:rPr>
          <w:rFonts w:ascii="Consolas" w:cs="Consolas" w:eastAsia="Consolas" w:hAnsi="Consolas"/>
          <w:sz w:val="15"/>
          <w:szCs w:val="15"/>
        </w:rPr>
        <w:t xml:space="preserve">    ├── the same context is the AI's input</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val="false"/>
        <w:keepLines/>
        <w:spacing w:after="0" w:before="0"/>
        <w:ind w:left="240"/>
      </w:pPr>
      <w:r>
        <w:rPr>
          <w:rFonts w:ascii="Consolas" w:cs="Consolas" w:eastAsia="Consolas" w:hAnsi="Consolas"/>
          <w:sz w:val="15"/>
          <w:szCs w:val="15"/>
        </w:rPr>
        <w:t xml:space="preserve">generation runs in the background ── progress via live events and status polling</w:t>
      </w:r>
    </w:p>
    <w:p>
      <w:pPr>
        <w:spacing w:after="240"/>
      </w:pPr>
    </w:p>
    <w:p>
      <w:pPr>
        <w:pStyle w:val="Heading2"/>
      </w:pPr>
      <w:r>
        <w:t xml:space="preserve">4.2 Threat Scenario Review</w:t>
      </w:r>
    </w:p>
    <w:p>
      <w:pPr>
        <w:spacing w:after="140"/>
      </w:pPr>
      <w:r>
        <w:t xml:space="preserve">The platform displays AI-generated threat scenarios for user review. Users can accept all scenarios, accept selected ones, reject scenarios, or regenerate them. Each decision is recorded against the individual scenario — who decided, and when — and decisions can be made over time: accepting one scenario today does not close the review of the others. Only accepted scenarios are stored and sent for downstream risk assessment.</w:t>
      </w:r>
    </w:p>
    <w:p>
      <w:pPr>
        <w:keepNext/>
        <w:keepLines/>
        <w:spacing w:after="0" w:before="0"/>
        <w:ind w:left="240"/>
      </w:pPr>
      <w:r>
        <w:rPr>
          <w:rFonts w:ascii="Consolas" w:cs="Consolas" w:eastAsia="Consolas" w:hAnsi="Consolas"/>
          <w:sz w:val="15"/>
          <w:szCs w:val="15"/>
        </w:rPr>
        <w:t xml:space="preserve">generated scenarios reach review</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 accept all</w:t>
      </w:r>
    </w:p>
    <w:p>
      <w:pPr>
        <w:keepNext/>
        <w:keepLines/>
        <w:spacing w:after="0" w:before="0"/>
        <w:ind w:left="240"/>
      </w:pPr>
      <w:r>
        <w:rPr>
          <w:rFonts w:ascii="Consolas" w:cs="Consolas" w:eastAsia="Consolas" w:hAnsi="Consolas"/>
          <w:sz w:val="15"/>
          <w:szCs w:val="15"/>
        </w:rPr>
        <w:t xml:space="preserve">    ├── accept selected</w:t>
      </w:r>
    </w:p>
    <w:p>
      <w:pPr>
        <w:keepNext/>
        <w:keepLines/>
        <w:spacing w:after="0" w:before="0"/>
        <w:ind w:left="240"/>
      </w:pPr>
      <w:r>
        <w:rPr>
          <w:rFonts w:ascii="Consolas" w:cs="Consolas" w:eastAsia="Consolas" w:hAnsi="Consolas"/>
          <w:sz w:val="15"/>
          <w:szCs w:val="15"/>
        </w:rPr>
        <w:t xml:space="preserve">    ├── reject</w:t>
      </w:r>
    </w:p>
    <w:p>
      <w:pPr>
        <w:keepNext/>
        <w:keepLines/>
        <w:spacing w:after="0" w:before="0"/>
        <w:ind w:left="240"/>
      </w:pPr>
      <w:r>
        <w:rPr>
          <w:rFonts w:ascii="Consolas" w:cs="Consolas" w:eastAsia="Consolas" w:hAnsi="Consolas"/>
          <w:sz w:val="15"/>
          <w:szCs w:val="15"/>
        </w:rPr>
        <w:t xml:space="preserve">    ├── regenerate</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every decision recorded per scenario ── who decided, and when</w:t>
      </w:r>
    </w:p>
    <w:p>
      <w:pPr>
        <w:keepNext/>
        <w:keepLines/>
        <w:spacing w:after="0" w:before="0"/>
        <w:ind w:left="240"/>
      </w:pPr>
      <w:r>
        <w:rPr>
          <w:rFonts w:ascii="Consolas" w:cs="Consolas" w:eastAsia="Consolas" w:hAnsi="Consolas"/>
          <w:sz w:val="15"/>
          <w:szCs w:val="15"/>
        </w:rPr>
        <w:t xml:space="preserve">    │</w:t>
      </w:r>
    </w:p>
    <w:p>
      <w:pPr>
        <w:keepNext/>
        <w:keepLines/>
        <w:spacing w:after="0" w:before="0"/>
        <w:ind w:left="240"/>
      </w:pPr>
      <w:r>
        <w:rPr>
          <w:rFonts w:ascii="Consolas" w:cs="Consolas" w:eastAsia="Consolas" w:hAnsi="Consolas"/>
          <w:sz w:val="15"/>
          <w:szCs w:val="15"/>
        </w:rPr>
        <w:t xml:space="preserve">    ▼</w:t>
      </w:r>
    </w:p>
    <w:p>
      <w:pPr>
        <w:keepNext w:val="false"/>
        <w:keepLines/>
        <w:spacing w:after="0" w:before="0"/>
        <w:ind w:left="240"/>
      </w:pPr>
      <w:r>
        <w:rPr>
          <w:rFonts w:ascii="Consolas" w:cs="Consolas" w:eastAsia="Consolas" w:hAnsi="Consolas"/>
          <w:sz w:val="15"/>
          <w:szCs w:val="15"/>
        </w:rPr>
        <w:t xml:space="preserve">only accepted scenarios ──&gt; stored ──&gt; downstream risk assessment</w:t>
      </w:r>
    </w:p>
    <w:p>
      <w:pPr>
        <w:spacing w:after="240"/>
      </w:pPr>
    </w:p>
    <w:p>
      <w:pPr>
        <w:pStyle w:val="Heading1"/>
      </w:pPr>
      <w:r>
        <w:t xml:space="preserve">5. Governance</w:t>
      </w:r>
    </w:p>
    <w:p>
      <w:pPr>
        <w:pStyle w:val="Heading2"/>
      </w:pPr>
      <w:r>
        <w:t xml:space="preserve">5.1 Security</w:t>
      </w:r>
    </w:p>
    <w:p>
      <w:pPr>
        <w:spacing w:after="140"/>
      </w:pPr>
      <w:r>
        <w:t xml:space="preserve">The Threat Scenario Generator applies security controls across authentication, authorization, data protection, tenant isolation, AI input handling, AI response validation, and data storage. Sensitive information such as credentials, API keys, secrets, environment variables, internal configuration, and data from other tenants is never sent to the AI model, logged, or stored in audit records. The system's fixed prompts require defensive, risk-focused language and prohibit AI-generated content from including exploit instructions, attack payloads, bypass techniques, or executable code; an additional moderation screen can be enabled for generated content.</w:t>
      </w:r>
    </w:p>
    <w:p>
      <w:pPr>
        <w:spacing w:after="140"/>
      </w:pPr>
      <w:r>
        <w:t xml:space="preserve">The platform authenticates callers with issued API keys, each verified against a stored one-way hash — the key itself is never stored — and authorizes every request against the caller's entity, ensuring users can access only their own data. Administrative functions sit behind a separate administrative key. Every API route must be registered with its authorization scope before the application will start; a route cannot be deployed without one.</w:t>
      </w:r>
    </w:p>
    <w:p>
      <w:pPr>
        <w:spacing w:after="140"/>
      </w:pPr>
      <w:r>
        <w:t xml:space="preserve">System prompts are fixed, and cannot be modified at runtime, which helps prevent prompt injection and unauthorized changes to safety rules. External threat-intelligence content reaches the model only inside clearly fenced reference blocks and is neutralized before use, so retrieved content cannot issue instructions.</w:t>
      </w:r>
    </w:p>
    <w:p>
      <w:pPr>
        <w:spacing w:after="140"/>
      </w:pPr>
      <w:r>
        <w:t xml:space="preserve">Accepted outputs are stored securely within the correct tenant scope.</w:t>
      </w:r>
    </w:p>
    <w:p>
      <w:pPr>
        <w:pStyle w:val="Heading2"/>
      </w:pPr>
      <w:r>
        <w:t xml:space="preserve">5.2 Explainability and Auditability</w:t>
      </w:r>
    </w:p>
    <w:p>
      <w:pPr>
        <w:spacing w:after="140"/>
      </w:pPr>
      <w:r>
        <w:t xml:space="preserve">The solution provides full traceability for every threat scenario generation request. Every major step in the process is recorded, including the input context, threat retrieval and grounding, scenario generation, control mapping, and every review decision.</w:t>
      </w:r>
    </w:p>
    <w:p>
      <w:pPr>
        <w:spacing w:after="140"/>
      </w:pPr>
      <w:r>
        <w:t xml:space="preserve">For every AI call, the exact prompt sent and the raw response received are retained, together with the model name, model version, and prompt version — so any scenario can be traced back to the precise call that produced it. The platform maintains an append-only audit trail that records details such as the stage name, subsystem, event type, user details, task ID, model information, and prompt, while excluding secrets and sensitive configuration data. Regenerated scenarios keep their full version history; a replaced version is retired, never deleted.</w:t>
      </w:r>
    </w:p>
    <w:p>
      <w:pPr>
        <w:pStyle w:val="Heading2"/>
      </w:pPr>
      <w:r>
        <w:t xml:space="preserve">5.3 Performance and Scalability</w:t>
      </w:r>
    </w:p>
    <w:p>
      <w:pPr>
        <w:spacing w:after="140"/>
      </w:pPr>
      <w:r>
        <w:t xml:space="preserve">The system is designed to handle multiple users at once. When a user requests a scenario, the system accepts the request immediately and does the work in the background. The finished result appears once it is ready.</w:t>
      </w:r>
    </w:p>
    <w:p>
      <w:pPr>
        <w:spacing w:after="140"/>
      </w:pPr>
      <w:r>
        <w:t xml:space="preserve">Key points:</w:t>
      </w:r>
    </w:p>
    <w:p>
      <w:pPr>
        <w:pStyle w:val="ListParagraph"/>
        <w:numPr>
          <w:ilvl w:val="0"/>
          <w:numId w:val="2"/>
        </w:numPr>
        <w:spacing w:after="60"/>
      </w:pPr>
      <w:r>
        <w:t xml:space="preserve">Requests are accepted straight away and processed in the background by a pool of workers.</w:t>
      </w:r>
    </w:p>
    <w:p>
      <w:pPr>
        <w:pStyle w:val="ListParagraph"/>
        <w:numPr>
          <w:ilvl w:val="0"/>
          <w:numId w:val="2"/>
        </w:numPr>
        <w:spacing w:after="60"/>
      </w:pPr>
      <w:r>
        <w:t xml:space="preserve">Each request of work is kept separate and clearly tied to the right user and entity, and one asset has at most one assessment in progress at a time.</w:t>
      </w:r>
    </w:p>
    <w:p>
      <w:pPr>
        <w:pStyle w:val="ListParagraph"/>
        <w:numPr>
          <w:ilvl w:val="0"/>
          <w:numId w:val="2"/>
        </w:numPr>
        <w:spacing w:after="60"/>
      </w:pPr>
      <w:r>
        <w:t xml:space="preserve">Multiple users can work at the same time without their requests interfering with each other; if a worker fails mid-run, the work is detected and recovered automatically.</w:t>
      </w:r>
    </w:p>
    <w:p>
      <w:pPr>
        <w:pStyle w:val="ListParagraph"/>
        <w:numPr>
          <w:ilvl w:val="0"/>
          <w:numId w:val="2"/>
        </w:numPr>
        <w:spacing w:after="60"/>
      </w:pPr>
      <w:r>
        <w:t xml:space="preserve">Overall performance and the number of users the system can support at the same time depend on the underlying hardware provided. Capacity is scaled by adding worker instances; more processing power, memory, and GPU capacity allow the system to handle higher load and produce results faster.</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Threat Scenario Generator — Solution Design Document</w:t>
    </w:r>
    <w:r>
      <w:rPr>
        <w:sz w:val="16"/>
        <w:szCs w:val="16"/>
      </w:rPr>
      <w:tab/>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rial" w:cs="Arial" w:eastAsia="Arial" w:hAnsi="Arial"/>
      <w:b/>
      <w:bCs/>
      <w:color w:val="000000"/>
      <w:sz w:val="28"/>
      <w:szCs w:val="28"/>
    </w:rPr>
  </w:style>
  <w:style w:type="paragraph" w:styleId="Heading2">
    <w:name w:val="Heading 2"/>
    <w:basedOn w:val="Normal"/>
    <w:next w:val="Normal"/>
    <w:qFormat/>
    <w:pPr>
      <w:spacing w:after="140" w:before="280"/>
    </w:pPr>
    <w:rPr>
      <w:rFonts w:ascii="Arial" w:cs="Arial" w:eastAsia="Arial" w:hAnsi="Arial"/>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2026-08-26T04:19:28.527Z</dcterms:created>
  <dcterms:modified xsi:type="dcterms:W3CDTF">2026-08-26T04:19:28.528Z</dcterms:modified>
</cp:coreProperties>
</file>

<file path=docProps/custom.xml><?xml version="1.0" encoding="utf-8"?>
<Properties xmlns="http://schemas.openxmlformats.org/officeDocument/2006/custom-properties" xmlns:vt="http://schemas.openxmlformats.org/officeDocument/2006/docPropsVTypes"/>
</file>