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240" w:lineRule="auto"/>
        <w:ind w:left="0" w:right="0" w:firstLine="0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关于开展2026年第三季度办公用品集中采购工作的通知</w:t>
      </w:r>
    </w:p>
    <w:p>
      <w:pPr>
        <w:widowControl w:val="0"/>
        <w:spacing w:before="0" w:after="0" w:line="240" w:lineRule="auto"/>
        <w:ind w:left="0" w:right="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widowControl w:val="0"/>
        <w:spacing w:before="0" w:after="0" w:line="240" w:lineRule="auto"/>
        <w:ind w:left="0" w:right="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各单位、各相关部门：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为进一步规范办公用品采购管理，降低采购成本，提高保障效率，现就2026年第三季度集中采购工作通知如下。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 xml:space="preserve">一、采购范围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本次集中采购范围包括电脑配件（Laptop charger、USB adapter、Network cable 等）、办公耗材、纸张及安全设备。各部应于9月30日前报送需求计划，逾期未报的，视为无采购需求。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行末标点测试：这一行用来检验句号是否悬挂在版心右侧，也就是说标点溢出边界。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行首禁则测试：这一段文字的长度经过调整，使右引号和右括号正好落在行首位置」）应被推到上一行或带走前一个字。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 xml:space="preserve">二、工作要求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（一）各部要高度重视，指定专人负责，确保需求计划真实、准确、完整。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（二）采购部门应按照“公开、公平、公正”的原则组织询价比价，形成比价表报分管领导审批。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附件：主要物资需求汇总表</w:t>
      </w:r>
    </w:p>
    <w:tbl>
      <w:tblPr>
        <w:tblW w:w="8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2211"/>
        <w:gridCol w:w="2211"/>
        <w:gridCol w:w="2211"/>
      </w:tblGrid>
      <w:tr>
        <w:trPr>
          <w:tblHeader/>
        </w:trPr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 xml:space="preserve">序号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 xml:space="preserve">物资名称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 xml:space="preserve">规格型号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黑体" w:cs="Times New Roman"/>
                <w:sz w:val="24"/>
                <w:szCs w:val="24"/>
              </w:rPr>
              <w:t xml:space="preserve">数量</w:t>
            </w:r>
          </w:p>
        </w:tc>
      </w:tr>
      <w:tr>
        <w:trPr>
          <w:trHeight w:val="560" w:hRule="atLeast"/>
        </w:trPr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1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气缸套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[图号]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4</w:t>
            </w:r>
          </w:p>
        </w:tc>
      </w:tr>
      <w:tr>
        <w:trPr>
          <w:trHeight w:val="560" w:hRule="atLeast"/>
        </w:trPr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2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活塞环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[图号]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4</w:t>
            </w:r>
          </w:p>
        </w:tc>
      </w:tr>
      <w:tr>
        <w:trPr>
          <w:trHeight w:val="560" w:hRule="atLeast"/>
        </w:trPr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3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排气阀座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[图号]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4</w:t>
            </w:r>
          </w:p>
        </w:tc>
      </w:tr>
      <w:tr>
        <w:trPr>
          <w:trHeight w:val="560" w:hRule="atLeast"/>
        </w:trPr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4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燃油喷嘴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[图号]</w:t>
            </w:r>
          </w:p>
        </w:tc>
        <w:tc>
          <w:tcPr>
            <w:tcW w:w="2211" w:type="dxa"/>
            <w:vAlign w:val="top"/>
          </w:tcPr>
          <w:p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仿宋_GB2312" w:cs="Times New Roman"/>
                <w:sz w:val="24"/>
                <w:szCs w:val="24"/>
              </w:rPr>
            </w:pPr>
            <w:r>
              <w:rPr>
                <w:rFonts w:ascii="Times New Roman" w:hAnsi="Times New Roman" w:eastAsia="仿宋_GB2312" w:cs="Times New Roman"/>
                <w:sz w:val="24"/>
                <w:szCs w:val="24"/>
              </w:rPr>
              <w:t xml:space="preserve">4</w:t>
            </w:r>
          </w:p>
        </w:tc>
      </w:tr>
    </w:tbl>
    <w:p>
      <w:pPr>
        <w:widowControl w:val="0"/>
        <w:spacing w:before="0" w:after="0" w:line="240" w:lineRule="auto"/>
        <w:ind w:left="0" w:right="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第3段：本段用于填充页面以检查分页位置是否与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第4段：本段用于填充页面以检查分页位置是否与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第5段：本段用于填充页面以检查分页位置是否与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第6段：本段用于填充页面以检查分页位置是否与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第7段：本段用于填充页面以检查分页位置是否与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第8段：本段用于填充页面以检查分页位置是否与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第9段：本段用于填充页面以检查分页位置是否与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第10段：本段用于填充页面以检查分页位置是否与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第11段：本段用于填充页面以检查分页位置是否与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第12段：本段用于填充页面以检查分页位置是否与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第13段：本段用于填充页面以检查分页位置是否与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第14段：本段用于填充页面以检查分页位置是否与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第15段：本段用于填充页面以检查分页位置是否与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第16段：本段用于填充页面以检查分页位置是否与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第17段：本段用于填充页面以检查分页位置是否与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第18段：本段用于填充页面以检查分页位置是否与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第19段：本段用于填充页面以检查分页位置是否与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第20段：本段用于填充页面以检查分页位置是否与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第21段：本段用于填充页面以检查分页位置是否与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第22段：本段用于填充页面以检查分页位置是否与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第23段：本段用于填充页面以检查分页位置是否与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第24段：本段用于填充页面以检查分页位置是否与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第25段：本段用于填充页面以检查分页位置是否与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第26段：本段用于填充页面以检查分页位置是否与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第27段：本段用于填充页面以检查分页位置是否与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第28段：本段用于填充页面以检查分页位置是否与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第29段：本段用于填充页面以检查分页位置是否与 Word 一致。办公用品集中采购工作涉及需求、询价、比价、合同、验收等环节。</w:t>
      </w:r>
    </w:p>
    <w:p>
      <w:pPr>
        <w:widowControl w:val="0"/>
        <w:spacing w:before="0" w:after="0" w:line="240" w:lineRule="auto"/>
        <w:ind w:left="0" w:right="0" w:firstLineChars="200" w:firstLine="0"/>
        <w:jc w:val="both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 xml:space="preserve">第30段：本段用于填充页面以检查分页位置是否与 Word 一致。办公用品集中采购工作涉及需求、询价、比价、合同、验收等环节。</w:t>
      </w:r>
    </w:p>
    <w:sectPr>
      <w:headerReference w:type="default" r:id="rIdHeader1"/>
      <w:footerReference w:type="default" r:id="rIdFooter1"/>
      <w:pgSz w:w="11906" w:h="16838"/>
      <w:pgMar w:top="2098" w:right="1474" w:bottom="1984" w:left="1587" w:header="851" w:footer="1587" w:gutter="0"/>
      <w:cols w:space="425"/>
      <w:docGrid w:type="linesAndChars" w:linePitch="580" w:charSpace="-844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widowControl w:val="0"/>
      <w:spacing w:before="0" w:after="0" w:line="240" w:lineRule="auto"/>
      <w:ind w:left="0" w:right="0" w:firstLine="0"/>
      <w:jc w:val="center"/>
      <w:rPr>
        <w:rFonts w:ascii="Times New Roman" w:hAnsi="Times New Roman" w:eastAsia="宋体" w:cs="Times New Roman"/>
        <w:sz w:val="28"/>
        <w:szCs w:val="28"/>
      </w:rPr>
    </w:pPr>
    <w:r>
      <w:rPr>
        <w:rFonts w:ascii="Times New Roman" w:hAnsi="Times New Roman" w:eastAsia="宋体" w:cs="Times New Roman"/>
        <w:sz w:val="28"/>
        <w:szCs w:val="28"/>
      </w:rPr>
      <w:t xml:space="preserve">— </w:t>
    </w:r>
    <w:fldSimple w:instr=" PAGE \* MERGEFORMAT ">
      <w:r>
        <w:rPr>
          <w:rFonts w:ascii="Times New Roman" w:hAnsi="Times New Roman" w:eastAsia="宋体" w:cs="Times New Roman"/>
          <w:sz w:val="28"/>
          <w:szCs w:val="28"/>
        </w:rPr>
        <w:t>1</w:t>
      </w:r>
    </w:fldSimple>
    <w:r>
      <w:rPr>
        <w:rFonts w:ascii="Times New Roman" w:hAnsi="Times New Roman" w:eastAsia="宋体" w:cs="Times New Roman"/>
        <w:sz w:val="28"/>
        <w:szCs w:val="28"/>
      </w:rPr>
      <w:t xml:space="preserve"> —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widowControl w:val="0"/>
      <w:spacing w:before="0" w:after="0" w:line="240" w:lineRule="auto"/>
      <w:ind w:left="0" w:right="0" w:firstLine="0"/>
      <w:jc w:val="center"/>
      <w:rPr>
        <w:rFonts w:ascii="Times New Roman" w:hAnsi="Times New Roman" w:eastAsia="宋体" w:cs="Times New Roman"/>
        <w:sz w:val="18"/>
        <w:szCs w:val="18"/>
      </w:rPr>
    </w:pPr>
  </w:p>
</w:hdr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4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仿宋_GB2312" w:cs="Times New Roman"/>
        <w:sz w:val="32"/>
        <w:szCs w:val="3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eader1" Type="http://schemas.openxmlformats.org/officeDocument/2006/relationships/header" Target="header1.xml"/><Relationship Id="rIdFooter1" Type="http://schemas.openxmlformats.org/officeDocument/2006/relationships/footer" Target="footer1.xml"/></Relationships>
</file>