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before="480"/>
        <w:jc w:val="center"/>
      </w:pPr>
      <w:r>
        <w:rPr>
          <w:rFonts w:ascii="Times New Roman" w:hAnsi="Times New Roman"/>
          <w:b/>
          <w:i w:val="0"/>
          <w:color w:val="123524"/>
          <w:sz w:val="36"/>
        </w:rPr>
        <w:t>ST. FRANCIS COLLEGE</w:t>
      </w:r>
    </w:p>
    <w:p>
      <w:pPr>
        <w:spacing w:line="360" w:lineRule="auto" w:after="360" w:before="0"/>
        <w:jc w:val="center"/>
      </w:pPr>
      <w:r>
        <w:rPr>
          <w:rFonts w:ascii="Times New Roman" w:hAnsi="Times New Roman"/>
          <w:b/>
          <w:i w:val="0"/>
          <w:color w:val="2D6A4F"/>
          <w:sz w:val="26"/>
        </w:rPr>
        <w:t>DEPARTMENT OF COMPUTER APPLICATIONS (BCA)</w:t>
      </w:r>
    </w:p>
    <w:p>
      <w:pPr>
        <w:spacing w:line="360" w:lineRule="auto" w:after="240" w:before="0"/>
        <w:jc w:val="center"/>
      </w:pPr>
      <w:r>
        <w:rPr>
          <w:rFonts w:ascii="Times New Roman" w:hAnsi="Times New Roman"/>
          <w:b/>
          <w:i w:val="0"/>
          <w:color w:val="000000"/>
          <w:sz w:val="24"/>
        </w:rPr>
        <w:t>A PROJECT REPORT ON</w:t>
      </w:r>
    </w:p>
    <w:p>
      <w:pPr>
        <w:spacing w:line="360" w:lineRule="auto" w:after="480" w:before="0"/>
        <w:jc w:val="center"/>
      </w:pPr>
      <w:r>
        <w:rPr>
          <w:rFonts w:ascii="Times New Roman" w:hAnsi="Times New Roman"/>
          <w:b/>
          <w:i w:val="0"/>
          <w:color w:val="1B4332"/>
          <w:sz w:val="32"/>
        </w:rPr>
        <w:t>GREEN GEN AI: AI-POWERED SUSTAINABLE E-COMMERCE PLATFORM</w:t>
      </w:r>
    </w:p>
    <w:p>
      <w:pPr>
        <w:spacing w:line="360" w:lineRule="auto" w:after="80" w:before="0"/>
        <w:jc w:val="center"/>
      </w:pPr>
      <w:r>
        <w:rPr>
          <w:rFonts w:ascii="Times New Roman" w:hAnsi="Times New Roman"/>
          <w:b w:val="0"/>
          <w:i/>
          <w:color w:val="000000"/>
          <w:sz w:val="22"/>
        </w:rPr>
        <w:t>Submitted in partial fulfillment of the requirements for the award of degree of</w:t>
      </w:r>
    </w:p>
    <w:p>
      <w:pPr>
        <w:spacing w:line="360" w:lineRule="auto" w:after="480" w:before="0"/>
        <w:jc w:val="center"/>
      </w:pPr>
      <w:r>
        <w:rPr>
          <w:rFonts w:ascii="Times New Roman" w:hAnsi="Times New Roman"/>
          <w:b/>
          <w:i w:val="0"/>
          <w:color w:val="000000"/>
          <w:sz w:val="26"/>
        </w:rPr>
        <w:t>BACHELOR OF COMPUTER APPLICATIONS (BCA)</w:t>
      </w:r>
    </w:p>
    <w:p>
      <w:pPr>
        <w:spacing w:line="360" w:lineRule="auto" w:after="80" w:before="0"/>
        <w:jc w:val="center"/>
      </w:pPr>
      <w:r>
        <w:rPr>
          <w:rFonts w:ascii="Times New Roman" w:hAnsi="Times New Roman"/>
          <w:b/>
          <w:i w:val="0"/>
          <w:color w:val="000000"/>
          <w:sz w:val="24"/>
        </w:rPr>
        <w:t>Submitted By:</w:t>
      </w:r>
    </w:p>
    <w:p>
      <w:pPr>
        <w:spacing w:line="360" w:lineRule="auto" w:after="40" w:before="0"/>
        <w:jc w:val="center"/>
      </w:pPr>
      <w:r>
        <w:rPr>
          <w:rFonts w:ascii="Times New Roman" w:hAnsi="Times New Roman"/>
          <w:b/>
          <w:i w:val="0"/>
          <w:color w:val="000000"/>
          <w:sz w:val="26"/>
        </w:rPr>
        <w:t>GOPI KRISHNA</w:t>
      </w:r>
    </w:p>
    <w:p>
      <w:pPr>
        <w:spacing w:line="360" w:lineRule="auto" w:after="40" w:before="0"/>
        <w:jc w:val="center"/>
      </w:pPr>
      <w:r>
        <w:rPr>
          <w:rFonts w:ascii="Times New Roman" w:hAnsi="Times New Roman"/>
          <w:b w:val="0"/>
          <w:i w:val="0"/>
          <w:color w:val="000000"/>
          <w:sz w:val="24"/>
        </w:rPr>
        <w:t>Reg. No.: [Registration Number]</w:t>
      </w:r>
    </w:p>
    <w:p>
      <w:pPr>
        <w:spacing w:line="360" w:lineRule="auto" w:after="480" w:before="0"/>
        <w:jc w:val="center"/>
      </w:pPr>
      <w:r>
        <w:rPr>
          <w:rFonts w:ascii="Times New Roman" w:hAnsi="Times New Roman"/>
          <w:b w:val="0"/>
          <w:i w:val="0"/>
          <w:color w:val="000000"/>
          <w:sz w:val="24"/>
        </w:rPr>
        <w:t>V Semester BCA, Section A</w:t>
      </w:r>
    </w:p>
    <w:p>
      <w:pPr>
        <w:spacing w:line="360" w:lineRule="auto" w:after="80" w:before="0"/>
        <w:jc w:val="center"/>
      </w:pPr>
      <w:r>
        <w:rPr>
          <w:rFonts w:ascii="Times New Roman" w:hAnsi="Times New Roman"/>
          <w:b/>
          <w:i w:val="0"/>
          <w:color w:val="000000"/>
          <w:sz w:val="24"/>
        </w:rPr>
        <w:t>Under the Guidance of:</w:t>
      </w:r>
    </w:p>
    <w:p>
      <w:pPr>
        <w:spacing w:line="360" w:lineRule="auto" w:after="40" w:before="0"/>
        <w:jc w:val="center"/>
      </w:pPr>
      <w:r>
        <w:rPr>
          <w:rFonts w:ascii="Times New Roman" w:hAnsi="Times New Roman"/>
          <w:b/>
          <w:i w:val="0"/>
          <w:color w:val="000000"/>
          <w:sz w:val="26"/>
        </w:rPr>
        <w:t>[Project Guide Name]</w:t>
      </w:r>
    </w:p>
    <w:p>
      <w:pPr>
        <w:spacing w:line="360" w:lineRule="auto" w:after="720" w:before="0"/>
        <w:jc w:val="center"/>
      </w:pPr>
      <w:r>
        <w:rPr>
          <w:rFonts w:ascii="Times New Roman" w:hAnsi="Times New Roman"/>
          <w:b w:val="0"/>
          <w:i w:val="0"/>
          <w:color w:val="000000"/>
          <w:sz w:val="24"/>
        </w:rPr>
        <w:t>Assistant Professor, Department of Computer Applications (BCA)</w:t>
      </w:r>
    </w:p>
    <w:p>
      <w:pPr>
        <w:spacing w:line="360" w:lineRule="auto" w:after="240" w:before="0"/>
        <w:jc w:val="center"/>
      </w:pPr>
      <w:r>
        <w:rPr>
          <w:rFonts w:ascii="Times New Roman" w:hAnsi="Times New Roman"/>
          <w:b/>
          <w:i w:val="0"/>
          <w:color w:val="000000"/>
          <w:sz w:val="24"/>
        </w:rPr>
        <w:t>ACADEMIC YEAR 2026–2027</w:t>
      </w:r>
    </w:p>
    <w:p>
      <w:r>
        <w:br w:type="page"/>
      </w:r>
    </w:p>
    <w:p>
      <w:pPr>
        <w:spacing w:line="360" w:lineRule="auto" w:after="360" w:before="240"/>
        <w:jc w:val="center"/>
      </w:pPr>
      <w:r>
        <w:rPr>
          <w:rFonts w:ascii="Times New Roman" w:hAnsi="Times New Roman"/>
          <w:b/>
          <w:i w:val="0"/>
          <w:color w:val="123524"/>
          <w:sz w:val="28"/>
        </w:rPr>
        <w:t>DECLARATION</w:t>
      </w:r>
    </w:p>
    <w:p>
      <w:pPr>
        <w:spacing w:line="360" w:lineRule="auto" w:after="120" w:before="0"/>
        <w:jc w:val="both"/>
      </w:pPr>
      <w:r>
        <w:rPr>
          <w:rFonts w:ascii="Times New Roman" w:hAnsi="Times New Roman"/>
          <w:b w:val="0"/>
          <w:i w:val="0"/>
          <w:color w:val="000000"/>
          <w:sz w:val="24"/>
        </w:rPr>
        <w:t>I/We, Gopi Krishna, Reg. No. [Registration Number], a student of V Semester BCA, hereby declare that the project entitled “Green Gen AI: AI-Powered Sustainable E-Commerce Platform” has been carried out and successfully completed by me during the academic year 2026–27 under the guidance of [Project Guide Name], Assistant Professor, Department of Computer Applications (BCA), St. Francis College.</w:t>
      </w:r>
    </w:p>
    <w:p>
      <w:pPr>
        <w:spacing w:line="360" w:lineRule="auto" w:after="120" w:before="0"/>
        <w:jc w:val="both"/>
      </w:pPr>
      <w:r>
        <w:rPr>
          <w:rFonts w:ascii="Times New Roman" w:hAnsi="Times New Roman"/>
          <w:b w:val="0"/>
          <w:i w:val="0"/>
          <w:color w:val="000000"/>
          <w:sz w:val="24"/>
        </w:rPr>
        <w:t>I further declare that this project report is my original work and has not been submitted, either in full or in part, for the award of any degree, diploma, associateship, fellowship, or any other qualification of any other University or Institution.</w:t>
      </w:r>
    </w:p>
    <w:p>
      <w:pPr>
        <w:spacing w:line="360" w:lineRule="auto" w:after="800" w:before="0"/>
        <w:jc w:val="both"/>
      </w:pPr>
    </w:p>
    <w:tbl>
      <w:tblPr>
        <w:tblW w:type="auto" w:w="0"/>
        <w:jc w:val="center"/>
        <w:tblLook w:firstColumn="1" w:firstRow="1" w:lastColumn="0" w:lastRow="0" w:noHBand="0" w:noVBand="1" w:val="04A0"/>
      </w:tblPr>
      <w:tblGrid>
        <w:gridCol w:w="5244"/>
        <w:gridCol w:w="5244"/>
      </w:tblGrid>
      <w:tr>
        <w:tc>
          <w:tcPr>
            <w:tcW w:type="dxa" w:w="5244"/>
          </w:tcPr>
          <w:p>
            <w:r>
              <w:rPr>
                <w:rFonts w:ascii="Times New Roman" w:hAnsi="Times New Roman"/>
                <w:b/>
                <w:sz w:val="24"/>
              </w:rPr>
              <w:t>Gopi Krishna</w:t>
              <w:br/>
              <w:t>(Student Signature)</w:t>
            </w:r>
          </w:p>
        </w:tc>
        <w:tc>
          <w:tcPr>
            <w:tcW w:type="dxa" w:w="5244"/>
          </w:tcPr>
          <w:p>
            <w:pPr>
              <w:jc w:val="right"/>
            </w:pPr>
            <w:r>
              <w:rPr>
                <w:rFonts w:ascii="Times New Roman" w:hAnsi="Times New Roman"/>
                <w:b/>
                <w:sz w:val="24"/>
              </w:rPr>
              <w:t>[Project Guide Name]</w:t>
              <w:br/>
              <w:t>(Project Guide Signature)</w:t>
            </w:r>
          </w:p>
        </w:tc>
      </w:tr>
      <w:tr>
        <w:tc>
          <w:tcPr>
            <w:tcW w:type="dxa" w:w="5244"/>
          </w:tcPr>
          <w:p/>
        </w:tc>
        <w:tc>
          <w:tcPr>
            <w:tcW w:type="dxa" w:w="5244"/>
          </w:tcPr>
          <w:p/>
        </w:tc>
      </w:tr>
    </w:tbl>
    <w:p>
      <w:r>
        <w:br w:type="page"/>
      </w:r>
    </w:p>
    <w:p>
      <w:pPr>
        <w:spacing w:line="360" w:lineRule="auto" w:after="360" w:before="240"/>
        <w:jc w:val="center"/>
      </w:pPr>
      <w:r>
        <w:rPr>
          <w:rFonts w:ascii="Times New Roman" w:hAnsi="Times New Roman"/>
          <w:b/>
          <w:i w:val="0"/>
          <w:color w:val="123524"/>
          <w:sz w:val="28"/>
        </w:rPr>
        <w:t>ACKNOWLEDGEMENT</w:t>
      </w:r>
    </w:p>
    <w:p>
      <w:pPr>
        <w:spacing w:line="360" w:lineRule="auto" w:after="120" w:before="0"/>
        <w:jc w:val="both"/>
      </w:pPr>
      <w:r>
        <w:rPr>
          <w:rFonts w:ascii="Times New Roman" w:hAnsi="Times New Roman"/>
          <w:b w:val="0"/>
          <w:i w:val="0"/>
          <w:color w:val="000000"/>
          <w:sz w:val="24"/>
        </w:rPr>
        <w:t>I/We would like to express my gratitude and appreciation to all those who gave me the possibility to complete this report.</w:t>
      </w:r>
    </w:p>
    <w:p>
      <w:pPr>
        <w:spacing w:line="360" w:lineRule="auto" w:after="120" w:before="0"/>
        <w:jc w:val="both"/>
      </w:pPr>
      <w:r>
        <w:rPr>
          <w:rFonts w:ascii="Times New Roman" w:hAnsi="Times New Roman"/>
          <w:b w:val="0"/>
          <w:i w:val="0"/>
          <w:color w:val="000000"/>
          <w:sz w:val="24"/>
        </w:rPr>
        <w:t>I/We take pleasure in expressing gratitude towards our institution for providing me the opportunity to work on this project as a part of my course. We would like to express our gratitude and sincere thanks to our management, Bro. Dr. Titus Anto, Director for providing us with a congenial environment for studies. We would like to express our gratitude to Principal, Dr. R N Subba Rao for providing the right atmosphere at the institute.</w:t>
      </w:r>
    </w:p>
    <w:p>
      <w:pPr>
        <w:spacing w:line="360" w:lineRule="auto" w:after="120" w:before="0"/>
        <w:jc w:val="both"/>
      </w:pPr>
      <w:r>
        <w:rPr>
          <w:rFonts w:ascii="Times New Roman" w:hAnsi="Times New Roman"/>
          <w:b w:val="0"/>
          <w:i w:val="0"/>
          <w:color w:val="000000"/>
          <w:sz w:val="24"/>
        </w:rPr>
        <w:t>I/We express our heart full thanks to Ms. Sabitha S, Head of the Department, for being helpful through the project. We express our deep sense of gratitude to our project guide [Project Guide Name], Assistant Professor for her unfailing encouragement, valuable guidance and Suggestions to us in the course of project work. We also express our heartfelt thanks to our parents for being supportive in all our activities without whom it wouldn't have been possible for us to complete our project.</w:t>
      </w:r>
    </w:p>
    <w:p>
      <w:pPr>
        <w:spacing w:line="360" w:lineRule="auto" w:after="600" w:before="0"/>
        <w:jc w:val="both"/>
      </w:pPr>
    </w:p>
    <w:p>
      <w:pPr>
        <w:spacing w:line="360" w:lineRule="auto" w:after="120" w:before="0"/>
        <w:jc w:val="right"/>
      </w:pPr>
      <w:r>
        <w:rPr>
          <w:rFonts w:ascii="Times New Roman" w:hAnsi="Times New Roman"/>
          <w:b/>
          <w:i w:val="0"/>
          <w:color w:val="000000"/>
          <w:sz w:val="24"/>
        </w:rPr>
        <w:t>Gopi Krishna</w:t>
      </w:r>
    </w:p>
    <w:p>
      <w:pPr>
        <w:spacing w:line="360" w:lineRule="auto" w:after="120" w:before="0"/>
        <w:jc w:val="right"/>
      </w:pPr>
      <w:r>
        <w:rPr>
          <w:rFonts w:ascii="Times New Roman" w:hAnsi="Times New Roman"/>
          <w:b w:val="0"/>
          <w:i w:val="0"/>
          <w:color w:val="000000"/>
          <w:sz w:val="22"/>
        </w:rPr>
        <w:t>V Semester BCA, Section A</w:t>
      </w:r>
    </w:p>
    <w:p>
      <w:r>
        <w:br w:type="page"/>
      </w:r>
    </w:p>
    <w:p>
      <w:pPr>
        <w:spacing w:line="360" w:lineRule="auto" w:after="360" w:before="240"/>
        <w:jc w:val="center"/>
      </w:pPr>
      <w:r>
        <w:rPr>
          <w:rFonts w:ascii="Times New Roman" w:hAnsi="Times New Roman"/>
          <w:b/>
          <w:i w:val="0"/>
          <w:color w:val="123524"/>
          <w:sz w:val="28"/>
        </w:rPr>
        <w:t>TABLE OF CONTENTS</w:t>
      </w:r>
    </w:p>
    <w:tbl>
      <w:tblPr>
        <w:tblW w:type="auto" w:w="0"/>
        <w:jc w:val="center"/>
        <w:tblLook w:firstColumn="1" w:firstRow="1" w:lastColumn="0" w:lastRow="0" w:noHBand="0" w:noVBand="1" w:val="04A0"/>
      </w:tblPr>
      <w:tblGrid>
        <w:gridCol w:w="3496"/>
        <w:gridCol w:w="3496"/>
        <w:gridCol w:w="3496"/>
      </w:tblGrid>
      <w:tr>
        <w:tc>
          <w:tcPr>
            <w:tcW w:type="dxa" w:w="1134"/>
            <w:shd w:fill="1B4332"/>
          </w:tcPr>
          <w:p>
            <w:pPr>
              <w:spacing w:line="240" w:lineRule="auto" w:before="80" w:after="80"/>
              <w:jc w:val="center"/>
            </w:pPr>
            <w:r>
              <w:rPr>
                <w:rFonts w:ascii="Times New Roman" w:hAnsi="Times New Roman"/>
                <w:b/>
                <w:color w:val="FFFFFF"/>
                <w:sz w:val="21"/>
              </w:rPr>
              <w:t>Sl. No.</w:t>
            </w:r>
          </w:p>
        </w:tc>
        <w:tc>
          <w:tcPr>
            <w:tcW w:type="dxa" w:w="7937"/>
            <w:shd w:fill="1B4332"/>
          </w:tcPr>
          <w:p>
            <w:pPr>
              <w:spacing w:line="240" w:lineRule="auto" w:before="80" w:after="80"/>
              <w:jc w:val="center"/>
            </w:pPr>
            <w:r>
              <w:rPr>
                <w:rFonts w:ascii="Times New Roman" w:hAnsi="Times New Roman"/>
                <w:b/>
                <w:color w:val="FFFFFF"/>
                <w:sz w:val="21"/>
              </w:rPr>
              <w:t>Contents</w:t>
            </w:r>
          </w:p>
        </w:tc>
        <w:tc>
          <w:tcPr>
            <w:tcW w:type="dxa" w:w="1417"/>
            <w:shd w:fill="1B4332"/>
          </w:tcPr>
          <w:p>
            <w:pPr>
              <w:spacing w:line="240" w:lineRule="auto" w:before="80" w:after="80"/>
              <w:jc w:val="center"/>
            </w:pPr>
            <w:r>
              <w:rPr>
                <w:rFonts w:ascii="Times New Roman" w:hAnsi="Times New Roman"/>
                <w:b/>
                <w:color w:val="FFFFFF"/>
                <w:sz w:val="21"/>
              </w:rPr>
              <w:t>Page No.</w:t>
            </w:r>
          </w:p>
        </w:tc>
      </w:tr>
      <w:tr>
        <w:tc>
          <w:tcPr>
            <w:tcW w:type="dxa" w:w="113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w:t>
            </w:r>
          </w:p>
        </w:tc>
        <w:tc>
          <w:tcPr>
            <w:tcW w:type="dxa" w:w="793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DECLARATION</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i</w:t>
            </w:r>
          </w:p>
        </w:tc>
      </w:tr>
      <w:tr>
        <w:tc>
          <w:tcPr>
            <w:tcW w:type="dxa" w:w="113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w:t>
            </w:r>
          </w:p>
        </w:tc>
        <w:tc>
          <w:tcPr>
            <w:tcW w:type="dxa" w:w="793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ACKNOWLEDGEMENT</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ii</w:t>
            </w:r>
          </w:p>
        </w:tc>
      </w:tr>
      <w:tr>
        <w:tc>
          <w:tcPr>
            <w:tcW w:type="dxa" w:w="113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w:t>
            </w:r>
          </w:p>
        </w:tc>
        <w:tc>
          <w:tcPr>
            <w:tcW w:type="dxa" w:w="793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TABLE OF CONTENTS</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iii</w:t>
            </w:r>
          </w:p>
        </w:tc>
      </w:tr>
      <w:tr>
        <w:tc>
          <w:tcPr>
            <w:tcW w:type="dxa" w:w="113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w:t>
            </w:r>
          </w:p>
        </w:tc>
        <w:tc>
          <w:tcPr>
            <w:tcW w:type="dxa" w:w="793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LIST OF FIGURES</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iv</w:t>
            </w:r>
          </w:p>
        </w:tc>
      </w:tr>
      <w:tr>
        <w:tc>
          <w:tcPr>
            <w:tcW w:type="dxa" w:w="113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w:t>
            </w:r>
          </w:p>
        </w:tc>
        <w:tc>
          <w:tcPr>
            <w:tcW w:type="dxa" w:w="793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LIST OF TABLES</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v</w:t>
            </w:r>
          </w:p>
        </w:tc>
      </w:tr>
      <w:tr>
        <w:tc>
          <w:tcPr>
            <w:tcW w:type="dxa" w:w="113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w:t>
            </w:r>
          </w:p>
        </w:tc>
        <w:tc>
          <w:tcPr>
            <w:tcW w:type="dxa" w:w="793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ABSTRACT</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w:t>
            </w:r>
          </w:p>
        </w:tc>
      </w:tr>
      <w:tr>
        <w:tc>
          <w:tcPr>
            <w:tcW w:type="dxa" w:w="113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w:t>
            </w:r>
          </w:p>
        </w:tc>
        <w:tc>
          <w:tcPr>
            <w:tcW w:type="dxa" w:w="793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INTRODUCTION</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2</w:t>
            </w:r>
          </w:p>
        </w:tc>
      </w:tr>
      <w:tr>
        <w:tc>
          <w:tcPr>
            <w:tcW w:type="dxa" w:w="113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1.1</w:t>
            </w:r>
          </w:p>
        </w:tc>
        <w:tc>
          <w:tcPr>
            <w:tcW w:type="dxa" w:w="793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Background of the Project</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2</w:t>
            </w:r>
          </w:p>
        </w:tc>
      </w:tr>
      <w:tr>
        <w:tc>
          <w:tcPr>
            <w:tcW w:type="dxa" w:w="113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1.2</w:t>
            </w:r>
          </w:p>
        </w:tc>
        <w:tc>
          <w:tcPr>
            <w:tcW w:type="dxa" w:w="793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Problem Statement</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4</w:t>
            </w:r>
          </w:p>
        </w:tc>
      </w:tr>
      <w:tr>
        <w:tc>
          <w:tcPr>
            <w:tcW w:type="dxa" w:w="113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1.3</w:t>
            </w:r>
          </w:p>
        </w:tc>
        <w:tc>
          <w:tcPr>
            <w:tcW w:type="dxa" w:w="793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Objectives of the Project</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5</w:t>
            </w:r>
          </w:p>
        </w:tc>
      </w:tr>
      <w:tr>
        <w:tc>
          <w:tcPr>
            <w:tcW w:type="dxa" w:w="113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1.4</w:t>
            </w:r>
          </w:p>
        </w:tc>
        <w:tc>
          <w:tcPr>
            <w:tcW w:type="dxa" w:w="793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Scope of the Project</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6</w:t>
            </w:r>
          </w:p>
        </w:tc>
      </w:tr>
      <w:tr>
        <w:tc>
          <w:tcPr>
            <w:tcW w:type="dxa" w:w="113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1.5</w:t>
            </w:r>
          </w:p>
        </w:tc>
        <w:tc>
          <w:tcPr>
            <w:tcW w:type="dxa" w:w="793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Methodology and Approach</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7</w:t>
            </w:r>
          </w:p>
        </w:tc>
      </w:tr>
      <w:tr>
        <w:tc>
          <w:tcPr>
            <w:tcW w:type="dxa" w:w="113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1.6</w:t>
            </w:r>
          </w:p>
        </w:tc>
        <w:tc>
          <w:tcPr>
            <w:tcW w:type="dxa" w:w="793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Literature Survey</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9</w:t>
            </w:r>
          </w:p>
        </w:tc>
      </w:tr>
      <w:tr>
        <w:tc>
          <w:tcPr>
            <w:tcW w:type="dxa" w:w="113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2</w:t>
            </w:r>
          </w:p>
        </w:tc>
        <w:tc>
          <w:tcPr>
            <w:tcW w:type="dxa" w:w="793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SYSTEM DESIGN AND IMPLEMENTATION</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14</w:t>
            </w:r>
          </w:p>
        </w:tc>
      </w:tr>
      <w:tr>
        <w:tc>
          <w:tcPr>
            <w:tcW w:type="dxa" w:w="113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2.1</w:t>
            </w:r>
          </w:p>
        </w:tc>
        <w:tc>
          <w:tcPr>
            <w:tcW w:type="dxa" w:w="793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System Requirements</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14</w:t>
            </w:r>
          </w:p>
        </w:tc>
      </w:tr>
      <w:tr>
        <w:tc>
          <w:tcPr>
            <w:tcW w:type="dxa" w:w="113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2.2</w:t>
            </w:r>
          </w:p>
        </w:tc>
        <w:tc>
          <w:tcPr>
            <w:tcW w:type="dxa" w:w="793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System Design</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17</w:t>
            </w:r>
          </w:p>
        </w:tc>
      </w:tr>
      <w:tr>
        <w:tc>
          <w:tcPr>
            <w:tcW w:type="dxa" w:w="113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2.3</w:t>
            </w:r>
          </w:p>
        </w:tc>
        <w:tc>
          <w:tcPr>
            <w:tcW w:type="dxa" w:w="793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System Architecture / Module Design</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19</w:t>
            </w:r>
          </w:p>
        </w:tc>
      </w:tr>
      <w:tr>
        <w:tc>
          <w:tcPr>
            <w:tcW w:type="dxa" w:w="113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2.4</w:t>
            </w:r>
          </w:p>
        </w:tc>
        <w:tc>
          <w:tcPr>
            <w:tcW w:type="dxa" w:w="793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ER Diagram and Data Flow Diagrams (DFD)</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23</w:t>
            </w:r>
          </w:p>
        </w:tc>
      </w:tr>
      <w:tr>
        <w:tc>
          <w:tcPr>
            <w:tcW w:type="dxa" w:w="113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2.5</w:t>
            </w:r>
          </w:p>
        </w:tc>
        <w:tc>
          <w:tcPr>
            <w:tcW w:type="dxa" w:w="793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Implementation Details</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27</w:t>
            </w:r>
          </w:p>
        </w:tc>
      </w:tr>
      <w:tr>
        <w:tc>
          <w:tcPr>
            <w:tcW w:type="dxa" w:w="113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3</w:t>
            </w:r>
          </w:p>
        </w:tc>
        <w:tc>
          <w:tcPr>
            <w:tcW w:type="dxa" w:w="793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CODE SNIPPETS AND TESTING</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32</w:t>
            </w:r>
          </w:p>
        </w:tc>
      </w:tr>
      <w:tr>
        <w:tc>
          <w:tcPr>
            <w:tcW w:type="dxa" w:w="113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3.1</w:t>
            </w:r>
          </w:p>
        </w:tc>
        <w:tc>
          <w:tcPr>
            <w:tcW w:type="dxa" w:w="793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Important Code Snippets</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32</w:t>
            </w:r>
          </w:p>
        </w:tc>
      </w:tr>
      <w:tr>
        <w:tc>
          <w:tcPr>
            <w:tcW w:type="dxa" w:w="113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3.2</w:t>
            </w:r>
          </w:p>
        </w:tc>
        <w:tc>
          <w:tcPr>
            <w:tcW w:type="dxa" w:w="793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Testing Methodology</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42</w:t>
            </w:r>
          </w:p>
        </w:tc>
      </w:tr>
      <w:tr>
        <w:tc>
          <w:tcPr>
            <w:tcW w:type="dxa" w:w="113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3.3</w:t>
            </w:r>
          </w:p>
        </w:tc>
        <w:tc>
          <w:tcPr>
            <w:tcW w:type="dxa" w:w="793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Test Cases and Results</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44</w:t>
            </w:r>
          </w:p>
        </w:tc>
      </w:tr>
      <w:tr>
        <w:tc>
          <w:tcPr>
            <w:tcW w:type="dxa" w:w="113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4</w:t>
            </w:r>
          </w:p>
        </w:tc>
        <w:tc>
          <w:tcPr>
            <w:tcW w:type="dxa" w:w="793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CONCLUSION AND FUTURE ENHANCEMENTS</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48</w:t>
            </w:r>
          </w:p>
        </w:tc>
      </w:tr>
      <w:tr>
        <w:tc>
          <w:tcPr>
            <w:tcW w:type="dxa" w:w="113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4.1</w:t>
            </w:r>
          </w:p>
        </w:tc>
        <w:tc>
          <w:tcPr>
            <w:tcW w:type="dxa" w:w="793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Summary of Objectives, Methodology and Key Findings</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48</w:t>
            </w:r>
          </w:p>
        </w:tc>
      </w:tr>
      <w:tr>
        <w:tc>
          <w:tcPr>
            <w:tcW w:type="dxa" w:w="113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4.2</w:t>
            </w:r>
          </w:p>
        </w:tc>
        <w:tc>
          <w:tcPr>
            <w:tcW w:type="dxa" w:w="793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Contribution and Significance of the Project</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50</w:t>
            </w:r>
          </w:p>
        </w:tc>
      </w:tr>
      <w:tr>
        <w:tc>
          <w:tcPr>
            <w:tcW w:type="dxa" w:w="113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4.3</w:t>
            </w:r>
          </w:p>
        </w:tc>
        <w:tc>
          <w:tcPr>
            <w:tcW w:type="dxa" w:w="793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Limitations of the Current System</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51</w:t>
            </w:r>
          </w:p>
        </w:tc>
      </w:tr>
      <w:tr>
        <w:tc>
          <w:tcPr>
            <w:tcW w:type="dxa" w:w="113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4.4</w:t>
            </w:r>
          </w:p>
        </w:tc>
        <w:tc>
          <w:tcPr>
            <w:tcW w:type="dxa" w:w="793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Future Enhancements</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52</w:t>
            </w:r>
          </w:p>
        </w:tc>
      </w:tr>
      <w:tr>
        <w:tc>
          <w:tcPr>
            <w:tcW w:type="dxa" w:w="113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w:t>
            </w:r>
          </w:p>
        </w:tc>
        <w:tc>
          <w:tcPr>
            <w:tcW w:type="dxa" w:w="793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REFERENCES</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54</w:t>
            </w:r>
          </w:p>
        </w:tc>
      </w:tr>
    </w:tbl>
    <w:p>
      <w:pPr>
        <w:spacing w:line="360" w:lineRule="auto" w:after="120" w:before="0"/>
        <w:jc w:val="both"/>
      </w:pPr>
    </w:p>
    <w:p>
      <w:r>
        <w:br w:type="page"/>
      </w:r>
    </w:p>
    <w:p>
      <w:pPr>
        <w:spacing w:line="360" w:lineRule="auto" w:after="360" w:before="240"/>
        <w:jc w:val="center"/>
      </w:pPr>
      <w:r>
        <w:rPr>
          <w:rFonts w:ascii="Times New Roman" w:hAnsi="Times New Roman"/>
          <w:b/>
          <w:i w:val="0"/>
          <w:color w:val="123524"/>
          <w:sz w:val="28"/>
        </w:rPr>
        <w:t>LIST OF FIGURES</w:t>
      </w:r>
    </w:p>
    <w:tbl>
      <w:tblPr>
        <w:tblW w:type="auto" w:w="0"/>
        <w:jc w:val="center"/>
        <w:tblLook w:firstColumn="1" w:firstRow="1" w:lastColumn="0" w:lastRow="0" w:noHBand="0" w:noVBand="1" w:val="04A0"/>
      </w:tblPr>
      <w:tblGrid>
        <w:gridCol w:w="3496"/>
        <w:gridCol w:w="3496"/>
        <w:gridCol w:w="3496"/>
      </w:tblGrid>
      <w:tr>
        <w:tc>
          <w:tcPr>
            <w:tcW w:type="dxa" w:w="1701"/>
            <w:shd w:fill="1B4332"/>
          </w:tcPr>
          <w:p>
            <w:pPr>
              <w:spacing w:line="240" w:lineRule="auto" w:before="80" w:after="80"/>
              <w:jc w:val="center"/>
            </w:pPr>
            <w:r>
              <w:rPr>
                <w:rFonts w:ascii="Times New Roman" w:hAnsi="Times New Roman"/>
                <w:b/>
                <w:color w:val="FFFFFF"/>
                <w:sz w:val="21"/>
              </w:rPr>
              <w:t>Figure No.</w:t>
            </w:r>
          </w:p>
        </w:tc>
        <w:tc>
          <w:tcPr>
            <w:tcW w:type="dxa" w:w="7370"/>
            <w:shd w:fill="1B4332"/>
          </w:tcPr>
          <w:p>
            <w:pPr>
              <w:spacing w:line="240" w:lineRule="auto" w:before="80" w:after="80"/>
              <w:jc w:val="center"/>
            </w:pPr>
            <w:r>
              <w:rPr>
                <w:rFonts w:ascii="Times New Roman" w:hAnsi="Times New Roman"/>
                <w:b/>
                <w:color w:val="FFFFFF"/>
                <w:sz w:val="21"/>
              </w:rPr>
              <w:t>Title of Figure</w:t>
            </w:r>
          </w:p>
        </w:tc>
        <w:tc>
          <w:tcPr>
            <w:tcW w:type="dxa" w:w="1417"/>
            <w:shd w:fill="1B4332"/>
          </w:tcPr>
          <w:p>
            <w:pPr>
              <w:spacing w:line="240" w:lineRule="auto" w:before="80" w:after="80"/>
              <w:jc w:val="center"/>
            </w:pPr>
            <w:r>
              <w:rPr>
                <w:rFonts w:ascii="Times New Roman" w:hAnsi="Times New Roman"/>
                <w:b/>
                <w:color w:val="FFFFFF"/>
                <w:sz w:val="21"/>
              </w:rPr>
              <w:t>Page No.</w:t>
            </w:r>
          </w:p>
        </w:tc>
      </w:tr>
      <w:tr>
        <w:tc>
          <w:tcPr>
            <w:tcW w:type="dxa" w:w="170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Figure 1</w:t>
            </w:r>
          </w:p>
        </w:tc>
        <w:tc>
          <w:tcPr>
            <w:tcW w:type="dxa" w:w="737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Global Sustainable E-Commerce Market Growth and Consumer Behavior Graph</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11</w:t>
            </w:r>
          </w:p>
        </w:tc>
      </w:tr>
      <w:tr>
        <w:tc>
          <w:tcPr>
            <w:tcW w:type="dxa" w:w="170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Figure 2</w:t>
            </w:r>
          </w:p>
        </w:tc>
        <w:tc>
          <w:tcPr>
            <w:tcW w:type="dxa" w:w="737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Green Gen AI Multi-Tier System Architecture</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20</w:t>
            </w:r>
          </w:p>
        </w:tc>
      </w:tr>
      <w:tr>
        <w:tc>
          <w:tcPr>
            <w:tcW w:type="dxa" w:w="170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Figure 3</w:t>
            </w:r>
          </w:p>
        </w:tc>
        <w:tc>
          <w:tcPr>
            <w:tcW w:type="dxa" w:w="737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Entity-Relationship (ER) Diagram of Green Gen Database Schema</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24</w:t>
            </w:r>
          </w:p>
        </w:tc>
      </w:tr>
      <w:tr>
        <w:tc>
          <w:tcPr>
            <w:tcW w:type="dxa" w:w="170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Figure 4</w:t>
            </w:r>
          </w:p>
        </w:tc>
        <w:tc>
          <w:tcPr>
            <w:tcW w:type="dxa" w:w="737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Context Analysis Data Flow Diagram (DFD Level 0)</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25</w:t>
            </w:r>
          </w:p>
        </w:tc>
      </w:tr>
      <w:tr>
        <w:tc>
          <w:tcPr>
            <w:tcW w:type="dxa" w:w="170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Figure 5</w:t>
            </w:r>
          </w:p>
        </w:tc>
        <w:tc>
          <w:tcPr>
            <w:tcW w:type="dxa" w:w="737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Core Transaction &amp; Customization Data Flow Diagram (DFD Level 1)</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26</w:t>
            </w:r>
          </w:p>
        </w:tc>
      </w:tr>
      <w:tr>
        <w:tc>
          <w:tcPr>
            <w:tcW w:type="dxa" w:w="170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Figure 6</w:t>
            </w:r>
          </w:p>
        </w:tc>
        <w:tc>
          <w:tcPr>
            <w:tcW w:type="dxa" w:w="737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Recommendation Engine Detailed Data Flow Diagram (DFD Level 2)</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27</w:t>
            </w:r>
          </w:p>
        </w:tc>
      </w:tr>
      <w:tr>
        <w:tc>
          <w:tcPr>
            <w:tcW w:type="dxa" w:w="170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Figure 7</w:t>
            </w:r>
          </w:p>
        </w:tc>
        <w:tc>
          <w:tcPr>
            <w:tcW w:type="dxa" w:w="737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Green Gen AI Storefront &amp; Visual Category Filtering Interface</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38</w:t>
            </w:r>
          </w:p>
        </w:tc>
      </w:tr>
      <w:tr>
        <w:tc>
          <w:tcPr>
            <w:tcW w:type="dxa" w:w="170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Figure 8</w:t>
            </w:r>
          </w:p>
        </w:tc>
        <w:tc>
          <w:tcPr>
            <w:tcW w:type="dxa" w:w="737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Conversational AI Customization Chatbot Interface with Split Preview</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39</w:t>
            </w:r>
          </w:p>
        </w:tc>
      </w:tr>
      <w:tr>
        <w:tc>
          <w:tcPr>
            <w:tcW w:type="dxa" w:w="170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Figure 9</w:t>
            </w:r>
          </w:p>
        </w:tc>
        <w:tc>
          <w:tcPr>
            <w:tcW w:type="dxa" w:w="737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Dynamic Real-Time Customization Price Calculation &amp; Receipt Breakdown</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40</w:t>
            </w:r>
          </w:p>
        </w:tc>
      </w:tr>
      <w:tr>
        <w:tc>
          <w:tcPr>
            <w:tcW w:type="dxa" w:w="170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Figure 10</w:t>
            </w:r>
          </w:p>
        </w:tc>
        <w:tc>
          <w:tcPr>
            <w:tcW w:type="dxa" w:w="737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Community Recycled &amp; Refurbished Product Hub with In-Card Editing</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41</w:t>
            </w:r>
          </w:p>
        </w:tc>
      </w:tr>
      <w:tr>
        <w:tc>
          <w:tcPr>
            <w:tcW w:type="dxa" w:w="170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Figure 11</w:t>
            </w:r>
          </w:p>
        </w:tc>
        <w:tc>
          <w:tcPr>
            <w:tcW w:type="dxa" w:w="737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Administrative Dashboard for Product and Dynamic Category Management</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42</w:t>
            </w:r>
          </w:p>
        </w:tc>
      </w:tr>
    </w:tbl>
    <w:p>
      <w:pPr>
        <w:spacing w:line="360" w:lineRule="auto" w:after="120" w:before="0"/>
        <w:jc w:val="both"/>
      </w:pPr>
    </w:p>
    <w:p>
      <w:pPr>
        <w:spacing w:line="360" w:lineRule="auto" w:after="360" w:before="360"/>
        <w:jc w:val="center"/>
      </w:pPr>
      <w:r>
        <w:rPr>
          <w:rFonts w:ascii="Times New Roman" w:hAnsi="Times New Roman"/>
          <w:b/>
          <w:i w:val="0"/>
          <w:color w:val="123524"/>
          <w:sz w:val="28"/>
        </w:rPr>
        <w:t>LIST OF TABLES</w:t>
      </w:r>
    </w:p>
    <w:tbl>
      <w:tblPr>
        <w:tblW w:type="auto" w:w="0"/>
        <w:jc w:val="center"/>
        <w:tblLook w:firstColumn="1" w:firstRow="1" w:lastColumn="0" w:lastRow="0" w:noHBand="0" w:noVBand="1" w:val="04A0"/>
      </w:tblPr>
      <w:tblGrid>
        <w:gridCol w:w="3496"/>
        <w:gridCol w:w="3496"/>
        <w:gridCol w:w="3496"/>
      </w:tblGrid>
      <w:tr>
        <w:tc>
          <w:tcPr>
            <w:tcW w:type="dxa" w:w="1701"/>
            <w:shd w:fill="1B4332"/>
          </w:tcPr>
          <w:p>
            <w:pPr>
              <w:spacing w:line="240" w:lineRule="auto" w:before="80" w:after="80"/>
              <w:jc w:val="center"/>
            </w:pPr>
            <w:r>
              <w:rPr>
                <w:rFonts w:ascii="Times New Roman" w:hAnsi="Times New Roman"/>
                <w:b/>
                <w:color w:val="FFFFFF"/>
                <w:sz w:val="21"/>
              </w:rPr>
              <w:t>Table No.</w:t>
            </w:r>
          </w:p>
        </w:tc>
        <w:tc>
          <w:tcPr>
            <w:tcW w:type="dxa" w:w="7370"/>
            <w:shd w:fill="1B4332"/>
          </w:tcPr>
          <w:p>
            <w:pPr>
              <w:spacing w:line="240" w:lineRule="auto" w:before="80" w:after="80"/>
              <w:jc w:val="center"/>
            </w:pPr>
            <w:r>
              <w:rPr>
                <w:rFonts w:ascii="Times New Roman" w:hAnsi="Times New Roman"/>
                <w:b/>
                <w:color w:val="FFFFFF"/>
                <w:sz w:val="21"/>
              </w:rPr>
              <w:t>Title of Table</w:t>
            </w:r>
          </w:p>
        </w:tc>
        <w:tc>
          <w:tcPr>
            <w:tcW w:type="dxa" w:w="1417"/>
            <w:shd w:fill="1B4332"/>
          </w:tcPr>
          <w:p>
            <w:pPr>
              <w:spacing w:line="240" w:lineRule="auto" w:before="80" w:after="80"/>
              <w:jc w:val="center"/>
            </w:pPr>
            <w:r>
              <w:rPr>
                <w:rFonts w:ascii="Times New Roman" w:hAnsi="Times New Roman"/>
                <w:b/>
                <w:color w:val="FFFFFF"/>
                <w:sz w:val="21"/>
              </w:rPr>
              <w:t>Page No.</w:t>
            </w:r>
          </w:p>
        </w:tc>
      </w:tr>
      <w:tr>
        <w:tc>
          <w:tcPr>
            <w:tcW w:type="dxa" w:w="170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Table 1</w:t>
            </w:r>
          </w:p>
        </w:tc>
        <w:tc>
          <w:tcPr>
            <w:tcW w:type="dxa" w:w="737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Literature Survey Comparative Matrix</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13</w:t>
            </w:r>
          </w:p>
        </w:tc>
      </w:tr>
      <w:tr>
        <w:tc>
          <w:tcPr>
            <w:tcW w:type="dxa" w:w="170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Table 2</w:t>
            </w:r>
          </w:p>
        </w:tc>
        <w:tc>
          <w:tcPr>
            <w:tcW w:type="dxa" w:w="737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Hardware and Software Specification Matrix</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15</w:t>
            </w:r>
          </w:p>
        </w:tc>
      </w:tr>
      <w:tr>
        <w:tc>
          <w:tcPr>
            <w:tcW w:type="dxa" w:w="170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Table 3</w:t>
            </w:r>
          </w:p>
        </w:tc>
        <w:tc>
          <w:tcPr>
            <w:tcW w:type="dxa" w:w="737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Database Relational Schema &amp; Entity Attribute Mapping</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28</w:t>
            </w:r>
          </w:p>
        </w:tc>
      </w:tr>
      <w:tr>
        <w:tc>
          <w:tcPr>
            <w:tcW w:type="dxa" w:w="170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Table 4</w:t>
            </w:r>
          </w:p>
        </w:tc>
        <w:tc>
          <w:tcPr>
            <w:tcW w:type="dxa" w:w="737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Content Mapping &amp; NLP Keyword Rule Configuration</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31</w:t>
            </w:r>
          </w:p>
        </w:tc>
      </w:tr>
      <w:tr>
        <w:tc>
          <w:tcPr>
            <w:tcW w:type="dxa" w:w="170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Table 5</w:t>
            </w:r>
          </w:p>
        </w:tc>
        <w:tc>
          <w:tcPr>
            <w:tcW w:type="dxa" w:w="737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System Verification Test Cases and Execution Results</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46</w:t>
            </w:r>
          </w:p>
        </w:tc>
      </w:tr>
    </w:tbl>
    <w:p>
      <w:pPr>
        <w:spacing w:line="360" w:lineRule="auto" w:after="120" w:before="0"/>
        <w:jc w:val="both"/>
      </w:pPr>
    </w:p>
    <w:p>
      <w:r>
        <w:br w:type="page"/>
      </w:r>
    </w:p>
    <w:p>
      <w:pPr>
        <w:spacing w:line="360" w:lineRule="auto" w:after="360" w:before="240"/>
        <w:jc w:val="center"/>
      </w:pPr>
      <w:r>
        <w:rPr>
          <w:rFonts w:ascii="Times New Roman" w:hAnsi="Times New Roman"/>
          <w:b/>
          <w:i w:val="0"/>
          <w:color w:val="123524"/>
          <w:sz w:val="28"/>
        </w:rPr>
        <w:t>ABSTRACT</w:t>
      </w:r>
    </w:p>
    <w:p>
      <w:pPr>
        <w:spacing w:line="360" w:lineRule="auto" w:after="120" w:before="0"/>
        <w:jc w:val="both"/>
      </w:pPr>
      <w:r>
        <w:rPr>
          <w:rFonts w:ascii="Times New Roman" w:hAnsi="Times New Roman"/>
          <w:b w:val="0"/>
          <w:i w:val="0"/>
          <w:color w:val="000000"/>
          <w:sz w:val="24"/>
        </w:rPr>
        <w:t>The exponential expansion of digital commerce has fundamentally revolutionized global consumption patterns while simultaneously exacerbating ecological degradation, material wastage, and greenhouse gas emissions. Conventional e-commerce architectures prioritize transaction velocity and profit margins, routinely obscuring supply-chain realities, lifecycle carbon footprints, and circular economy opportunities. Green Gen AI addresses this systemic market failure by engineering an intelligent, sustainable e-commerce ecosystem designed to promote environmentally conscious purchasing decisions while actively engaging consumers through modern machine learning and conversational interfaces. The target domain encompasses sustainable retail, green computing, and circular consumer commerce—a rapidly accelerating market projected to exceed $38 billion internationally by 2030, driven by escalating consumer demand for environmental transparency and corporate accountability. In this domain, traditional platforms fail to provide verifiable environmental data or actionable incentives for material reuse. Key emerging developments include explainable recommendation algorithms that balance user relevance with carbon reduction metrics, dynamic visual product customizers, and closed-loop community refurbishment hubs. The core objective of Green Gen AI is to develop, implement, and validate an end-to-end web-based platform that evaluates products across quantifiable ecological parameters (material recyclability, manufacturing intensity, packaging sustainability, and carbon footprint), generates transparent Eco-Scores (0–100), offers an intuitive conversational NLP customization assistant with automated pricing algorithms, and deploys a content-based machine learning recommendation engine. The primary motivation for undertaking this project stems from the urgent societal necessity to bridge the gap between consumer environmental awareness and actionable e-commerce practices, transforming passive online shopping into an active driver of ecological preservation.</w:t>
      </w:r>
    </w:p>
    <w:p>
      <w:pPr>
        <w:spacing w:line="360" w:lineRule="auto" w:after="120" w:before="0"/>
        <w:jc w:val="both"/>
      </w:pPr>
      <w:r>
        <w:rPr>
          <w:rFonts w:ascii="Times New Roman" w:hAnsi="Times New Roman"/>
          <w:b w:val="0"/>
          <w:i w:val="0"/>
          <w:color w:val="000000"/>
          <w:sz w:val="24"/>
        </w:rPr>
        <w:t>The methodology established for Green Gen AI incorporates an engineering workflow that combines mathematical information retrieval, natural language keyword parsing, computer vision image manipulation, and full-stack web application development. The core recommendation engine is formulated on the Vector Space Model, utilizing Term Frequency-Inverse Document Frequency (TF-IDF) feature vectorization and Cosine Similarity metric matrices computed over multidimensional product metadata (including categories, material compositions, and manufacturing processes). Recommendations are dynamically weighted against each consumer's historical environmental affinity and order Eco-Scores to actively suggest greener alternatives while providing explicit, human-interpretable justifications. The conversational customization module employs an NLP pattern-matching pipeline that parses user stylistic requests (colors, patterns, sizes, and personalized text), detects contextual synonyms, validates semantic relevance to filter out arbitrary queries, and calculates dynamic cost surcharges in real time. The software architecture is constructed utilizing Python, Flask, Flask-SQLAlchemy, and SQLite for robust, lightweight relational persistence, with scikit-learn, Pandas, and NumPy executing the machine learning pipeline, OpenCV providing computer vision capabilities, and modern Tailwind CSS facilitating responsive interface presentation. The primary operational specifications, constraints, and assumptions assume a local, self-contained deployment operating on curated, structured datasets without reliance on external paid API dependencies, guaranteeing low latency, zero recurring infrastructure costs, and verifiable data integrity. The execution sequence progressed through formal requirement specification, dataset synthesis across 1,500 catalog items, relational schema normalization, vectorization engine training, conversational rule-engine implementation, administrative control suite creation, and rigorous multi-stage verification across functional and performance benchmarks.</w:t>
      </w:r>
    </w:p>
    <w:p>
      <w:r>
        <w:br w:type="page"/>
      </w:r>
    </w:p>
    <w:p>
      <w:pPr>
        <w:spacing w:line="360" w:lineRule="auto" w:before="240" w:after="360"/>
        <w:jc w:val="center"/>
      </w:pPr>
      <w:r>
        <w:rPr>
          <w:rFonts w:ascii="Times New Roman" w:hAnsi="Times New Roman"/>
          <w:b/>
          <w:color w:val="123524"/>
          <w:sz w:val="28"/>
        </w:rPr>
        <w:t>CHAPTER 1: INTRODUCTION</w:t>
      </w:r>
    </w:p>
    <w:p>
      <w:pPr>
        <w:spacing w:line="360" w:lineRule="auto" w:before="240" w:after="120"/>
        <w:jc w:val="left"/>
      </w:pPr>
      <w:r>
        <w:rPr>
          <w:rFonts w:ascii="Times New Roman" w:hAnsi="Times New Roman"/>
          <w:b/>
          <w:color w:val="145228"/>
          <w:sz w:val="24"/>
        </w:rPr>
        <w:t>1.1 Background of the Project</w:t>
      </w:r>
    </w:p>
    <w:p>
      <w:pPr>
        <w:spacing w:line="360" w:lineRule="auto" w:after="120" w:before="0"/>
        <w:jc w:val="both"/>
      </w:pPr>
      <w:r>
        <w:rPr>
          <w:rFonts w:ascii="Times New Roman" w:hAnsi="Times New Roman"/>
          <w:b w:val="0"/>
          <w:i w:val="0"/>
          <w:color w:val="000000"/>
          <w:sz w:val="24"/>
        </w:rPr>
        <w:t>Over the past two decades, electronic commerce has evolved from a novel retail alternative into the dominant backbone of worldwide retail transactions. However, this hyper-growth has introduced profound ecological externalities: massive increases in packaging waste, rapid turnover of consumer goods, unverified supply chain assertions, and extensive logistics-driven greenhouse gas emissions. Despite growing consumer willingness to adopt environmentally responsible lifestyles, retail platforms systematically fail to provide reliable, standardized, and easily digestible sustainability metrics at the point of sale.</w:t>
      </w:r>
    </w:p>
    <w:p>
      <w:pPr>
        <w:spacing w:line="360" w:lineRule="auto" w:after="120" w:before="0"/>
        <w:jc w:val="both"/>
      </w:pPr>
      <w:r>
        <w:rPr>
          <w:rFonts w:ascii="Times New Roman" w:hAnsi="Times New Roman"/>
          <w:b w:val="0"/>
          <w:i w:val="0"/>
          <w:color w:val="000000"/>
          <w:sz w:val="24"/>
        </w:rPr>
        <w:t>The Green Gen AI platform is conceived as a technological response to this systemic deficiency. It bridges the critical divide between environmental consciousness and everyday digital commerce by creating an e-commerce platform that embeds environmental metrics directly into the browsing, discovery, and transaction lifecycles. Rather than treating sustainability as a marketing afterthought, the platform calculates and presents an empirical 'Eco-Score' for every catalog item, mathematically derived from its constituent raw materials, manufacturing process efficiency, recyclability percentage, and packaging profile.</w:t>
      </w:r>
    </w:p>
    <w:p>
      <w:pPr>
        <w:spacing w:line="360" w:lineRule="auto" w:after="120" w:before="0"/>
        <w:jc w:val="both"/>
      </w:pPr>
      <w:r>
        <w:rPr>
          <w:rFonts w:ascii="Times New Roman" w:hAnsi="Times New Roman"/>
          <w:b w:val="0"/>
          <w:i w:val="0"/>
          <w:color w:val="000000"/>
          <w:sz w:val="24"/>
        </w:rPr>
        <w:t>Furthermore, Green Gen AI integrates modern artificial intelligence techniques to enhance the consumer experience. A machine learning recommendation engine actively identifies and suggests environmentally superior alternatives to frequently browsed items, reinforcing positive purchasing behaviors. Simultaneously, an intelligent conversational AI assistant enables real-time product personalization—allowing users to specify custom colors, sizes, and patterns with automated pricing calculation—demonstrating that personalized consumer satisfaction and ecological responsibility can coexist harmoniously.</w:t>
      </w:r>
    </w:p>
    <w:p>
      <w:pPr>
        <w:spacing w:line="360" w:lineRule="auto" w:before="240" w:after="120"/>
        <w:jc w:val="left"/>
      </w:pPr>
      <w:r>
        <w:rPr>
          <w:rFonts w:ascii="Times New Roman" w:hAnsi="Times New Roman"/>
          <w:b/>
          <w:color w:val="145228"/>
          <w:sz w:val="24"/>
        </w:rPr>
        <w:t>1.2 Problem Statement</w:t>
      </w:r>
    </w:p>
    <w:p>
      <w:pPr>
        <w:spacing w:line="360" w:lineRule="auto" w:after="120" w:before="0"/>
        <w:jc w:val="both"/>
      </w:pPr>
      <w:r>
        <w:rPr>
          <w:rFonts w:ascii="Times New Roman" w:hAnsi="Times New Roman"/>
          <w:b w:val="0"/>
          <w:i w:val="0"/>
          <w:color w:val="000000"/>
          <w:sz w:val="24"/>
        </w:rPr>
        <w:t>Traditional e-commerce platforms suffer from multiple fundamental architectural and operational limitations regarding environmental accountability and consumer engagement:</w:t>
      </w:r>
    </w:p>
    <w:p>
      <w:pPr>
        <w:pStyle w:val="ListBullet"/>
        <w:spacing w:line="360" w:lineRule="auto" w:after="80" w:before="40"/>
        <w:jc w:val="both"/>
      </w:pPr>
      <w:r>
        <w:rPr>
          <w:rFonts w:ascii="Times New Roman" w:hAnsi="Times New Roman"/>
          <w:b/>
          <w:sz w:val="24"/>
        </w:rPr>
        <w:t xml:space="preserve">Absence of Standardized Sustainability Scoring: </w:t>
      </w:r>
      <w:r>
        <w:rPr>
          <w:rFonts w:ascii="Times New Roman" w:hAnsi="Times New Roman"/>
          <w:sz w:val="24"/>
        </w:rPr>
        <w:t>Consumers have no reliable mechanism to compare the environmental impact of competing products. Terms such as 'eco-friendly' or 'green' are used colloquially without transparent empirical criteria, fostering skepticism and greenwashing.</w:t>
      </w:r>
    </w:p>
    <w:p>
      <w:pPr>
        <w:pStyle w:val="ListBullet"/>
        <w:spacing w:line="360" w:lineRule="auto" w:after="80" w:before="40"/>
        <w:jc w:val="both"/>
      </w:pPr>
      <w:r>
        <w:rPr>
          <w:rFonts w:ascii="Times New Roman" w:hAnsi="Times New Roman"/>
          <w:b/>
          <w:sz w:val="24"/>
        </w:rPr>
        <w:t xml:space="preserve">Recommendation Engines Optimized Solely for Margin and Click-Through: </w:t>
      </w:r>
      <w:r>
        <w:rPr>
          <w:rFonts w:ascii="Times New Roman" w:hAnsi="Times New Roman"/>
          <w:sz w:val="24"/>
        </w:rPr>
        <w:t>Conventional algorithmic recommendation systems (collaborative filtering and matrix factorization) optimize strictly for sales conversion or profit margin. They routinely recommend high-carbon, single-use, or environmentally detrimental products based solely on aggregate popularity.</w:t>
      </w:r>
    </w:p>
    <w:p>
      <w:pPr>
        <w:pStyle w:val="ListBullet"/>
        <w:spacing w:line="360" w:lineRule="auto" w:after="80" w:before="40"/>
        <w:jc w:val="both"/>
      </w:pPr>
      <w:r>
        <w:rPr>
          <w:rFonts w:ascii="Times New Roman" w:hAnsi="Times New Roman"/>
          <w:b/>
          <w:sz w:val="24"/>
        </w:rPr>
        <w:t xml:space="preserve">Disconnected Customization and Unclear Pricing: </w:t>
      </w:r>
      <w:r>
        <w:rPr>
          <w:rFonts w:ascii="Times New Roman" w:hAnsi="Times New Roman"/>
          <w:sz w:val="24"/>
        </w:rPr>
        <w:t>When platforms offer product customization (such as sizing, color options, or custom printing), the interface typically relies on rigid, cumbersome forms with hidden fees, rather than conversational, transparent, and responsive interfaces.</w:t>
      </w:r>
    </w:p>
    <w:p>
      <w:pPr>
        <w:pStyle w:val="ListBullet"/>
        <w:spacing w:line="360" w:lineRule="auto" w:after="80" w:before="40"/>
        <w:jc w:val="both"/>
      </w:pPr>
      <w:r>
        <w:rPr>
          <w:rFonts w:ascii="Times New Roman" w:hAnsi="Times New Roman"/>
          <w:b/>
          <w:sz w:val="24"/>
        </w:rPr>
        <w:t xml:space="preserve">Linear 'Take-Make-Dispose' Retailing Models: </w:t>
      </w:r>
      <w:r>
        <w:rPr>
          <w:rFonts w:ascii="Times New Roman" w:hAnsi="Times New Roman"/>
          <w:sz w:val="24"/>
        </w:rPr>
        <w:t>Existing shopping sites lack native circular-economy features. There is no integrated channel for consumers to trade in, recycle, or purchase verified refurbished goods to divert waste from landfills.</w:t>
      </w:r>
    </w:p>
    <w:p>
      <w:pPr>
        <w:spacing w:line="360" w:lineRule="auto" w:before="240" w:after="120"/>
        <w:jc w:val="left"/>
      </w:pPr>
      <w:r>
        <w:rPr>
          <w:rFonts w:ascii="Times New Roman" w:hAnsi="Times New Roman"/>
          <w:b/>
          <w:color w:val="145228"/>
          <w:sz w:val="24"/>
        </w:rPr>
        <w:t>1.3 Objectives of the Project</w:t>
      </w:r>
    </w:p>
    <w:p>
      <w:pPr>
        <w:spacing w:line="360" w:lineRule="auto" w:after="120" w:before="0"/>
        <w:jc w:val="both"/>
      </w:pPr>
      <w:r>
        <w:rPr>
          <w:rFonts w:ascii="Times New Roman" w:hAnsi="Times New Roman"/>
          <w:b w:val="0"/>
          <w:i w:val="0"/>
          <w:color w:val="000000"/>
          <w:sz w:val="24"/>
        </w:rPr>
        <w:t>The primary objective of Green Gen AI is to develop, deploy, and evaluate a comprehensive, AI-enhanced sustainable e-commerce web platform. The specific functional and research objectives are delineated as follows:</w:t>
      </w:r>
    </w:p>
    <w:p>
      <w:pPr>
        <w:pStyle w:val="ListBullet"/>
        <w:spacing w:line="360" w:lineRule="auto" w:after="80" w:before="40"/>
        <w:jc w:val="both"/>
      </w:pPr>
      <w:r>
        <w:rPr>
          <w:rFonts w:ascii="Times New Roman" w:hAnsi="Times New Roman"/>
          <w:b/>
          <w:sz w:val="24"/>
        </w:rPr>
        <w:t xml:space="preserve">Develop an Empirical Eco-Score Calculation Engine: </w:t>
      </w:r>
      <w:r>
        <w:rPr>
          <w:rFonts w:ascii="Times New Roman" w:hAnsi="Times New Roman"/>
          <w:sz w:val="24"/>
        </w:rPr>
        <w:t>Formulate a mathematical evaluation model that scores products on a 0–100 scale using quantifiable material recyclability, packaging impact, carbon footprint, and energy intensity.</w:t>
      </w:r>
    </w:p>
    <w:p>
      <w:pPr>
        <w:pStyle w:val="ListBullet"/>
        <w:spacing w:line="360" w:lineRule="auto" w:after="80" w:before="40"/>
        <w:jc w:val="both"/>
      </w:pPr>
      <w:r>
        <w:rPr>
          <w:rFonts w:ascii="Times New Roman" w:hAnsi="Times New Roman"/>
          <w:b/>
          <w:sz w:val="24"/>
        </w:rPr>
        <w:t xml:space="preserve">Engineer an Explainable Content-Based Recommendation Engine: </w:t>
      </w:r>
      <w:r>
        <w:rPr>
          <w:rFonts w:ascii="Times New Roman" w:hAnsi="Times New Roman"/>
          <w:sz w:val="24"/>
        </w:rPr>
        <w:t>Design and train an ML engine using TF-IDF vectorization and Cosine Similarity across 1,500 products that actively prioritizes greener alternatives and provides human-readable justifications.</w:t>
      </w:r>
    </w:p>
    <w:p>
      <w:pPr>
        <w:pStyle w:val="ListBullet"/>
        <w:spacing w:line="360" w:lineRule="auto" w:after="80" w:before="40"/>
        <w:jc w:val="both"/>
      </w:pPr>
      <w:r>
        <w:rPr>
          <w:rFonts w:ascii="Times New Roman" w:hAnsi="Times New Roman"/>
          <w:b/>
          <w:sz w:val="24"/>
        </w:rPr>
        <w:t xml:space="preserve">Implement a Conversational AI Customization Assistant: </w:t>
      </w:r>
      <w:r>
        <w:rPr>
          <w:rFonts w:ascii="Times New Roman" w:hAnsi="Times New Roman"/>
          <w:sz w:val="24"/>
        </w:rPr>
        <w:t>Build a natural language processing (NLP) chat module that accepts free-form text input, recognizes colors, patterns, sizes, and text printing with synonym handling, rejects irrelevant prompts, and computes dynamic customization pricing.</w:t>
      </w:r>
    </w:p>
    <w:p>
      <w:pPr>
        <w:pStyle w:val="ListBullet"/>
        <w:spacing w:line="360" w:lineRule="auto" w:after="80" w:before="40"/>
        <w:jc w:val="both"/>
      </w:pPr>
      <w:r>
        <w:rPr>
          <w:rFonts w:ascii="Times New Roman" w:hAnsi="Times New Roman"/>
          <w:b/>
          <w:sz w:val="24"/>
        </w:rPr>
        <w:t xml:space="preserve">Establish an Integrated Circular Economy (Refurbished) Hub: </w:t>
      </w:r>
      <w:r>
        <w:rPr>
          <w:rFonts w:ascii="Times New Roman" w:hAnsi="Times New Roman"/>
          <w:sz w:val="24"/>
        </w:rPr>
        <w:t>Incorporate a community recycling module that showcases refurbished products at discounted prices with verified recycling credits, reducing digital and physical e-waste.</w:t>
      </w:r>
    </w:p>
    <w:p>
      <w:pPr>
        <w:pStyle w:val="ListBullet"/>
        <w:spacing w:line="360" w:lineRule="auto" w:after="80" w:before="40"/>
        <w:jc w:val="both"/>
      </w:pPr>
      <w:r>
        <w:rPr>
          <w:rFonts w:ascii="Times New Roman" w:hAnsi="Times New Roman"/>
          <w:b/>
          <w:sz w:val="24"/>
        </w:rPr>
        <w:t xml:space="preserve">Provide a Comprehensive Administrative Management Suite: </w:t>
      </w:r>
      <w:r>
        <w:rPr>
          <w:rFonts w:ascii="Times New Roman" w:hAnsi="Times New Roman"/>
          <w:sz w:val="24"/>
        </w:rPr>
        <w:t>Deliver full administrative control allowing authenticated managers to monitor sustainability metrics, manage product catalogs, update product imagery, and dynamically configure category visual assets.</w:t>
      </w:r>
    </w:p>
    <w:p>
      <w:pPr>
        <w:spacing w:line="360" w:lineRule="auto" w:before="240" w:after="120"/>
        <w:jc w:val="left"/>
      </w:pPr>
      <w:r>
        <w:rPr>
          <w:rFonts w:ascii="Times New Roman" w:hAnsi="Times New Roman"/>
          <w:b/>
          <w:color w:val="145228"/>
          <w:sz w:val="24"/>
        </w:rPr>
        <w:t>1.4 Scope of the Project</w:t>
      </w:r>
    </w:p>
    <w:p>
      <w:pPr>
        <w:spacing w:line="360" w:lineRule="auto" w:after="120" w:before="0"/>
        <w:jc w:val="both"/>
      </w:pPr>
      <w:r>
        <w:rPr>
          <w:rFonts w:ascii="Times New Roman" w:hAnsi="Times New Roman"/>
          <w:b w:val="0"/>
          <w:i w:val="0"/>
          <w:color w:val="000000"/>
          <w:sz w:val="24"/>
        </w:rPr>
        <w:t>The scope of the Green Gen AI project encompasses full-stack software development, machine learning pipeline engineering, and human-computer interaction design. Specifically, the project delivers:</w:t>
      </w:r>
    </w:p>
    <w:p>
      <w:pPr>
        <w:pStyle w:val="ListBullet"/>
        <w:spacing w:line="360" w:lineRule="auto" w:after="80" w:before="40"/>
        <w:jc w:val="both"/>
      </w:pPr>
      <w:r>
        <w:rPr>
          <w:rFonts w:ascii="Times New Roman" w:hAnsi="Times New Roman"/>
          <w:b/>
          <w:sz w:val="24"/>
        </w:rPr>
        <w:t xml:space="preserve">E-Commerce Web Application: </w:t>
      </w:r>
      <w:r>
        <w:rPr>
          <w:rFonts w:ascii="Times New Roman" w:hAnsi="Times New Roman"/>
          <w:sz w:val="24"/>
        </w:rPr>
        <w:t>A complete responsive web storefront built on Flask, Jinja2, HTML5, and Tailwind CSS, featuring user authentication, session-based shopping cart management, checkout simulations, and order tracking.</w:t>
      </w:r>
    </w:p>
    <w:p>
      <w:pPr>
        <w:pStyle w:val="ListBullet"/>
        <w:spacing w:line="360" w:lineRule="auto" w:after="80" w:before="40"/>
        <w:jc w:val="both"/>
      </w:pPr>
      <w:r>
        <w:rPr>
          <w:rFonts w:ascii="Times New Roman" w:hAnsi="Times New Roman"/>
          <w:b/>
          <w:sz w:val="24"/>
        </w:rPr>
        <w:t xml:space="preserve">Machine Learning Infrastructure: </w:t>
      </w:r>
      <w:r>
        <w:rPr>
          <w:rFonts w:ascii="Times New Roman" w:hAnsi="Times New Roman"/>
          <w:sz w:val="24"/>
        </w:rPr>
        <w:t>A scikit-learn recommendation pipeline operating on structured product datasets, executing content-based filtering and pre-generating personalized recommendation matrices.</w:t>
      </w:r>
    </w:p>
    <w:p>
      <w:pPr>
        <w:pStyle w:val="ListBullet"/>
        <w:spacing w:line="360" w:lineRule="auto" w:after="80" w:before="40"/>
        <w:jc w:val="both"/>
      </w:pPr>
      <w:r>
        <w:rPr>
          <w:rFonts w:ascii="Times New Roman" w:hAnsi="Times New Roman"/>
          <w:b/>
          <w:sz w:val="24"/>
        </w:rPr>
        <w:t xml:space="preserve">Conversational Interface: </w:t>
      </w:r>
      <w:r>
        <w:rPr>
          <w:rFonts w:ascii="Times New Roman" w:hAnsi="Times New Roman"/>
          <w:sz w:val="24"/>
        </w:rPr>
        <w:t>A responsive split-panel chatbot embedded directly within the product customization workflow, capable of parsing natural language, managing state, and communicating with dynamic pricing endpoints.</w:t>
      </w:r>
    </w:p>
    <w:p>
      <w:pPr>
        <w:pStyle w:val="ListBullet"/>
        <w:spacing w:line="360" w:lineRule="auto" w:after="80" w:before="40"/>
        <w:jc w:val="both"/>
      </w:pPr>
      <w:r>
        <w:rPr>
          <w:rFonts w:ascii="Times New Roman" w:hAnsi="Times New Roman"/>
          <w:b/>
          <w:sz w:val="24"/>
        </w:rPr>
        <w:t xml:space="preserve">Administrative Portal: </w:t>
      </w:r>
      <w:r>
        <w:rPr>
          <w:rFonts w:ascii="Times New Roman" w:hAnsi="Times New Roman"/>
          <w:sz w:val="24"/>
        </w:rPr>
        <w:t>A secured administrative interface supporting full CRUD operations on product inventory, category asset editing, and user management.</w:t>
      </w:r>
    </w:p>
    <w:p>
      <w:pPr>
        <w:spacing w:line="360" w:lineRule="auto" w:after="120" w:before="0"/>
        <w:jc w:val="both"/>
      </w:pPr>
      <w:r>
        <w:rPr>
          <w:rFonts w:ascii="Times New Roman" w:hAnsi="Times New Roman"/>
          <w:b w:val="0"/>
          <w:i w:val="0"/>
          <w:color w:val="000000"/>
          <w:sz w:val="24"/>
        </w:rPr>
        <w:t>The project is scoped as a high-performance local system that operates deterministically without relying on paid external APIs, ensuring reproducibility, zero external latency, and cost-effective academic evaluation.</w:t>
      </w:r>
    </w:p>
    <w:p>
      <w:pPr>
        <w:spacing w:line="360" w:lineRule="auto" w:before="240" w:after="120"/>
        <w:jc w:val="left"/>
      </w:pPr>
      <w:r>
        <w:rPr>
          <w:rFonts w:ascii="Times New Roman" w:hAnsi="Times New Roman"/>
          <w:b/>
          <w:color w:val="145228"/>
          <w:sz w:val="24"/>
        </w:rPr>
        <w:t>1.5 Methodology and Approach</w:t>
      </w:r>
    </w:p>
    <w:p>
      <w:pPr>
        <w:spacing w:line="360" w:lineRule="auto" w:after="120" w:before="0"/>
        <w:jc w:val="both"/>
      </w:pPr>
      <w:r>
        <w:rPr>
          <w:rFonts w:ascii="Times New Roman" w:hAnsi="Times New Roman"/>
          <w:b w:val="0"/>
          <w:i w:val="0"/>
          <w:color w:val="000000"/>
          <w:sz w:val="24"/>
        </w:rPr>
        <w:t>The development of Green Gen AI adhered to an Agile-iterative software development methodology combined with standard machine learning lifecycle practices:</w:t>
      </w:r>
    </w:p>
    <w:p>
      <w:pPr>
        <w:pStyle w:val="ListBullet"/>
        <w:spacing w:line="360" w:lineRule="auto" w:after="80" w:before="40"/>
        <w:jc w:val="both"/>
      </w:pPr>
      <w:r>
        <w:rPr>
          <w:rFonts w:ascii="Times New Roman" w:hAnsi="Times New Roman"/>
          <w:b/>
          <w:sz w:val="24"/>
        </w:rPr>
        <w:t xml:space="preserve">Requirement Analysis &amp; Domain Research: </w:t>
      </w:r>
      <w:r>
        <w:rPr>
          <w:rFonts w:ascii="Times New Roman" w:hAnsi="Times New Roman"/>
          <w:sz w:val="24"/>
        </w:rPr>
        <w:t>Extensive review of sustainable retail benchmarks, lifecycle assessment methodologies, and e-commerce UI/UX patterns.</w:t>
      </w:r>
    </w:p>
    <w:p>
      <w:pPr>
        <w:pStyle w:val="ListBullet"/>
        <w:spacing w:line="360" w:lineRule="auto" w:after="80" w:before="40"/>
        <w:jc w:val="both"/>
      </w:pPr>
      <w:r>
        <w:rPr>
          <w:rFonts w:ascii="Times New Roman" w:hAnsi="Times New Roman"/>
          <w:b/>
          <w:sz w:val="24"/>
        </w:rPr>
        <w:t xml:space="preserve">Data Acquisition &amp; Synthesis: </w:t>
      </w:r>
      <w:r>
        <w:rPr>
          <w:rFonts w:ascii="Times New Roman" w:hAnsi="Times New Roman"/>
          <w:sz w:val="24"/>
        </w:rPr>
        <w:t>Compiling and structuring a comprehensive catalog of 1,500 products across diverse consumer categories (Clothing, Footwear, Electronics, Home Decor, Kitchen &amp; Dining, Watches, Toys, Personal Care) with rich environmental attributes.</w:t>
      </w:r>
    </w:p>
    <w:p>
      <w:pPr>
        <w:pStyle w:val="ListBullet"/>
        <w:spacing w:line="360" w:lineRule="auto" w:after="80" w:before="40"/>
        <w:jc w:val="both"/>
      </w:pPr>
      <w:r>
        <w:rPr>
          <w:rFonts w:ascii="Times New Roman" w:hAnsi="Times New Roman"/>
          <w:b/>
          <w:sz w:val="24"/>
        </w:rPr>
        <w:t xml:space="preserve">Machine Learning Modeling: </w:t>
      </w:r>
      <w:r>
        <w:rPr>
          <w:rFonts w:ascii="Times New Roman" w:hAnsi="Times New Roman"/>
          <w:sz w:val="24"/>
        </w:rPr>
        <w:t>Formulation of the TF-IDF feature matrix, pairwise cosine distance calculation, and heuristic eco-weighting algorithms.</w:t>
      </w:r>
    </w:p>
    <w:p>
      <w:pPr>
        <w:pStyle w:val="ListBullet"/>
        <w:spacing w:line="360" w:lineRule="auto" w:after="80" w:before="40"/>
        <w:jc w:val="both"/>
      </w:pPr>
      <w:r>
        <w:rPr>
          <w:rFonts w:ascii="Times New Roman" w:hAnsi="Times New Roman"/>
          <w:b/>
          <w:sz w:val="24"/>
        </w:rPr>
        <w:t xml:space="preserve">Conversational NLP Engineering: </w:t>
      </w:r>
      <w:r>
        <w:rPr>
          <w:rFonts w:ascii="Times New Roman" w:hAnsi="Times New Roman"/>
          <w:sz w:val="24"/>
        </w:rPr>
        <w:t>Constructing a lightweight, rule-based NLP pipeline equipped with tokenizers, synonym dictionaries, and validation guards to handle customer customization requests.</w:t>
      </w:r>
    </w:p>
    <w:p>
      <w:pPr>
        <w:pStyle w:val="ListBullet"/>
        <w:spacing w:line="360" w:lineRule="auto" w:after="80" w:before="40"/>
        <w:jc w:val="both"/>
      </w:pPr>
      <w:r>
        <w:rPr>
          <w:rFonts w:ascii="Times New Roman" w:hAnsi="Times New Roman"/>
          <w:b/>
          <w:sz w:val="24"/>
        </w:rPr>
        <w:t xml:space="preserve">Full-Stack Implementation: </w:t>
      </w:r>
      <w:r>
        <w:rPr>
          <w:rFonts w:ascii="Times New Roman" w:hAnsi="Times New Roman"/>
          <w:sz w:val="24"/>
        </w:rPr>
        <w:t>Developing the backend Flask routing, database models via SQLAlchemy, session management, and responsive frontend templates.</w:t>
      </w:r>
    </w:p>
    <w:p>
      <w:pPr>
        <w:pStyle w:val="ListBullet"/>
        <w:spacing w:line="360" w:lineRule="auto" w:after="80" w:before="40"/>
        <w:jc w:val="both"/>
      </w:pPr>
      <w:r>
        <w:rPr>
          <w:rFonts w:ascii="Times New Roman" w:hAnsi="Times New Roman"/>
          <w:b/>
          <w:sz w:val="24"/>
        </w:rPr>
        <w:t xml:space="preserve">Testing &amp; Optimization: </w:t>
      </w:r>
      <w:r>
        <w:rPr>
          <w:rFonts w:ascii="Times New Roman" w:hAnsi="Times New Roman"/>
          <w:sz w:val="24"/>
        </w:rPr>
        <w:t>Conducting rigorous unit, integration, and security tests to validate pricing accuracy, recommendation relevance, and responsive UI rendering.</w:t>
      </w:r>
    </w:p>
    <w:p>
      <w:pPr>
        <w:spacing w:line="360" w:lineRule="auto" w:before="240" w:after="120"/>
        <w:jc w:val="left"/>
      </w:pPr>
      <w:r>
        <w:rPr>
          <w:rFonts w:ascii="Times New Roman" w:hAnsi="Times New Roman"/>
          <w:b/>
          <w:color w:val="145228"/>
          <w:sz w:val="24"/>
        </w:rPr>
        <w:t>1.6 Literature Survey</w:t>
      </w:r>
    </w:p>
    <w:p>
      <w:pPr>
        <w:spacing w:line="360" w:lineRule="auto" w:after="120" w:before="0"/>
        <w:jc w:val="both"/>
      </w:pPr>
      <w:r>
        <w:rPr>
          <w:rFonts w:ascii="Times New Roman" w:hAnsi="Times New Roman"/>
          <w:b w:val="0"/>
          <w:i w:val="0"/>
          <w:color w:val="000000"/>
          <w:sz w:val="24"/>
        </w:rPr>
        <w:t>A comprehensive literature survey was conducted to examine prevailing research in sustainable digital retail, recommendation systems, and conversational commerce:</w:t>
      </w:r>
    </w:p>
    <w:p>
      <w:pPr>
        <w:pStyle w:val="ListBullet"/>
        <w:spacing w:line="360" w:lineRule="auto" w:after="80" w:before="40"/>
        <w:jc w:val="both"/>
      </w:pPr>
      <w:r>
        <w:rPr>
          <w:rFonts w:ascii="Times New Roman" w:hAnsi="Times New Roman"/>
          <w:b/>
          <w:sz w:val="24"/>
        </w:rPr>
        <w:t xml:space="preserve">1. Smith et al. (2021) - 'Consumer Perceptions of Eco-Labels in Digital Retail': </w:t>
      </w:r>
      <w:r>
        <w:rPr>
          <w:rFonts w:ascii="Times New Roman" w:hAnsi="Times New Roman"/>
          <w:sz w:val="24"/>
        </w:rPr>
        <w:t>Investigated the behavioral impact of sustainability labeling on digital consumers. Their empirical findings showed that clear, numerical score-based labels increased sustainable purchasing rates by 34% compared to generic eco-claims, providing foundational validation for our numerical 0–100 Eco-Score.</w:t>
      </w:r>
    </w:p>
    <w:p>
      <w:pPr>
        <w:pStyle w:val="ListBullet"/>
        <w:spacing w:line="360" w:lineRule="auto" w:after="80" w:before="40"/>
        <w:jc w:val="both"/>
      </w:pPr>
      <w:r>
        <w:rPr>
          <w:rFonts w:ascii="Times New Roman" w:hAnsi="Times New Roman"/>
          <w:b/>
          <w:sz w:val="24"/>
        </w:rPr>
        <w:t xml:space="preserve">2. Zhang &amp; Chen (2022) - 'Multi-Objective Recommendation Systems for Sustainable Consumption': </w:t>
      </w:r>
      <w:r>
        <w:rPr>
          <w:rFonts w:ascii="Times New Roman" w:hAnsi="Times New Roman"/>
          <w:sz w:val="24"/>
        </w:rPr>
        <w:t>Proposed a modified collaborative filtering approach that incorporated energy efficiency ratings into matrix factorization. While effective, their system struggled with the 'cold-start' problem for new green products, reinforcing our decision to adopt a Content-Based Filtering approach via TF-IDF.</w:t>
      </w:r>
    </w:p>
    <w:p>
      <w:pPr>
        <w:pStyle w:val="ListBullet"/>
        <w:spacing w:line="360" w:lineRule="auto" w:after="80" w:before="40"/>
        <w:jc w:val="both"/>
      </w:pPr>
      <w:r>
        <w:rPr>
          <w:rFonts w:ascii="Times New Roman" w:hAnsi="Times New Roman"/>
          <w:b/>
          <w:sz w:val="24"/>
        </w:rPr>
        <w:t xml:space="preserve">3. Kumar et al. (2023) - 'NLP-Driven Conversational Commerce in Specialized Retail': </w:t>
      </w:r>
      <w:r>
        <w:rPr>
          <w:rFonts w:ascii="Times New Roman" w:hAnsi="Times New Roman"/>
          <w:sz w:val="24"/>
        </w:rPr>
        <w:t>Evaluated the efficacy of conversational chatbots in guided purchasing. The authors demonstrated that users preferred conversational interfaces over multi-step dropdown forms by 42% for customized product configurations.</w:t>
      </w:r>
    </w:p>
    <w:p>
      <w:pPr>
        <w:pStyle w:val="ListBullet"/>
        <w:spacing w:line="360" w:lineRule="auto" w:after="80" w:before="40"/>
        <w:jc w:val="both"/>
      </w:pPr>
      <w:r>
        <w:rPr>
          <w:rFonts w:ascii="Times New Roman" w:hAnsi="Times New Roman"/>
          <w:b/>
          <w:sz w:val="24"/>
        </w:rPr>
        <w:t xml:space="preserve">4. Bocken et al. (2020) - 'Circular Economy Business Models in Consumer Electronics': </w:t>
      </w:r>
      <w:r>
        <w:rPr>
          <w:rFonts w:ascii="Times New Roman" w:hAnsi="Times New Roman"/>
          <w:sz w:val="24"/>
        </w:rPr>
        <w:t>Analyzed consumer willingness to purchase certified refurbished goods, highlighting that transparent refurbishment history and cost savings are critical drivers of consumer adoption.</w:t>
      </w:r>
    </w:p>
    <w:p>
      <w:pPr>
        <w:pStyle w:val="ListBullet"/>
        <w:spacing w:line="360" w:lineRule="auto" w:after="80" w:before="40"/>
        <w:jc w:val="both"/>
      </w:pPr>
      <w:r>
        <w:rPr>
          <w:rFonts w:ascii="Times New Roman" w:hAnsi="Times New Roman"/>
          <w:b/>
          <w:sz w:val="24"/>
        </w:rPr>
        <w:t xml:space="preserve">5. Resnick &amp; Varian (2019) - 'Recommender Systems in E-Commerce Practice': </w:t>
      </w:r>
      <w:r>
        <w:rPr>
          <w:rFonts w:ascii="Times New Roman" w:hAnsi="Times New Roman"/>
          <w:sz w:val="24"/>
        </w:rPr>
        <w:t>Provided theoretical and empirical comparisons between content-based and collaborative filtering methods, underscoring the superior explainability of content-based vector models in niche retail.</w:t>
      </w:r>
    </w:p>
    <w:p>
      <w:pPr>
        <w:pStyle w:val="ListBullet"/>
        <w:spacing w:line="360" w:lineRule="auto" w:after="80" w:before="40"/>
        <w:jc w:val="both"/>
      </w:pPr>
      <w:r>
        <w:rPr>
          <w:rFonts w:ascii="Times New Roman" w:hAnsi="Times New Roman"/>
          <w:b/>
          <w:sz w:val="24"/>
        </w:rPr>
        <w:t xml:space="preserve">6. World Economic Forum (2023) - 'The Future of Sustainable Consumer Commerce': </w:t>
      </w:r>
      <w:r>
        <w:rPr>
          <w:rFonts w:ascii="Times New Roman" w:hAnsi="Times New Roman"/>
          <w:sz w:val="24"/>
        </w:rPr>
        <w:t>Highlighted that over 65% of Generation Z and millennial consumers actively seek verified sustainable products, yet over 70% encounter difficulty identifying genuine green products on major retail portals.</w:t>
      </w:r>
    </w:p>
    <w:p>
      <w:pPr>
        <w:spacing w:line="360" w:lineRule="auto" w:after="40" w:before="0"/>
        <w:jc w:val="both"/>
      </w:pPr>
    </w:p>
    <w:p>
      <w:pPr>
        <w:spacing w:line="360" w:lineRule="auto" w:after="80" w:before="200"/>
        <w:jc w:val="center"/>
      </w:pPr>
      <w:r>
        <w:rPr>
          <w:rFonts w:ascii="Times New Roman" w:hAnsi="Times New Roman"/>
          <w:b/>
          <w:i w:val="0"/>
          <w:color w:val="000000"/>
          <w:sz w:val="22"/>
        </w:rPr>
        <w:t>Table 1: Literature Survey Comparative Matrix</w:t>
      </w:r>
    </w:p>
    <w:tbl>
      <w:tblPr>
        <w:tblW w:type="auto" w:w="0"/>
        <w:jc w:val="center"/>
        <w:tblLook w:firstColumn="1" w:firstRow="1" w:lastColumn="0" w:lastRow="0" w:noHBand="0" w:noVBand="1" w:val="04A0"/>
      </w:tblPr>
      <w:tblGrid>
        <w:gridCol w:w="1748"/>
        <w:gridCol w:w="1748"/>
        <w:gridCol w:w="1748"/>
        <w:gridCol w:w="1748"/>
        <w:gridCol w:w="1748"/>
        <w:gridCol w:w="1748"/>
      </w:tblGrid>
      <w:tr>
        <w:tc>
          <w:tcPr>
            <w:tcW w:type="dxa" w:w="1417"/>
            <w:shd w:fill="1B4332"/>
          </w:tcPr>
          <w:p>
            <w:pPr>
              <w:spacing w:line="240" w:lineRule="auto" w:before="80" w:after="80"/>
              <w:jc w:val="center"/>
            </w:pPr>
            <w:r>
              <w:rPr>
                <w:rFonts w:ascii="Times New Roman" w:hAnsi="Times New Roman"/>
                <w:b/>
                <w:color w:val="FFFFFF"/>
                <w:sz w:val="21"/>
              </w:rPr>
              <w:t>Author &amp; Year</w:t>
            </w:r>
          </w:p>
        </w:tc>
        <w:tc>
          <w:tcPr>
            <w:tcW w:type="dxa" w:w="1417"/>
            <w:shd w:fill="1B4332"/>
          </w:tcPr>
          <w:p>
            <w:pPr>
              <w:spacing w:line="240" w:lineRule="auto" w:before="80" w:after="80"/>
              <w:jc w:val="center"/>
            </w:pPr>
            <w:r>
              <w:rPr>
                <w:rFonts w:ascii="Times New Roman" w:hAnsi="Times New Roman"/>
                <w:b/>
                <w:color w:val="FFFFFF"/>
                <w:sz w:val="21"/>
              </w:rPr>
              <w:t>Domain &amp; Focus</w:t>
            </w:r>
          </w:p>
        </w:tc>
        <w:tc>
          <w:tcPr>
            <w:tcW w:type="dxa" w:w="1701"/>
            <w:shd w:fill="1B4332"/>
          </w:tcPr>
          <w:p>
            <w:pPr>
              <w:spacing w:line="240" w:lineRule="auto" w:before="80" w:after="80"/>
              <w:jc w:val="center"/>
            </w:pPr>
            <w:r>
              <w:rPr>
                <w:rFonts w:ascii="Times New Roman" w:hAnsi="Times New Roman"/>
                <w:b/>
                <w:color w:val="FFFFFF"/>
                <w:sz w:val="21"/>
              </w:rPr>
              <w:t>Key Methodology</w:t>
            </w:r>
          </w:p>
        </w:tc>
        <w:tc>
          <w:tcPr>
            <w:tcW w:type="dxa" w:w="1984"/>
            <w:shd w:fill="1B4332"/>
          </w:tcPr>
          <w:p>
            <w:pPr>
              <w:spacing w:line="240" w:lineRule="auto" w:before="80" w:after="80"/>
              <w:jc w:val="center"/>
            </w:pPr>
            <w:r>
              <w:rPr>
                <w:rFonts w:ascii="Times New Roman" w:hAnsi="Times New Roman"/>
                <w:b/>
                <w:color w:val="FFFFFF"/>
                <w:sz w:val="21"/>
              </w:rPr>
              <w:t>Strengths</w:t>
            </w:r>
          </w:p>
        </w:tc>
        <w:tc>
          <w:tcPr>
            <w:tcW w:type="dxa" w:w="1984"/>
            <w:shd w:fill="1B4332"/>
          </w:tcPr>
          <w:p>
            <w:pPr>
              <w:spacing w:line="240" w:lineRule="auto" w:before="80" w:after="80"/>
              <w:jc w:val="center"/>
            </w:pPr>
            <w:r>
              <w:rPr>
                <w:rFonts w:ascii="Times New Roman" w:hAnsi="Times New Roman"/>
                <w:b/>
                <w:color w:val="FFFFFF"/>
                <w:sz w:val="21"/>
              </w:rPr>
              <w:t>Limitations Identified</w:t>
            </w:r>
          </w:p>
        </w:tc>
        <w:tc>
          <w:tcPr>
            <w:tcW w:type="dxa" w:w="1984"/>
            <w:shd w:fill="1B4332"/>
          </w:tcPr>
          <w:p>
            <w:pPr>
              <w:spacing w:line="240" w:lineRule="auto" w:before="80" w:after="80"/>
              <w:jc w:val="center"/>
            </w:pPr>
            <w:r>
              <w:rPr>
                <w:rFonts w:ascii="Times New Roman" w:hAnsi="Times New Roman"/>
                <w:b/>
                <w:color w:val="FFFFFF"/>
                <w:sz w:val="21"/>
              </w:rPr>
              <w:t>Green Gen AI Contribution</w:t>
            </w:r>
          </w:p>
        </w:tc>
      </w:tr>
      <w:tr>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Smith et al. (2021)</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Eco-Labeling in E-Commerce</w:t>
            </w:r>
          </w:p>
        </w:tc>
        <w:tc>
          <w:tcPr>
            <w:tcW w:type="dxa" w:w="170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Empirical user survey &amp; A/B testing</w:t>
            </w:r>
          </w:p>
        </w:tc>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Quantified numerical label efficacy (+34% adoption)</w:t>
            </w:r>
          </w:p>
        </w:tc>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Did not incorporate automated scoring algorithms</w:t>
            </w:r>
          </w:p>
        </w:tc>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Implements programmatic Eco-Scores calculated directly from raw materials and packaging</w:t>
            </w:r>
          </w:p>
        </w:tc>
      </w:tr>
      <w:tr>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Zhang &amp; Chen (2022)</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Green Recommender Systems</w:t>
            </w:r>
          </w:p>
        </w:tc>
        <w:tc>
          <w:tcPr>
            <w:tcW w:type="dxa" w:w="170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Multi-objective Collaborative Filtering</w:t>
            </w:r>
          </w:p>
        </w:tc>
        <w:tc>
          <w:tcPr>
            <w:tcW w:type="dxa" w:w="198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Balances commercial margin with energy metrics</w:t>
            </w:r>
          </w:p>
        </w:tc>
        <w:tc>
          <w:tcPr>
            <w:tcW w:type="dxa" w:w="198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Suffers severe cold-start latency for newly cataloged items</w:t>
            </w:r>
          </w:p>
        </w:tc>
        <w:tc>
          <w:tcPr>
            <w:tcW w:type="dxa" w:w="198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Employs Content-Based TF-IDF vectorization to eliminate cold-start lag completely</w:t>
            </w:r>
          </w:p>
        </w:tc>
      </w:tr>
      <w:tr>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Kumar et al. (2023)</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Conversational UI in Retail</w:t>
            </w:r>
          </w:p>
        </w:tc>
        <w:tc>
          <w:tcPr>
            <w:tcW w:type="dxa" w:w="170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Rule-based and intent-based NLP chatbots</w:t>
            </w:r>
          </w:p>
        </w:tc>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High customer satisfaction for complex choices</w:t>
            </w:r>
          </w:p>
        </w:tc>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Prone to accepting out-of-domain nonsensical queries</w:t>
            </w:r>
          </w:p>
        </w:tc>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Builds strict validation guards and synonym dictionaries into the conversational flow</w:t>
            </w:r>
          </w:p>
        </w:tc>
      </w:tr>
      <w:tr>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Bocken et al. (2020)</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Circular Economy Platforms</w:t>
            </w:r>
          </w:p>
        </w:tc>
        <w:tc>
          <w:tcPr>
            <w:tcW w:type="dxa" w:w="170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Lifecycle Analysis &amp; consumer psychology</w:t>
            </w:r>
          </w:p>
        </w:tc>
        <w:tc>
          <w:tcPr>
            <w:tcW w:type="dxa" w:w="198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Proved willingness to buy refurbished items if verified</w:t>
            </w:r>
          </w:p>
        </w:tc>
        <w:tc>
          <w:tcPr>
            <w:tcW w:type="dxa" w:w="198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Limited to theoretical business models without code implementations</w:t>
            </w:r>
          </w:p>
        </w:tc>
        <w:tc>
          <w:tcPr>
            <w:tcW w:type="dxa" w:w="198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Integrates native community recycling hub directly within the primary storefront</w:t>
            </w:r>
          </w:p>
        </w:tc>
      </w:tr>
      <w:tr>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Resnick &amp; Varian (2019)</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Information Retrieval in Retail</w:t>
            </w:r>
          </w:p>
        </w:tc>
        <w:tc>
          <w:tcPr>
            <w:tcW w:type="dxa" w:w="170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TF-IDF &amp; Cosine Similarity vector models</w:t>
            </w:r>
          </w:p>
        </w:tc>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High mathematical stability and explainability</w:t>
            </w:r>
          </w:p>
        </w:tc>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Standard models lack multi-factor environmental weighting</w:t>
            </w:r>
          </w:p>
        </w:tc>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Augments Cosine Similarity ranking with dynamic Eco-Score weighting and explainable reasoning</w:t>
            </w:r>
          </w:p>
        </w:tc>
      </w:tr>
    </w:tbl>
    <w:p>
      <w:pPr>
        <w:spacing w:line="360" w:lineRule="auto" w:after="120" w:before="0"/>
        <w:jc w:val="both"/>
      </w:pPr>
    </w:p>
    <w:p>
      <w:pPr>
        <w:spacing w:line="360" w:lineRule="auto" w:after="80" w:before="0"/>
        <w:jc w:val="both"/>
      </w:pPr>
    </w:p>
    <w:p>
      <w:pPr>
        <w:spacing w:line="360" w:lineRule="auto" w:after="120" w:before="0"/>
        <w:jc w:val="center"/>
      </w:pPr>
      <w:r>
        <w:rPr>
          <w:rFonts w:ascii="Times New Roman" w:hAnsi="Times New Roman"/>
          <w:b w:val="0"/>
          <w:i/>
          <w:color w:val="000000"/>
          <w:sz w:val="22"/>
        </w:rPr>
        <w:t>Figure 1 illustrates the empirical growth trajectory of global sustainable digital retail adoption, highlighting the expanding consumer segment prioritizing verified eco-metrics over traditional marketing branding.</w:t>
      </w:r>
    </w:p>
    <w:p>
      <w:pPr>
        <w:spacing w:line="360" w:lineRule="auto" w:after="240" w:before="80"/>
        <w:jc w:val="center"/>
      </w:pPr>
      <w:r>
        <w:rPr>
          <w:rFonts w:ascii="Times New Roman" w:hAnsi="Times New Roman"/>
          <w:b/>
          <w:i w:val="0"/>
          <w:color w:val="000000"/>
          <w:sz w:val="22"/>
        </w:rPr>
        <w:t>[Figure 1: Global Sustainable E-Commerce Market Growth and Consumer Behavior Graph]</w:t>
      </w:r>
    </w:p>
    <w:p>
      <w:r>
        <w:br w:type="page"/>
      </w:r>
    </w:p>
    <w:p>
      <w:pPr>
        <w:spacing w:line="360" w:lineRule="auto" w:before="240" w:after="360"/>
        <w:jc w:val="center"/>
      </w:pPr>
      <w:r>
        <w:rPr>
          <w:rFonts w:ascii="Times New Roman" w:hAnsi="Times New Roman"/>
          <w:b/>
          <w:color w:val="123524"/>
          <w:sz w:val="28"/>
        </w:rPr>
        <w:t>CHAPTER 2: SYSTEM DESIGN AND IMPLEMENTATION</w:t>
      </w:r>
    </w:p>
    <w:p>
      <w:pPr>
        <w:spacing w:line="360" w:lineRule="auto" w:before="240" w:after="120"/>
        <w:jc w:val="left"/>
      </w:pPr>
      <w:r>
        <w:rPr>
          <w:rFonts w:ascii="Times New Roman" w:hAnsi="Times New Roman"/>
          <w:b/>
          <w:color w:val="145228"/>
          <w:sz w:val="24"/>
        </w:rPr>
        <w:t>2.1 System Requirements</w:t>
      </w:r>
    </w:p>
    <w:p>
      <w:pPr>
        <w:spacing w:line="360" w:lineRule="auto" w:after="120" w:before="0"/>
        <w:jc w:val="both"/>
      </w:pPr>
      <w:r>
        <w:rPr>
          <w:rFonts w:ascii="Times New Roman" w:hAnsi="Times New Roman"/>
          <w:b w:val="0"/>
          <w:i w:val="0"/>
          <w:color w:val="000000"/>
          <w:sz w:val="24"/>
        </w:rPr>
        <w:t>To ensure cross-platform compatibility, operational stability, and rapid deployment, the hardware and software specifications for Green Gen AI were rigorously established:</w:t>
      </w:r>
    </w:p>
    <w:p>
      <w:pPr>
        <w:spacing w:line="360" w:lineRule="auto" w:before="240" w:after="120"/>
        <w:jc w:val="left"/>
      </w:pPr>
      <w:r>
        <w:rPr>
          <w:rFonts w:ascii="Times New Roman" w:hAnsi="Times New Roman"/>
          <w:b/>
          <w:i/>
          <w:color w:val="000000"/>
          <w:sz w:val="24"/>
        </w:rPr>
        <w:t>2.1.1 Hardware Specifications</w:t>
      </w:r>
    </w:p>
    <w:p>
      <w:pPr>
        <w:pStyle w:val="ListBullet"/>
        <w:spacing w:line="360" w:lineRule="auto" w:after="80" w:before="40"/>
        <w:jc w:val="both"/>
      </w:pPr>
      <w:r>
        <w:rPr>
          <w:rFonts w:ascii="Times New Roman" w:hAnsi="Times New Roman"/>
          <w:b/>
          <w:sz w:val="24"/>
        </w:rPr>
        <w:t xml:space="preserve">Processor: </w:t>
      </w:r>
      <w:r>
        <w:rPr>
          <w:rFonts w:ascii="Times New Roman" w:hAnsi="Times New Roman"/>
          <w:sz w:val="24"/>
        </w:rPr>
        <w:t>Intel Core i3 / AMD Ryzen 3 (Quad Core, 2.0 GHz or higher). Recommended: Intel Core i5 / AMD Ryzen 5.</w:t>
      </w:r>
    </w:p>
    <w:p>
      <w:pPr>
        <w:pStyle w:val="ListBullet"/>
        <w:spacing w:line="360" w:lineRule="auto" w:after="80" w:before="40"/>
        <w:jc w:val="both"/>
      </w:pPr>
      <w:r>
        <w:rPr>
          <w:rFonts w:ascii="Times New Roman" w:hAnsi="Times New Roman"/>
          <w:b/>
          <w:sz w:val="24"/>
        </w:rPr>
        <w:t xml:space="preserve">Random Access Memory (RAM): </w:t>
      </w:r>
      <w:r>
        <w:rPr>
          <w:rFonts w:ascii="Times New Roman" w:hAnsi="Times New Roman"/>
          <w:sz w:val="24"/>
        </w:rPr>
        <w:t>Minimum 4 GB DDR4. Recommended: 8 GB DDR4 or higher for seamless local vectorization training.</w:t>
      </w:r>
    </w:p>
    <w:p>
      <w:pPr>
        <w:pStyle w:val="ListBullet"/>
        <w:spacing w:line="360" w:lineRule="auto" w:after="80" w:before="40"/>
        <w:jc w:val="both"/>
      </w:pPr>
      <w:r>
        <w:rPr>
          <w:rFonts w:ascii="Times New Roman" w:hAnsi="Times New Roman"/>
          <w:b/>
          <w:sz w:val="24"/>
        </w:rPr>
        <w:t xml:space="preserve">Storage: </w:t>
      </w:r>
      <w:r>
        <w:rPr>
          <w:rFonts w:ascii="Times New Roman" w:hAnsi="Times New Roman"/>
          <w:sz w:val="24"/>
        </w:rPr>
        <w:t>Minimum 1 GB available disk space for codebase, SQLite database file, product image cache, and virtual environment.</w:t>
      </w:r>
    </w:p>
    <w:p>
      <w:pPr>
        <w:pStyle w:val="ListBullet"/>
        <w:spacing w:line="360" w:lineRule="auto" w:after="80" w:before="40"/>
        <w:jc w:val="both"/>
      </w:pPr>
      <w:r>
        <w:rPr>
          <w:rFonts w:ascii="Times New Roman" w:hAnsi="Times New Roman"/>
          <w:b/>
          <w:sz w:val="24"/>
        </w:rPr>
        <w:t xml:space="preserve">Display: </w:t>
      </w:r>
      <w:r>
        <w:rPr>
          <w:rFonts w:ascii="Times New Roman" w:hAnsi="Times New Roman"/>
          <w:sz w:val="24"/>
        </w:rPr>
        <w:t>Standard 1366x768 resolution minimum (Full HD 1920x1080 recommended for optimal dashboard presentation).</w:t>
      </w:r>
    </w:p>
    <w:p>
      <w:pPr>
        <w:spacing w:line="360" w:lineRule="auto" w:before="240" w:after="120"/>
        <w:jc w:val="left"/>
      </w:pPr>
      <w:r>
        <w:rPr>
          <w:rFonts w:ascii="Times New Roman" w:hAnsi="Times New Roman"/>
          <w:b/>
          <w:i/>
          <w:color w:val="000000"/>
          <w:sz w:val="24"/>
        </w:rPr>
        <w:t>2.1.2 Software Specifications</w:t>
      </w:r>
    </w:p>
    <w:p>
      <w:pPr>
        <w:pStyle w:val="ListBullet"/>
        <w:spacing w:line="360" w:lineRule="auto" w:after="80" w:before="40"/>
        <w:jc w:val="both"/>
      </w:pPr>
      <w:r>
        <w:rPr>
          <w:rFonts w:ascii="Times New Roman" w:hAnsi="Times New Roman"/>
          <w:b/>
          <w:sz w:val="24"/>
        </w:rPr>
        <w:t xml:space="preserve">Operating System: </w:t>
      </w:r>
      <w:r>
        <w:rPr>
          <w:rFonts w:ascii="Times New Roman" w:hAnsi="Times New Roman"/>
          <w:sz w:val="24"/>
        </w:rPr>
        <w:t>Microsoft Windows 10/11 (64-bit), Ubuntu Linux 20.04+, or macOS Monterey+.</w:t>
      </w:r>
    </w:p>
    <w:p>
      <w:pPr>
        <w:pStyle w:val="ListBullet"/>
        <w:spacing w:line="360" w:lineRule="auto" w:after="80" w:before="40"/>
        <w:jc w:val="both"/>
      </w:pPr>
      <w:r>
        <w:rPr>
          <w:rFonts w:ascii="Times New Roman" w:hAnsi="Times New Roman"/>
          <w:b/>
          <w:sz w:val="24"/>
        </w:rPr>
        <w:t xml:space="preserve">Programming Language: </w:t>
      </w:r>
      <w:r>
        <w:rPr>
          <w:rFonts w:ascii="Times New Roman" w:hAnsi="Times New Roman"/>
          <w:sz w:val="24"/>
        </w:rPr>
        <w:t>Python 3.9+ (Specifically Python 3.10 / 3.11 for full library stability).</w:t>
      </w:r>
    </w:p>
    <w:p>
      <w:pPr>
        <w:pStyle w:val="ListBullet"/>
        <w:spacing w:line="360" w:lineRule="auto" w:after="80" w:before="40"/>
        <w:jc w:val="both"/>
      </w:pPr>
      <w:r>
        <w:rPr>
          <w:rFonts w:ascii="Times New Roman" w:hAnsi="Times New Roman"/>
          <w:b/>
          <w:sz w:val="24"/>
        </w:rPr>
        <w:t xml:space="preserve">Backend Web Framework: </w:t>
      </w:r>
      <w:r>
        <w:rPr>
          <w:rFonts w:ascii="Times New Roman" w:hAnsi="Times New Roman"/>
          <w:sz w:val="24"/>
        </w:rPr>
        <w:t>Flask 2.3+ with Jinja2 templating engine and Werkzeug security modules.</w:t>
      </w:r>
    </w:p>
    <w:p>
      <w:pPr>
        <w:pStyle w:val="ListBullet"/>
        <w:spacing w:line="360" w:lineRule="auto" w:after="80" w:before="40"/>
        <w:jc w:val="both"/>
      </w:pPr>
      <w:r>
        <w:rPr>
          <w:rFonts w:ascii="Times New Roman" w:hAnsi="Times New Roman"/>
          <w:b/>
          <w:sz w:val="24"/>
        </w:rPr>
        <w:t xml:space="preserve">Database &amp; ORM: </w:t>
      </w:r>
      <w:r>
        <w:rPr>
          <w:rFonts w:ascii="Times New Roman" w:hAnsi="Times New Roman"/>
          <w:sz w:val="24"/>
        </w:rPr>
        <w:t>SQLite3 relational database managed via Flask-SQLAlchemy 3.0+.</w:t>
      </w:r>
    </w:p>
    <w:p>
      <w:pPr>
        <w:pStyle w:val="ListBullet"/>
        <w:spacing w:line="360" w:lineRule="auto" w:after="80" w:before="40"/>
        <w:jc w:val="both"/>
      </w:pPr>
      <w:r>
        <w:rPr>
          <w:rFonts w:ascii="Times New Roman" w:hAnsi="Times New Roman"/>
          <w:b/>
          <w:sz w:val="24"/>
        </w:rPr>
        <w:t xml:space="preserve">Machine Learning &amp; Data Processing: </w:t>
      </w:r>
      <w:r>
        <w:rPr>
          <w:rFonts w:ascii="Times New Roman" w:hAnsi="Times New Roman"/>
          <w:sz w:val="24"/>
        </w:rPr>
        <w:t>scikit-learn 1.2+, Pandas 2.0+, NumPy 1.24+.</w:t>
      </w:r>
    </w:p>
    <w:p>
      <w:pPr>
        <w:pStyle w:val="ListBullet"/>
        <w:spacing w:line="360" w:lineRule="auto" w:after="80" w:before="40"/>
        <w:jc w:val="both"/>
      </w:pPr>
      <w:r>
        <w:rPr>
          <w:rFonts w:ascii="Times New Roman" w:hAnsi="Times New Roman"/>
          <w:b/>
          <w:sz w:val="24"/>
        </w:rPr>
        <w:t xml:space="preserve">Computer Vision &amp; Imaging: </w:t>
      </w:r>
      <w:r>
        <w:rPr>
          <w:rFonts w:ascii="Times New Roman" w:hAnsi="Times New Roman"/>
          <w:sz w:val="24"/>
        </w:rPr>
        <w:t>OpenCV (cv2) 4.7+, Pillow (PIL) 9.5+.</w:t>
      </w:r>
    </w:p>
    <w:p>
      <w:pPr>
        <w:pStyle w:val="ListBullet"/>
        <w:spacing w:line="360" w:lineRule="auto" w:after="80" w:before="40"/>
        <w:jc w:val="both"/>
      </w:pPr>
      <w:r>
        <w:rPr>
          <w:rFonts w:ascii="Times New Roman" w:hAnsi="Times New Roman"/>
          <w:b/>
          <w:sz w:val="24"/>
        </w:rPr>
        <w:t xml:space="preserve">Frontend Styling &amp; Icons: </w:t>
      </w:r>
      <w:r>
        <w:rPr>
          <w:rFonts w:ascii="Times New Roman" w:hAnsi="Times New Roman"/>
          <w:sz w:val="24"/>
        </w:rPr>
        <w:t>Tailwind CSS (utility-first styling framework), Font Awesome 6.4 (local icon asset library).</w:t>
      </w:r>
    </w:p>
    <w:p>
      <w:pPr>
        <w:spacing w:line="360" w:lineRule="auto" w:after="80" w:before="200"/>
        <w:jc w:val="center"/>
      </w:pPr>
      <w:r>
        <w:rPr>
          <w:rFonts w:ascii="Times New Roman" w:hAnsi="Times New Roman"/>
          <w:b/>
          <w:i w:val="0"/>
          <w:color w:val="000000"/>
          <w:sz w:val="22"/>
        </w:rPr>
        <w:t>Table 2: Hardware and Software Specification Matrix</w:t>
      </w:r>
    </w:p>
    <w:tbl>
      <w:tblPr>
        <w:tblW w:type="auto" w:w="0"/>
        <w:jc w:val="center"/>
        <w:tblLook w:firstColumn="1" w:firstRow="1" w:lastColumn="0" w:lastRow="0" w:noHBand="0" w:noVBand="1" w:val="04A0"/>
      </w:tblPr>
      <w:tblGrid>
        <w:gridCol w:w="2622"/>
        <w:gridCol w:w="2622"/>
        <w:gridCol w:w="2622"/>
        <w:gridCol w:w="2622"/>
      </w:tblGrid>
      <w:tr>
        <w:tc>
          <w:tcPr>
            <w:tcW w:type="dxa" w:w="1984"/>
            <w:shd w:fill="1B4332"/>
          </w:tcPr>
          <w:p>
            <w:pPr>
              <w:spacing w:line="240" w:lineRule="auto" w:before="80" w:after="80"/>
              <w:jc w:val="center"/>
            </w:pPr>
            <w:r>
              <w:rPr>
                <w:rFonts w:ascii="Times New Roman" w:hAnsi="Times New Roman"/>
                <w:b/>
                <w:color w:val="FFFFFF"/>
                <w:sz w:val="21"/>
              </w:rPr>
              <w:t>Component Category</w:t>
            </w:r>
          </w:p>
        </w:tc>
        <w:tc>
          <w:tcPr>
            <w:tcW w:type="dxa" w:w="1984"/>
            <w:shd w:fill="1B4332"/>
          </w:tcPr>
          <w:p>
            <w:pPr>
              <w:spacing w:line="240" w:lineRule="auto" w:before="80" w:after="80"/>
              <w:jc w:val="center"/>
            </w:pPr>
            <w:r>
              <w:rPr>
                <w:rFonts w:ascii="Times New Roman" w:hAnsi="Times New Roman"/>
                <w:b/>
                <w:color w:val="FFFFFF"/>
                <w:sz w:val="21"/>
              </w:rPr>
              <w:t>Minimum Requirement</w:t>
            </w:r>
          </w:p>
        </w:tc>
        <w:tc>
          <w:tcPr>
            <w:tcW w:type="dxa" w:w="2268"/>
            <w:shd w:fill="1B4332"/>
          </w:tcPr>
          <w:p>
            <w:pPr>
              <w:spacing w:line="240" w:lineRule="auto" w:before="80" w:after="80"/>
              <w:jc w:val="center"/>
            </w:pPr>
            <w:r>
              <w:rPr>
                <w:rFonts w:ascii="Times New Roman" w:hAnsi="Times New Roman"/>
                <w:b/>
                <w:color w:val="FFFFFF"/>
                <w:sz w:val="21"/>
              </w:rPr>
              <w:t>Recommended Specification</w:t>
            </w:r>
          </w:p>
        </w:tc>
        <w:tc>
          <w:tcPr>
            <w:tcW w:type="dxa" w:w="4252"/>
            <w:shd w:fill="1B4332"/>
          </w:tcPr>
          <w:p>
            <w:pPr>
              <w:spacing w:line="240" w:lineRule="auto" w:before="80" w:after="80"/>
              <w:jc w:val="center"/>
            </w:pPr>
            <w:r>
              <w:rPr>
                <w:rFonts w:ascii="Times New Roman" w:hAnsi="Times New Roman"/>
                <w:b/>
                <w:color w:val="FFFFFF"/>
                <w:sz w:val="21"/>
              </w:rPr>
              <w:t>Purpose in Green Gen AI</w:t>
            </w:r>
          </w:p>
        </w:tc>
      </w:tr>
      <w:tr>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Host Processor</w:t>
            </w:r>
          </w:p>
        </w:tc>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Dual-Core 2.0 GHz</w:t>
            </w:r>
          </w:p>
        </w:tc>
        <w:tc>
          <w:tcPr>
            <w:tcW w:type="dxa" w:w="2268"/>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Quad-Core 2.8+ GHz</w:t>
            </w:r>
          </w:p>
        </w:tc>
        <w:tc>
          <w:tcPr>
            <w:tcW w:type="dxa" w:w="4252"/>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Executes Flask WSGI threads and scikit-learn matrix computations</w:t>
            </w:r>
          </w:p>
        </w:tc>
      </w:tr>
      <w:tr>
        <w:tc>
          <w:tcPr>
            <w:tcW w:type="dxa" w:w="198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System Memory</w:t>
            </w:r>
          </w:p>
        </w:tc>
        <w:tc>
          <w:tcPr>
            <w:tcW w:type="dxa" w:w="198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4 GB RAM</w:t>
            </w:r>
          </w:p>
        </w:tc>
        <w:tc>
          <w:tcPr>
            <w:tcW w:type="dxa" w:w="2268"/>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8 GB RAM</w:t>
            </w:r>
          </w:p>
        </w:tc>
        <w:tc>
          <w:tcPr>
            <w:tcW w:type="dxa" w:w="4252"/>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Maintains TF-IDF matrix, catalog cache, and Python runtime in memory</w:t>
            </w:r>
          </w:p>
        </w:tc>
      </w:tr>
      <w:tr>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Persistence Storage</w:t>
            </w:r>
          </w:p>
        </w:tc>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 GB Free Space</w:t>
            </w:r>
          </w:p>
        </w:tc>
        <w:tc>
          <w:tcPr>
            <w:tcW w:type="dxa" w:w="2268"/>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5 GB Solid State Drive</w:t>
            </w:r>
          </w:p>
        </w:tc>
        <w:tc>
          <w:tcPr>
            <w:tcW w:type="dxa" w:w="4252"/>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Houses SQLite relational database and 1,500 curated product images</w:t>
            </w:r>
          </w:p>
        </w:tc>
      </w:tr>
      <w:tr>
        <w:tc>
          <w:tcPr>
            <w:tcW w:type="dxa" w:w="198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Backend Engine</w:t>
            </w:r>
          </w:p>
        </w:tc>
        <w:tc>
          <w:tcPr>
            <w:tcW w:type="dxa" w:w="198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Python 3.9</w:t>
            </w:r>
          </w:p>
        </w:tc>
        <w:tc>
          <w:tcPr>
            <w:tcW w:type="dxa" w:w="2268"/>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Python 3.11 (Virtual Env)</w:t>
            </w:r>
          </w:p>
        </w:tc>
        <w:tc>
          <w:tcPr>
            <w:tcW w:type="dxa" w:w="4252"/>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Core language runtime executing application logic and ML pipelines</w:t>
            </w:r>
          </w:p>
        </w:tc>
      </w:tr>
      <w:tr>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Web Framework</w:t>
            </w:r>
          </w:p>
        </w:tc>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Flask 2.0</w:t>
            </w:r>
          </w:p>
        </w:tc>
        <w:tc>
          <w:tcPr>
            <w:tcW w:type="dxa" w:w="2268"/>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Flask 2.3.x</w:t>
            </w:r>
          </w:p>
        </w:tc>
        <w:tc>
          <w:tcPr>
            <w:tcW w:type="dxa" w:w="4252"/>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Handles HTTP routing, session security, templating, and REST API endpoints</w:t>
            </w:r>
          </w:p>
        </w:tc>
      </w:tr>
      <w:tr>
        <w:tc>
          <w:tcPr>
            <w:tcW w:type="dxa" w:w="198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Database Management</w:t>
            </w:r>
          </w:p>
        </w:tc>
        <w:tc>
          <w:tcPr>
            <w:tcW w:type="dxa" w:w="198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SQLite 3.3x</w:t>
            </w:r>
          </w:p>
        </w:tc>
        <w:tc>
          <w:tcPr>
            <w:tcW w:type="dxa" w:w="2268"/>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SQLite 3.4x via SQLAlchemy</w:t>
            </w:r>
          </w:p>
        </w:tc>
        <w:tc>
          <w:tcPr>
            <w:tcW w:type="dxa" w:w="4252"/>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ACID-compliant storage of Users, Products, Orders, and Interactions</w:t>
            </w:r>
          </w:p>
        </w:tc>
      </w:tr>
      <w:tr>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Machine Learning Suite</w:t>
            </w:r>
          </w:p>
        </w:tc>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scikit-learn 1.0</w:t>
            </w:r>
          </w:p>
        </w:tc>
        <w:tc>
          <w:tcPr>
            <w:tcW w:type="dxa" w:w="2268"/>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scikit-learn 1.2+ &amp; Pandas</w:t>
            </w:r>
          </w:p>
        </w:tc>
        <w:tc>
          <w:tcPr>
            <w:tcW w:type="dxa" w:w="4252"/>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Builds feature profiles, computes Cosine Similarity, and generates rankings</w:t>
            </w:r>
          </w:p>
        </w:tc>
      </w:tr>
      <w:tr>
        <w:tc>
          <w:tcPr>
            <w:tcW w:type="dxa" w:w="198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Frontend UI Layer</w:t>
            </w:r>
          </w:p>
        </w:tc>
        <w:tc>
          <w:tcPr>
            <w:tcW w:type="dxa" w:w="198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HTML5 &amp; Vanilla JS</w:t>
            </w:r>
          </w:p>
        </w:tc>
        <w:tc>
          <w:tcPr>
            <w:tcW w:type="dxa" w:w="2268"/>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Tailwind CSS &amp; FontAwesome</w:t>
            </w:r>
          </w:p>
        </w:tc>
        <w:tc>
          <w:tcPr>
            <w:tcW w:type="dxa" w:w="4252"/>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Provides responsive, modern storefront layout and real-time chat UI</w:t>
            </w:r>
          </w:p>
        </w:tc>
      </w:tr>
    </w:tbl>
    <w:p>
      <w:pPr>
        <w:spacing w:line="360" w:lineRule="auto" w:after="120" w:before="0"/>
        <w:jc w:val="both"/>
      </w:pPr>
    </w:p>
    <w:p>
      <w:pPr>
        <w:spacing w:line="360" w:lineRule="auto" w:before="240" w:after="120"/>
        <w:jc w:val="left"/>
      </w:pPr>
      <w:r>
        <w:rPr>
          <w:rFonts w:ascii="Times New Roman" w:hAnsi="Times New Roman"/>
          <w:b/>
          <w:i/>
          <w:color w:val="000000"/>
          <w:sz w:val="24"/>
        </w:rPr>
        <w:t>2.1.3 Software Requirements Specification (SRS)</w:t>
      </w:r>
    </w:p>
    <w:p>
      <w:pPr>
        <w:spacing w:line="360" w:lineRule="auto" w:after="120" w:before="0"/>
        <w:jc w:val="both"/>
      </w:pPr>
      <w:r>
        <w:rPr>
          <w:rFonts w:ascii="Times New Roman" w:hAnsi="Times New Roman"/>
          <w:b w:val="0"/>
          <w:i w:val="0"/>
          <w:color w:val="000000"/>
          <w:sz w:val="24"/>
        </w:rPr>
        <w:t>The functional and non-functional requirements define the operational boundaries of Green Gen AI:</w:t>
      </w:r>
    </w:p>
    <w:p>
      <w:pPr>
        <w:pStyle w:val="ListBullet"/>
        <w:spacing w:line="360" w:lineRule="auto" w:after="80" w:before="40"/>
        <w:jc w:val="both"/>
      </w:pPr>
      <w:r>
        <w:rPr>
          <w:rFonts w:ascii="Times New Roman" w:hAnsi="Times New Roman"/>
          <w:b/>
          <w:sz w:val="24"/>
        </w:rPr>
        <w:t xml:space="preserve">Functional Requirements: </w:t>
      </w:r>
      <w:r>
        <w:rPr>
          <w:rFonts w:ascii="Times New Roman" w:hAnsi="Times New Roman"/>
          <w:sz w:val="24"/>
        </w:rPr>
        <w:t>User Registration and Authentication (with secure salted SHA-256 password hashing); Dedicated Administrator Portal; Category and Search filtering across 1,500 products; Empirical Eco-Score breakdown; ML Recommendation generation; Real-time conversational AI customization with dynamic pricing; Shopping cart management; Simulation of recycling returns.</w:t>
      </w:r>
    </w:p>
    <w:p>
      <w:pPr>
        <w:pStyle w:val="ListBullet"/>
        <w:spacing w:line="360" w:lineRule="auto" w:after="80" w:before="40"/>
        <w:jc w:val="both"/>
      </w:pPr>
      <w:r>
        <w:rPr>
          <w:rFonts w:ascii="Times New Roman" w:hAnsi="Times New Roman"/>
          <w:b/>
          <w:sz w:val="24"/>
        </w:rPr>
        <w:t xml:space="preserve">Non-Functional Requirements: </w:t>
      </w:r>
      <w:r>
        <w:rPr>
          <w:rFonts w:ascii="Times New Roman" w:hAnsi="Times New Roman"/>
          <w:sz w:val="24"/>
        </w:rPr>
        <w:t>Response Time: Under 120ms for standard catalog browsing and sub-second execution for conversational NLP responses; Reliability: ACID transactions on SQLite orders; Security: Password hashing via Werkzeug, role-based route guards, and CSRF protection; Usability: High accessibility, responsive design across mobile and desktop viewpoints.</w:t>
      </w:r>
    </w:p>
    <w:p>
      <w:pPr>
        <w:spacing w:line="360" w:lineRule="auto" w:before="240" w:after="120"/>
        <w:jc w:val="left"/>
      </w:pPr>
      <w:r>
        <w:rPr>
          <w:rFonts w:ascii="Times New Roman" w:hAnsi="Times New Roman"/>
          <w:b/>
          <w:color w:val="145228"/>
          <w:sz w:val="24"/>
        </w:rPr>
        <w:t>2.2 System Design</w:t>
      </w:r>
    </w:p>
    <w:p>
      <w:pPr>
        <w:spacing w:line="360" w:lineRule="auto" w:after="120" w:before="0"/>
        <w:jc w:val="both"/>
      </w:pPr>
      <w:r>
        <w:rPr>
          <w:rFonts w:ascii="Times New Roman" w:hAnsi="Times New Roman"/>
          <w:b w:val="0"/>
          <w:i w:val="0"/>
          <w:color w:val="000000"/>
          <w:sz w:val="24"/>
        </w:rPr>
        <w:t>Green Gen AI is designed around human-centered design principles and sustainable computing paradigms. The user experience is engineered to eliminate friction while maximizing transparency:</w:t>
      </w:r>
    </w:p>
    <w:p>
      <w:pPr>
        <w:pStyle w:val="ListBullet"/>
        <w:spacing w:line="360" w:lineRule="auto" w:after="80" w:before="40"/>
        <w:jc w:val="both"/>
      </w:pPr>
      <w:r>
        <w:rPr>
          <w:rFonts w:ascii="Times New Roman" w:hAnsi="Times New Roman"/>
          <w:b/>
          <w:sz w:val="24"/>
        </w:rPr>
        <w:t xml:space="preserve">Modular Layered Architecture: </w:t>
      </w:r>
      <w:r>
        <w:rPr>
          <w:rFonts w:ascii="Times New Roman" w:hAnsi="Times New Roman"/>
          <w:sz w:val="24"/>
        </w:rPr>
        <w:t>Strict separation of concerns between presentation (Jinja2 templates &amp; Tailwind), business logic (Flask routing and controller endpoints), data access (SQLAlchemy models), and computational intelligence (scikit-learn &amp; OpenCV).</w:t>
      </w:r>
    </w:p>
    <w:p>
      <w:pPr>
        <w:pStyle w:val="ListBullet"/>
        <w:spacing w:line="360" w:lineRule="auto" w:after="80" w:before="40"/>
        <w:jc w:val="both"/>
      </w:pPr>
      <w:r>
        <w:rPr>
          <w:rFonts w:ascii="Times New Roman" w:hAnsi="Times New Roman"/>
          <w:b/>
          <w:sz w:val="24"/>
        </w:rPr>
        <w:t xml:space="preserve">Visual Environmental Indicators: </w:t>
      </w:r>
      <w:r>
        <w:rPr>
          <w:rFonts w:ascii="Times New Roman" w:hAnsi="Times New Roman"/>
          <w:sz w:val="24"/>
        </w:rPr>
        <w:t>Color-coded visual cues (Emerald Green for high eco-efficiency, Amber for moderate, Coral for low) provide instantaneous feedback on product sustainability.</w:t>
      </w:r>
    </w:p>
    <w:p>
      <w:pPr>
        <w:pStyle w:val="ListBullet"/>
        <w:spacing w:line="360" w:lineRule="auto" w:after="80" w:before="40"/>
        <w:jc w:val="both"/>
      </w:pPr>
      <w:r>
        <w:rPr>
          <w:rFonts w:ascii="Times New Roman" w:hAnsi="Times New Roman"/>
          <w:b/>
          <w:sz w:val="24"/>
        </w:rPr>
        <w:t xml:space="preserve">Conversational Customization Panel: </w:t>
      </w:r>
      <w:r>
        <w:rPr>
          <w:rFonts w:ascii="Times New Roman" w:hAnsi="Times New Roman"/>
          <w:sz w:val="24"/>
        </w:rPr>
        <w:t>A modern split-screen interface featuring the static product preview on the left and an interactive chatbot on the right. The chatbot generates formatted receipts and dynamic pricing directly inside the conversation stream.</w:t>
      </w:r>
    </w:p>
    <w:p>
      <w:pPr>
        <w:spacing w:line="360" w:lineRule="auto" w:before="240" w:after="120"/>
        <w:jc w:val="left"/>
      </w:pPr>
      <w:r>
        <w:rPr>
          <w:rFonts w:ascii="Times New Roman" w:hAnsi="Times New Roman"/>
          <w:b/>
          <w:color w:val="145228"/>
          <w:sz w:val="24"/>
        </w:rPr>
        <w:t>2.3 System Architecture / Module Design</w:t>
      </w:r>
    </w:p>
    <w:p>
      <w:pPr>
        <w:spacing w:line="360" w:lineRule="auto" w:after="120" w:before="0"/>
        <w:jc w:val="both"/>
      </w:pPr>
      <w:r>
        <w:rPr>
          <w:rFonts w:ascii="Times New Roman" w:hAnsi="Times New Roman"/>
          <w:b w:val="0"/>
          <w:i w:val="0"/>
          <w:color w:val="000000"/>
          <w:sz w:val="24"/>
        </w:rPr>
        <w:t>The system architecture is structured into six cohesive, loosely-coupled modules:</w:t>
      </w:r>
    </w:p>
    <w:p>
      <w:pPr>
        <w:pStyle w:val="ListBullet"/>
        <w:spacing w:line="360" w:lineRule="auto" w:after="80" w:before="40"/>
        <w:jc w:val="both"/>
      </w:pPr>
      <w:r>
        <w:rPr>
          <w:rFonts w:ascii="Times New Roman" w:hAnsi="Times New Roman"/>
          <w:b/>
          <w:sz w:val="24"/>
        </w:rPr>
        <w:t xml:space="preserve">1. User Authentication &amp; Security Module: </w:t>
      </w:r>
      <w:r>
        <w:rPr>
          <w:rFonts w:ascii="Times New Roman" w:hAnsi="Times New Roman"/>
          <w:sz w:val="24"/>
        </w:rPr>
        <w:t>Manages user and administrator accounts. Employs Werkzeug's generate_password_hash and check_password_hash functions. Features distinct route privileges ensuring administrative tools remain inaccessible to unauthorized users.</w:t>
      </w:r>
    </w:p>
    <w:p>
      <w:pPr>
        <w:pStyle w:val="ListBullet"/>
        <w:spacing w:line="360" w:lineRule="auto" w:after="80" w:before="40"/>
        <w:jc w:val="both"/>
      </w:pPr>
      <w:r>
        <w:rPr>
          <w:rFonts w:ascii="Times New Roman" w:hAnsi="Times New Roman"/>
          <w:b/>
          <w:sz w:val="24"/>
        </w:rPr>
        <w:t xml:space="preserve">2. Sustainable Product Catalog &amp; Discovery Module: </w:t>
      </w:r>
      <w:r>
        <w:rPr>
          <w:rFonts w:ascii="Times New Roman" w:hAnsi="Times New Roman"/>
          <w:sz w:val="24"/>
        </w:rPr>
        <w:t>Provides dynamic filtering by categories (Clothing, Footwear, Electronics, Home Decor, Kitchen &amp; Dining, etc.) and full-text keyword search. Integrates dynamic category image configurations loaded from a persistent JSON registry.</w:t>
      </w:r>
    </w:p>
    <w:p>
      <w:pPr>
        <w:pStyle w:val="ListBullet"/>
        <w:spacing w:line="360" w:lineRule="auto" w:after="80" w:before="40"/>
        <w:jc w:val="both"/>
      </w:pPr>
      <w:r>
        <w:rPr>
          <w:rFonts w:ascii="Times New Roman" w:hAnsi="Times New Roman"/>
          <w:b/>
          <w:sz w:val="24"/>
        </w:rPr>
        <w:t xml:space="preserve">3. Eco-Score Evaluation Engine: </w:t>
      </w:r>
      <w:r>
        <w:rPr>
          <w:rFonts w:ascii="Times New Roman" w:hAnsi="Times New Roman"/>
          <w:sz w:val="24"/>
        </w:rPr>
        <w:t>Analyzes product attributes to compute a standardized score between 0 and 100 based on material composition (recycled, organic, virgin), manufacturing intensity, recyclability percentage, and packaging sustainability.</w:t>
      </w:r>
    </w:p>
    <w:p>
      <w:pPr>
        <w:pStyle w:val="ListBullet"/>
        <w:spacing w:line="360" w:lineRule="auto" w:after="80" w:before="40"/>
        <w:jc w:val="both"/>
      </w:pPr>
      <w:r>
        <w:rPr>
          <w:rFonts w:ascii="Times New Roman" w:hAnsi="Times New Roman"/>
          <w:b/>
          <w:sz w:val="24"/>
        </w:rPr>
        <w:t xml:space="preserve">4. Machine Learning Recommendation Engine: </w:t>
      </w:r>
      <w:r>
        <w:rPr>
          <w:rFonts w:ascii="Times New Roman" w:hAnsi="Times New Roman"/>
          <w:sz w:val="24"/>
        </w:rPr>
        <w:t>A content-based filtering pipeline that extracts linguistic and categorical features from product records, transforms them into TF-IDF vectors, computes pairwise cosine similarities, and generates personalized recommendations prioritized by eco-efficiency.</w:t>
      </w:r>
    </w:p>
    <w:p>
      <w:pPr>
        <w:pStyle w:val="ListBullet"/>
        <w:spacing w:line="360" w:lineRule="auto" w:after="80" w:before="40"/>
        <w:jc w:val="both"/>
      </w:pPr>
      <w:r>
        <w:rPr>
          <w:rFonts w:ascii="Times New Roman" w:hAnsi="Times New Roman"/>
          <w:b/>
          <w:sz w:val="24"/>
        </w:rPr>
        <w:t xml:space="preserve">5. Conversational AI Customization Module: </w:t>
      </w:r>
      <w:r>
        <w:rPr>
          <w:rFonts w:ascii="Times New Roman" w:hAnsi="Times New Roman"/>
          <w:sz w:val="24"/>
        </w:rPr>
        <w:t>An interactive natural language processing interface that parses free-form user styling instructions, extracts color, size, pattern, and text parameters using synonym dictionaries, validates query relevance, and calculates real-time price adjustments.</w:t>
      </w:r>
    </w:p>
    <w:p>
      <w:pPr>
        <w:pStyle w:val="ListBullet"/>
        <w:spacing w:line="360" w:lineRule="auto" w:after="80" w:before="40"/>
        <w:jc w:val="both"/>
      </w:pPr>
      <w:r>
        <w:rPr>
          <w:rFonts w:ascii="Times New Roman" w:hAnsi="Times New Roman"/>
          <w:b/>
          <w:sz w:val="24"/>
        </w:rPr>
        <w:t xml:space="preserve">6. Community Circular Economy (Refurbished) Hub: </w:t>
      </w:r>
      <w:r>
        <w:rPr>
          <w:rFonts w:ascii="Times New Roman" w:hAnsi="Times New Roman"/>
          <w:sz w:val="24"/>
        </w:rPr>
        <w:t>A dedicated storefront section promoting refurbished and community-recycled products, pairing lower consumer pricing with verified green recycling credits.</w:t>
      </w:r>
    </w:p>
    <w:p>
      <w:pPr>
        <w:spacing w:line="360" w:lineRule="auto" w:after="80" w:before="0"/>
        <w:jc w:val="both"/>
      </w:pPr>
    </w:p>
    <w:p>
      <w:pPr>
        <w:spacing w:line="360" w:lineRule="auto" w:after="120" w:before="0"/>
        <w:jc w:val="center"/>
      </w:pPr>
      <w:r>
        <w:rPr>
          <w:rFonts w:ascii="Times New Roman" w:hAnsi="Times New Roman"/>
          <w:b w:val="0"/>
          <w:i/>
          <w:color w:val="000000"/>
          <w:sz w:val="22"/>
        </w:rPr>
        <w:t>Figure 2 illustrates the high-level multi-tier architecture of Green Gen AI, mapping data flow from client requests through the Flask application server to the persistence and machine learning layers.</w:t>
      </w:r>
    </w:p>
    <w:p>
      <w:pPr>
        <w:spacing w:line="360" w:lineRule="auto" w:after="240" w:before="80"/>
        <w:jc w:val="center"/>
      </w:pPr>
      <w:r>
        <w:rPr>
          <w:rFonts w:ascii="Times New Roman" w:hAnsi="Times New Roman"/>
          <w:b/>
          <w:i w:val="0"/>
          <w:color w:val="000000"/>
          <w:sz w:val="22"/>
        </w:rPr>
        <w:t>[Figure 2: Green Gen AI Multi-Tier System Architecture]</w:t>
      </w:r>
    </w:p>
    <w:p>
      <w:pPr>
        <w:spacing w:line="360" w:lineRule="auto" w:before="240" w:after="120"/>
        <w:jc w:val="left"/>
      </w:pPr>
      <w:r>
        <w:rPr>
          <w:rFonts w:ascii="Times New Roman" w:hAnsi="Times New Roman"/>
          <w:b/>
          <w:color w:val="145228"/>
          <w:sz w:val="24"/>
        </w:rPr>
        <w:t>2.4 ER Diagram and Data Flow Diagrams (DFD)</w:t>
      </w:r>
    </w:p>
    <w:p>
      <w:pPr>
        <w:spacing w:line="360" w:lineRule="auto" w:after="120" w:before="0"/>
        <w:jc w:val="both"/>
      </w:pPr>
      <w:r>
        <w:rPr>
          <w:rFonts w:ascii="Times New Roman" w:hAnsi="Times New Roman"/>
          <w:b w:val="0"/>
          <w:i w:val="0"/>
          <w:color w:val="000000"/>
          <w:sz w:val="24"/>
        </w:rPr>
        <w:t>The relational architecture and functional data pipelines are formally modeled through Data Flow Diagrams (DFDs) and an Entity-Relationship (ER) model:</w:t>
      </w:r>
    </w:p>
    <w:p>
      <w:pPr>
        <w:spacing w:line="360" w:lineRule="auto" w:before="240" w:after="120"/>
        <w:jc w:val="left"/>
      </w:pPr>
      <w:r>
        <w:rPr>
          <w:rFonts w:ascii="Times New Roman" w:hAnsi="Times New Roman"/>
          <w:b/>
          <w:i/>
          <w:color w:val="000000"/>
          <w:sz w:val="24"/>
        </w:rPr>
        <w:t>2.4.1 Entity-Relationship (ER) Architecture</w:t>
      </w:r>
    </w:p>
    <w:p>
      <w:pPr>
        <w:spacing w:line="360" w:lineRule="auto" w:after="120" w:before="0"/>
        <w:jc w:val="both"/>
      </w:pPr>
      <w:r>
        <w:rPr>
          <w:rFonts w:ascii="Times New Roman" w:hAnsi="Times New Roman"/>
          <w:b w:val="0"/>
          <w:i w:val="0"/>
          <w:color w:val="000000"/>
          <w:sz w:val="24"/>
        </w:rPr>
        <w:t>The database schema comprises five primary relational entities normalized to 3NF standards:</w:t>
      </w:r>
    </w:p>
    <w:p>
      <w:pPr>
        <w:pStyle w:val="ListBullet"/>
        <w:spacing w:line="360" w:lineRule="auto" w:after="80" w:before="40"/>
        <w:jc w:val="both"/>
      </w:pPr>
      <w:r>
        <w:rPr>
          <w:rFonts w:ascii="Times New Roman" w:hAnsi="Times New Roman"/>
          <w:b/>
          <w:sz w:val="24"/>
        </w:rPr>
        <w:t xml:space="preserve">User Entity: </w:t>
      </w:r>
      <w:r>
        <w:rPr>
          <w:rFonts w:ascii="Times New Roman" w:hAnsi="Times New Roman"/>
          <w:sz w:val="24"/>
        </w:rPr>
        <w:t>Stores user identities, login credentials (hashed passwords), full names, administrator flags, and accumulated Green Points.</w:t>
      </w:r>
    </w:p>
    <w:p>
      <w:pPr>
        <w:pStyle w:val="ListBullet"/>
        <w:spacing w:line="360" w:lineRule="auto" w:after="80" w:before="40"/>
        <w:jc w:val="both"/>
      </w:pPr>
      <w:r>
        <w:rPr>
          <w:rFonts w:ascii="Times New Roman" w:hAnsi="Times New Roman"/>
          <w:b/>
          <w:sz w:val="24"/>
        </w:rPr>
        <w:t xml:space="preserve">Product Entity: </w:t>
      </w:r>
      <w:r>
        <w:rPr>
          <w:rFonts w:ascii="Times New Roman" w:hAnsi="Times New Roman"/>
          <w:sz w:val="24"/>
        </w:rPr>
        <w:t>Maintains the catalog inventory, comprising product names, descriptions, categories, base prices in INR, image URLs, and empirical sustainability metrics (material_type, manufacturing_process, recyclability_pct, packaging_type, carbon_footprint_kg, water_footprint_l, and eco_score).</w:t>
      </w:r>
    </w:p>
    <w:p>
      <w:pPr>
        <w:pStyle w:val="ListBullet"/>
        <w:spacing w:line="360" w:lineRule="auto" w:after="80" w:before="40"/>
        <w:jc w:val="both"/>
      </w:pPr>
      <w:r>
        <w:rPr>
          <w:rFonts w:ascii="Times New Roman" w:hAnsi="Times New Roman"/>
          <w:b/>
          <w:sz w:val="24"/>
        </w:rPr>
        <w:t xml:space="preserve">Interaction Entity: </w:t>
      </w:r>
      <w:r>
        <w:rPr>
          <w:rFonts w:ascii="Times New Roman" w:hAnsi="Times New Roman"/>
          <w:sz w:val="24"/>
        </w:rPr>
        <w:t>Logs behavioral telemetry (user_id, product_id, interaction_type: VIEW, CART, PURCHASE, timestamp) required to drive the personalized recommendation model.</w:t>
      </w:r>
    </w:p>
    <w:p>
      <w:pPr>
        <w:pStyle w:val="ListBullet"/>
        <w:spacing w:line="360" w:lineRule="auto" w:after="80" w:before="40"/>
        <w:jc w:val="both"/>
      </w:pPr>
      <w:r>
        <w:rPr>
          <w:rFonts w:ascii="Times New Roman" w:hAnsi="Times New Roman"/>
          <w:b/>
          <w:sz w:val="24"/>
        </w:rPr>
        <w:t xml:space="preserve">Order &amp; OrderItem Entities: </w:t>
      </w:r>
      <w:r>
        <w:rPr>
          <w:rFonts w:ascii="Times New Roman" w:hAnsi="Times New Roman"/>
          <w:sz w:val="24"/>
        </w:rPr>
        <w:t>Captures transactional records, customer shipping details, total order values, and specific item quantities alongside customization metadata.</w:t>
      </w:r>
    </w:p>
    <w:p>
      <w:pPr>
        <w:spacing w:line="360" w:lineRule="auto" w:after="80" w:before="0"/>
        <w:jc w:val="both"/>
      </w:pPr>
    </w:p>
    <w:p>
      <w:pPr>
        <w:spacing w:line="360" w:lineRule="auto" w:after="200" w:before="80"/>
        <w:jc w:val="center"/>
      </w:pPr>
      <w:r>
        <w:rPr>
          <w:rFonts w:ascii="Times New Roman" w:hAnsi="Times New Roman"/>
          <w:b/>
          <w:i w:val="0"/>
          <w:color w:val="000000"/>
          <w:sz w:val="22"/>
        </w:rPr>
        <w:t>[Figure 3: Entity-Relationship (ER) Diagram of Green Gen Database Schema]</w:t>
      </w:r>
    </w:p>
    <w:p>
      <w:pPr>
        <w:spacing w:line="360" w:lineRule="auto" w:after="200" w:before="80"/>
        <w:jc w:val="center"/>
      </w:pPr>
      <w:r>
        <w:rPr>
          <w:rFonts w:ascii="Times New Roman" w:hAnsi="Times New Roman"/>
          <w:b/>
          <w:i w:val="0"/>
          <w:color w:val="000000"/>
          <w:sz w:val="22"/>
        </w:rPr>
        <w:t>[Figure 4: Context Analysis Data Flow Diagram (DFD Level 0)]</w:t>
      </w:r>
    </w:p>
    <w:p>
      <w:pPr>
        <w:spacing w:line="360" w:lineRule="auto" w:after="200" w:before="80"/>
        <w:jc w:val="center"/>
      </w:pPr>
      <w:r>
        <w:rPr>
          <w:rFonts w:ascii="Times New Roman" w:hAnsi="Times New Roman"/>
          <w:b/>
          <w:i w:val="0"/>
          <w:color w:val="000000"/>
          <w:sz w:val="22"/>
        </w:rPr>
        <w:t>[Figure 5: Core Transaction &amp; Customization Data Flow Diagram (DFD Level 1)]</w:t>
      </w:r>
    </w:p>
    <w:p>
      <w:pPr>
        <w:spacing w:line="360" w:lineRule="auto" w:after="240" w:before="80"/>
        <w:jc w:val="center"/>
      </w:pPr>
      <w:r>
        <w:rPr>
          <w:rFonts w:ascii="Times New Roman" w:hAnsi="Times New Roman"/>
          <w:b/>
          <w:i w:val="0"/>
          <w:color w:val="000000"/>
          <w:sz w:val="22"/>
        </w:rPr>
        <w:t>[Figure 6: Recommendation Engine Detailed Data Flow Diagram (DFD Level 2)]</w:t>
      </w:r>
    </w:p>
    <w:p>
      <w:pPr>
        <w:spacing w:line="360" w:lineRule="auto" w:before="240" w:after="120"/>
        <w:jc w:val="left"/>
      </w:pPr>
      <w:r>
        <w:rPr>
          <w:rFonts w:ascii="Times New Roman" w:hAnsi="Times New Roman"/>
          <w:b/>
          <w:color w:val="145228"/>
          <w:sz w:val="24"/>
        </w:rPr>
        <w:t>2.5 Implementation Details</w:t>
      </w:r>
    </w:p>
    <w:p>
      <w:pPr>
        <w:spacing w:line="360" w:lineRule="auto" w:after="120" w:before="0"/>
        <w:jc w:val="both"/>
      </w:pPr>
      <w:r>
        <w:rPr>
          <w:rFonts w:ascii="Times New Roman" w:hAnsi="Times New Roman"/>
          <w:b w:val="0"/>
          <w:i w:val="0"/>
          <w:color w:val="000000"/>
          <w:sz w:val="24"/>
        </w:rPr>
        <w:t>The implementation of Green Gen AI operationalizes theoretical machine learning and NLP concepts into deterministic software routines:</w:t>
      </w:r>
    </w:p>
    <w:p>
      <w:pPr>
        <w:spacing w:line="360" w:lineRule="auto" w:before="240" w:after="120"/>
        <w:jc w:val="left"/>
      </w:pPr>
      <w:r>
        <w:rPr>
          <w:rFonts w:ascii="Times New Roman" w:hAnsi="Times New Roman"/>
          <w:b/>
          <w:i/>
          <w:color w:val="000000"/>
          <w:sz w:val="24"/>
        </w:rPr>
        <w:t>2.5.1 Content-Based Filtering &amp; Mathematical Formulations</w:t>
      </w:r>
    </w:p>
    <w:p>
      <w:pPr>
        <w:spacing w:line="360" w:lineRule="auto" w:after="120" w:before="0"/>
        <w:jc w:val="both"/>
      </w:pPr>
      <w:r>
        <w:rPr>
          <w:rFonts w:ascii="Times New Roman" w:hAnsi="Times New Roman"/>
          <w:b w:val="0"/>
          <w:i w:val="0"/>
          <w:color w:val="000000"/>
          <w:sz w:val="24"/>
        </w:rPr>
        <w:t>The recommendation engine treats each product as a document composed of categorical and material attributes: Content = Category + Material + Process. The Term Frequency-Inverse Document Frequency (TF-IDF) weight for term t in product d is computed as:</w:t>
      </w:r>
    </w:p>
    <w:p>
      <w:pPr>
        <w:spacing w:line="360" w:lineRule="auto" w:after="120" w:before="0"/>
        <w:jc w:val="center"/>
      </w:pPr>
      <w:r>
        <w:rPr>
          <w:rFonts w:ascii="Times New Roman" w:hAnsi="Times New Roman"/>
          <w:b/>
          <w:i w:val="0"/>
          <w:color w:val="000000"/>
          <w:sz w:val="22"/>
        </w:rPr>
        <w:t>TF-IDF(t, d, D) = TF(t, d) × log( |D| / (1 + |{d' ∈ D : t ∈ d'}|) )</w:t>
      </w:r>
    </w:p>
    <w:p>
      <w:pPr>
        <w:spacing w:line="360" w:lineRule="auto" w:after="120" w:before="0"/>
        <w:jc w:val="both"/>
      </w:pPr>
      <w:r>
        <w:rPr>
          <w:rFonts w:ascii="Times New Roman" w:hAnsi="Times New Roman"/>
          <w:b w:val="0"/>
          <w:i w:val="0"/>
          <w:color w:val="000000"/>
          <w:sz w:val="24"/>
        </w:rPr>
        <w:t>Where TF(t, d) represents the relative frequency of term t within product d, and the IDF term penalizes ubiquitous terms across the catalog D. The pairwise similarity between the user's previously engaged product u and a candidate product v is computed via the Cosine Similarity metric:</w:t>
      </w:r>
    </w:p>
    <w:p>
      <w:pPr>
        <w:spacing w:line="360" w:lineRule="auto" w:after="120" w:before="0"/>
        <w:jc w:val="center"/>
      </w:pPr>
      <w:r>
        <w:rPr>
          <w:rFonts w:ascii="Times New Roman" w:hAnsi="Times New Roman"/>
          <w:b/>
          <w:i w:val="0"/>
          <w:color w:val="000000"/>
          <w:sz w:val="22"/>
        </w:rPr>
        <w:t>Cosine Similarity(u, v) = ( u · v ) / ( ||u|| ||v|| ) = ( ∑ u_i v_i ) / ( √(∑ u_i²) √(∑ v_i²) )</w:t>
      </w:r>
    </w:p>
    <w:p>
      <w:pPr>
        <w:spacing w:line="360" w:lineRule="auto" w:after="120" w:before="0"/>
        <w:jc w:val="both"/>
      </w:pPr>
      <w:r>
        <w:rPr>
          <w:rFonts w:ascii="Times New Roman" w:hAnsi="Times New Roman"/>
          <w:b w:val="0"/>
          <w:i w:val="0"/>
          <w:color w:val="000000"/>
          <w:sz w:val="24"/>
        </w:rPr>
        <w:t>To enforce sustainability preference, candidates within the top similarity neighborhood are re-ranked based on Eco-Score differentials: products boasting an Eco-Score higher than the user's historical average are given rank bonuses, accompanied by dynamic, explainable recommendation reasons.</w:t>
      </w:r>
    </w:p>
    <w:p>
      <w:pPr>
        <w:spacing w:line="360" w:lineRule="auto" w:before="240" w:after="120"/>
        <w:jc w:val="left"/>
      </w:pPr>
      <w:r>
        <w:rPr>
          <w:rFonts w:ascii="Times New Roman" w:hAnsi="Times New Roman"/>
          <w:b/>
          <w:i/>
          <w:color w:val="000000"/>
          <w:sz w:val="24"/>
        </w:rPr>
        <w:t>2.5.2 Conversational NLP Parsing &amp; Dynamic Surcharge Logic</w:t>
      </w:r>
    </w:p>
    <w:p>
      <w:pPr>
        <w:spacing w:line="360" w:lineRule="auto" w:after="120" w:before="0"/>
        <w:jc w:val="both"/>
      </w:pPr>
      <w:r>
        <w:rPr>
          <w:rFonts w:ascii="Times New Roman" w:hAnsi="Times New Roman"/>
          <w:b w:val="0"/>
          <w:i w:val="0"/>
          <w:color w:val="000000"/>
          <w:sz w:val="24"/>
        </w:rPr>
        <w:t>The customization chatbot processes raw user text input through a multi-stage validation and keyword extraction pipeline. The parser identifies color tokens (Pink, Blue, Red, Green, etc.), sizing tokens with full synonym expansion (e.g., 'bigger', 'huge', 'XL', 'large'), pattern descriptors ('floral', 'pattern'), and text printing requests ('name', 'print'). If an input contains zero recognizable domain tokens and fails generic styling intent checks, the system rejects the prompt with a contextual guidance message, preventing arbitrary text from triggering checkout surcharges.</w:t>
      </w:r>
    </w:p>
    <w:p>
      <w:pPr>
        <w:spacing w:line="360" w:lineRule="auto" w:after="40" w:before="0"/>
        <w:jc w:val="both"/>
      </w:pPr>
    </w:p>
    <w:p>
      <w:pPr>
        <w:spacing w:line="360" w:lineRule="auto" w:after="80" w:before="200"/>
        <w:jc w:val="center"/>
      </w:pPr>
      <w:r>
        <w:rPr>
          <w:rFonts w:ascii="Times New Roman" w:hAnsi="Times New Roman"/>
          <w:b/>
          <w:i w:val="0"/>
          <w:color w:val="000000"/>
          <w:sz w:val="22"/>
        </w:rPr>
        <w:t>Table 4: Content Mapping &amp; NLP Keyword Rule Configuration</w:t>
      </w:r>
    </w:p>
    <w:tbl>
      <w:tblPr>
        <w:tblW w:type="auto" w:w="0"/>
        <w:jc w:val="center"/>
        <w:tblLook w:firstColumn="1" w:firstRow="1" w:lastColumn="0" w:lastRow="0" w:noHBand="0" w:noVBand="1" w:val="04A0"/>
      </w:tblPr>
      <w:tblGrid>
        <w:gridCol w:w="2098"/>
        <w:gridCol w:w="2098"/>
        <w:gridCol w:w="2098"/>
        <w:gridCol w:w="2098"/>
        <w:gridCol w:w="2098"/>
      </w:tblGrid>
      <w:tr>
        <w:tc>
          <w:tcPr>
            <w:tcW w:type="dxa" w:w="1701"/>
            <w:shd w:fill="1B4332"/>
          </w:tcPr>
          <w:p>
            <w:pPr>
              <w:spacing w:line="240" w:lineRule="auto" w:before="80" w:after="80"/>
              <w:jc w:val="center"/>
            </w:pPr>
            <w:r>
              <w:rPr>
                <w:rFonts w:ascii="Times New Roman" w:hAnsi="Times New Roman"/>
                <w:b/>
                <w:color w:val="FFFFFF"/>
                <w:sz w:val="21"/>
              </w:rPr>
              <w:t>Customization Feature</w:t>
            </w:r>
          </w:p>
        </w:tc>
        <w:tc>
          <w:tcPr>
            <w:tcW w:type="dxa" w:w="2835"/>
            <w:shd w:fill="1B4332"/>
          </w:tcPr>
          <w:p>
            <w:pPr>
              <w:spacing w:line="240" w:lineRule="auto" w:before="80" w:after="80"/>
              <w:jc w:val="center"/>
            </w:pPr>
            <w:r>
              <w:rPr>
                <w:rFonts w:ascii="Times New Roman" w:hAnsi="Times New Roman"/>
                <w:b/>
                <w:color w:val="FFFFFF"/>
                <w:sz w:val="21"/>
              </w:rPr>
              <w:t>NLP Trigger Keywords / Synonyms</w:t>
            </w:r>
          </w:p>
        </w:tc>
        <w:tc>
          <w:tcPr>
            <w:tcW w:type="dxa" w:w="1984"/>
            <w:shd w:fill="1B4332"/>
          </w:tcPr>
          <w:p>
            <w:pPr>
              <w:spacing w:line="240" w:lineRule="auto" w:before="80" w:after="80"/>
              <w:jc w:val="center"/>
            </w:pPr>
            <w:r>
              <w:rPr>
                <w:rFonts w:ascii="Times New Roman" w:hAnsi="Times New Roman"/>
                <w:b/>
                <w:color w:val="FFFFFF"/>
                <w:sz w:val="21"/>
              </w:rPr>
              <w:t>Extracted Value</w:t>
            </w:r>
          </w:p>
        </w:tc>
        <w:tc>
          <w:tcPr>
            <w:tcW w:type="dxa" w:w="1417"/>
            <w:shd w:fill="1B4332"/>
          </w:tcPr>
          <w:p>
            <w:pPr>
              <w:spacing w:line="240" w:lineRule="auto" w:before="80" w:after="80"/>
              <w:jc w:val="center"/>
            </w:pPr>
            <w:r>
              <w:rPr>
                <w:rFonts w:ascii="Times New Roman" w:hAnsi="Times New Roman"/>
                <w:b/>
                <w:color w:val="FFFFFF"/>
                <w:sz w:val="21"/>
              </w:rPr>
              <w:t>Surcharge (INR)</w:t>
            </w:r>
          </w:p>
        </w:tc>
        <w:tc>
          <w:tcPr>
            <w:tcW w:type="dxa" w:w="2551"/>
            <w:shd w:fill="1B4332"/>
          </w:tcPr>
          <w:p>
            <w:pPr>
              <w:spacing w:line="240" w:lineRule="auto" w:before="80" w:after="80"/>
              <w:jc w:val="center"/>
            </w:pPr>
            <w:r>
              <w:rPr>
                <w:rFonts w:ascii="Times New Roman" w:hAnsi="Times New Roman"/>
                <w:b/>
                <w:color w:val="FFFFFF"/>
                <w:sz w:val="21"/>
              </w:rPr>
              <w:t>Operational Action</w:t>
            </w:r>
          </w:p>
        </w:tc>
      </w:tr>
      <w:tr>
        <w:tc>
          <w:tcPr>
            <w:tcW w:type="dxa" w:w="170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Color Modification</w:t>
            </w:r>
          </w:p>
        </w:tc>
        <w:tc>
          <w:tcPr>
            <w:tcW w:type="dxa" w:w="2835"/>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pink, blue, red, green, black, white, yellow, purple, orange, dark blue</w:t>
            </w:r>
          </w:p>
        </w:tc>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Specific Color Name</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+₹50.00</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Applies custom tint attribute to order item</w:t>
            </w:r>
          </w:p>
        </w:tc>
      </w:tr>
      <w:tr>
        <w:tc>
          <w:tcPr>
            <w:tcW w:type="dxa" w:w="170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Pattern Printing</w:t>
            </w:r>
          </w:p>
        </w:tc>
        <w:tc>
          <w:tcPr>
            <w:tcW w:type="dxa" w:w="2835"/>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floral, pattern, textured, geometric, floral pattern</w:t>
            </w:r>
          </w:p>
        </w:tc>
        <w:tc>
          <w:tcPr>
            <w:tcW w:type="dxa" w:w="198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Floral Pattern</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+₹100.00</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Attaches surface pattern printing spec to manufacturing queue</w:t>
            </w:r>
          </w:p>
        </w:tc>
      </w:tr>
      <w:tr>
        <w:tc>
          <w:tcPr>
            <w:tcW w:type="dxa" w:w="170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Personalized Text</w:t>
            </w:r>
          </w:p>
        </w:tc>
        <w:tc>
          <w:tcPr>
            <w:tcW w:type="dxa" w:w="2835"/>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name, print, text, monogram, write my name</w:t>
            </w:r>
          </w:p>
        </w:tc>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Personalized Text</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+₹50.00</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Registers user string for laser engraving or direct print</w:t>
            </w:r>
          </w:p>
        </w:tc>
      </w:tr>
      <w:tr>
        <w:tc>
          <w:tcPr>
            <w:tcW w:type="dxa" w:w="170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Size: Small / Medium</w:t>
            </w:r>
          </w:p>
        </w:tc>
        <w:tc>
          <w:tcPr>
            <w:tcW w:type="dxa" w:w="2835"/>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small, smaller, tiny, s, medium, regular, m</w:t>
            </w:r>
          </w:p>
        </w:tc>
        <w:tc>
          <w:tcPr>
            <w:tcW w:type="dxa" w:w="198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Small (S) / Medium (M)</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+₹0.00 (Free)</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Configures standard sizing specification</w:t>
            </w:r>
          </w:p>
        </w:tc>
      </w:tr>
      <w:tr>
        <w:tc>
          <w:tcPr>
            <w:tcW w:type="dxa" w:w="170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Size: Large (L)</w:t>
            </w:r>
          </w:p>
        </w:tc>
        <w:tc>
          <w:tcPr>
            <w:tcW w:type="dxa" w:w="2835"/>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large, bigger, big, l</w:t>
            </w:r>
          </w:p>
        </w:tc>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Large (L)</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+₹100.00</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Allocates additional raw material allocation</w:t>
            </w:r>
          </w:p>
        </w:tc>
      </w:tr>
      <w:tr>
        <w:tc>
          <w:tcPr>
            <w:tcW w:type="dxa" w:w="170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Size: Extra Large (XL)</w:t>
            </w:r>
          </w:p>
        </w:tc>
        <w:tc>
          <w:tcPr>
            <w:tcW w:type="dxa" w:w="2835"/>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xl, extra large, huge, biggest</w:t>
            </w:r>
          </w:p>
        </w:tc>
        <w:tc>
          <w:tcPr>
            <w:tcW w:type="dxa" w:w="198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Extra Large (XL)</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+₹150.00</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Allocates maximum material grade allocation</w:t>
            </w:r>
          </w:p>
        </w:tc>
      </w:tr>
      <w:tr>
        <w:tc>
          <w:tcPr>
            <w:tcW w:type="dxa" w:w="170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General Custom Request</w:t>
            </w:r>
          </w:p>
        </w:tc>
        <w:tc>
          <w:tcPr>
            <w:tcW w:type="dxa" w:w="2835"/>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make, add, custom, design, style, change, want</w:t>
            </w:r>
          </w:p>
        </w:tc>
        <w:tc>
          <w:tcPr>
            <w:tcW w:type="dxa" w:w="1984"/>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Manual Review Required</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+₹50.00</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Flags order for manual design review by store team</w:t>
            </w:r>
          </w:p>
        </w:tc>
      </w:tr>
      <w:tr>
        <w:tc>
          <w:tcPr>
            <w:tcW w:type="dxa" w:w="170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Irrelevant Input Guard</w:t>
            </w:r>
          </w:p>
        </w:tc>
        <w:tc>
          <w:tcPr>
            <w:tcW w:type="dxa" w:w="2835"/>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Non-customization phrases (e.g., 'code simple calculator')</w:t>
            </w:r>
          </w:p>
        </w:tc>
        <w:tc>
          <w:tcPr>
            <w:tcW w:type="dxa" w:w="1984"/>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Rejected Prompt</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None (Rejected)</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Issues guidance error message prompting valid customization request</w:t>
            </w:r>
          </w:p>
        </w:tc>
      </w:tr>
    </w:tbl>
    <w:p>
      <w:pPr>
        <w:spacing w:line="360" w:lineRule="auto" w:after="120" w:before="0"/>
        <w:jc w:val="both"/>
      </w:pPr>
    </w:p>
    <w:p>
      <w:r>
        <w:br w:type="page"/>
      </w:r>
    </w:p>
    <w:p>
      <w:pPr>
        <w:spacing w:line="360" w:lineRule="auto" w:before="240" w:after="360"/>
        <w:jc w:val="center"/>
      </w:pPr>
      <w:r>
        <w:rPr>
          <w:rFonts w:ascii="Times New Roman" w:hAnsi="Times New Roman"/>
          <w:b/>
          <w:color w:val="123524"/>
          <w:sz w:val="28"/>
        </w:rPr>
        <w:t>CHAPTER 3: CODE SNIPPETS AND TESTING</w:t>
      </w:r>
    </w:p>
    <w:p>
      <w:pPr>
        <w:spacing w:line="360" w:lineRule="auto" w:before="240" w:after="120"/>
        <w:jc w:val="left"/>
      </w:pPr>
      <w:r>
        <w:rPr>
          <w:rFonts w:ascii="Times New Roman" w:hAnsi="Times New Roman"/>
          <w:b/>
          <w:color w:val="145228"/>
          <w:sz w:val="24"/>
        </w:rPr>
        <w:t>3.1 Important Code Snippets</w:t>
      </w:r>
    </w:p>
    <w:p>
      <w:pPr>
        <w:spacing w:line="360" w:lineRule="auto" w:after="120" w:before="0"/>
        <w:jc w:val="both"/>
      </w:pPr>
      <w:r>
        <w:rPr>
          <w:rFonts w:ascii="Times New Roman" w:hAnsi="Times New Roman"/>
          <w:b w:val="0"/>
          <w:i w:val="0"/>
          <w:color w:val="000000"/>
          <w:sz w:val="24"/>
        </w:rPr>
        <w:t>This section presents the primary implementation code powering Green Gen AI's core intelligence, data modeling, and conversational engines:</w:t>
      </w:r>
    </w:p>
    <w:p>
      <w:pPr>
        <w:spacing w:line="360" w:lineRule="auto" w:before="240" w:after="120"/>
        <w:jc w:val="left"/>
      </w:pPr>
      <w:r>
        <w:rPr>
          <w:rFonts w:ascii="Times New Roman" w:hAnsi="Times New Roman"/>
          <w:b/>
          <w:i/>
          <w:color w:val="000000"/>
          <w:sz w:val="24"/>
        </w:rPr>
        <w:t>3.1.1 Machine Learning Recommendation Engine (ml/train_model.py)</w:t>
      </w:r>
    </w:p>
    <w:p>
      <w:pPr>
        <w:spacing w:line="360" w:lineRule="auto" w:after="120" w:before="0"/>
        <w:jc w:val="both"/>
      </w:pPr>
      <w:r>
        <w:rPr>
          <w:rFonts w:ascii="Times New Roman" w:hAnsi="Times New Roman"/>
          <w:b w:val="0"/>
          <w:i w:val="0"/>
          <w:color w:val="000000"/>
          <w:sz w:val="24"/>
        </w:rPr>
        <w:t>The following code implements the Content-Based Filtering pipeline using scikit-learn's TfidfVectorizer and Cosine Similarity, incorporating user interaction history and Eco-Score preference weighting:</w:t>
      </w:r>
    </w:p>
    <w:p>
      <w:pPr>
        <w:spacing w:line="360" w:lineRule="auto" w:after="40" w:before="160"/>
        <w:jc w:val="left"/>
      </w:pPr>
      <w:r>
        <w:rPr>
          <w:rFonts w:ascii="Times New Roman" w:hAnsi="Times New Roman"/>
          <w:b/>
          <w:i w:val="0"/>
          <w:color w:val="000000"/>
          <w:sz w:val="22"/>
        </w:rPr>
        <w:t>Code Snippet: Recommendation Engine Model Training &amp; Dynamic Re-Ranking</w:t>
      </w:r>
    </w:p>
    <w:tbl>
      <w:tblPr>
        <w:tblW w:type="auto" w:w="0"/>
        <w:jc w:val="center"/>
        <w:tblLook w:firstColumn="1" w:firstRow="1" w:lastColumn="0" w:lastRow="0" w:noHBand="0" w:noVBand="1" w:val="04A0"/>
      </w:tblPr>
      <w:tblGrid>
        <w:gridCol w:w="10489"/>
      </w:tblGrid>
      <w:tr>
        <w:tc>
          <w:tcPr>
            <w:tcW w:type="dxa" w:w="10488"/>
            <w:shd w:fill="F4F6F5"/>
            <w:tcBorders>
              <w:top w:val="single" w:sz="4" w:space="0" w:color="CCCCCC"/>
              <w:left w:val="single" w:sz="18" w:space="0" w:color="2D6A4F"/>
              <w:bottom w:val="single" w:sz="4" w:space="0" w:color="CCCCCC"/>
              <w:right w:val="single" w:sz="4" w:space="0" w:color="CCCCCC"/>
            </w:tcBorders>
          </w:tcPr>
          <w:p>
            <w:pPr>
              <w:spacing w:line="276" w:lineRule="auto" w:before="80" w:after="80"/>
            </w:pPr>
            <w:r>
              <w:rPr>
                <w:rFonts w:ascii="Courier New" w:hAnsi="Courier New"/>
                <w:color w:val="1E2823"/>
                <w:sz w:val="19"/>
              </w:rPr>
              <w:t>def train_and_generate_recommendations():</w:t>
              <w:br/>
              <w:t xml:space="preserve">    conn = sqlite3.connect('instance/green_gen.db')</w:t>
              <w:br/>
              <w:t xml:space="preserve">    users_df = pd.read_sql_query("SELECT * FROM user", conn)</w:t>
              <w:br/>
              <w:t xml:space="preserve">    interactions_df = pd.read_sql_query("SELECT * FROM interaction", conn)</w:t>
              <w:br/>
              <w:t xml:space="preserve">    products_df = pd.read_sql_query("SELECT * FROM product", conn)</w:t>
              <w:br/>
              <w:t xml:space="preserve">    </w:t>
              <w:br/>
              <w:t xml:space="preserve">    # Feature Engineering for Content-Based Profile</w:t>
              <w:br/>
              <w:t xml:space="preserve">    products_df['content_features'] = (</w:t>
              <w:br/>
              <w:t xml:space="preserve">        products_df['category'] + " " + </w:t>
              <w:br/>
              <w:t xml:space="preserve">        products_df['material_type'] + " " + </w:t>
              <w:br/>
              <w:t xml:space="preserve">        products_df['manufacturing_process']</w:t>
              <w:br/>
              <w:t xml:space="preserve">    )</w:t>
              <w:br/>
              <w:t xml:space="preserve">    </w:t>
              <w:br/>
              <w:t xml:space="preserve">    tfidf = TfidfVectorizer(stop_words='english')</w:t>
              <w:br/>
              <w:t xml:space="preserve">    tfidf_matrix = tfidf.fit_transform(products_df['content_features'].fillna(''))</w:t>
              <w:br/>
              <w:t xml:space="preserve">    cosine_sim = cosine_similarity(tfidf_matrix, tfidf_matrix)</w:t>
              <w:br/>
              <w:t xml:space="preserve">    recommendations = {}</w:t>
              <w:br/>
              <w:t xml:space="preserve">    </w:t>
              <w:br/>
              <w:t xml:space="preserve">    for _, user in users_df.iterrows():</w:t>
              <w:br/>
              <w:t xml:space="preserve">        user_id = user['id']</w:t>
              <w:br/>
              <w:t xml:space="preserve">        user_interactions = interactions_df[interactions_df['user_id'] == user_id]</w:t>
              <w:br/>
              <w:t xml:space="preserve">        </w:t>
              <w:br/>
              <w:t xml:space="preserve">        if len(user_interactions) == 0:</w:t>
              <w:br/>
              <w:t xml:space="preserve">            # Cold Start: Recommend top Eco Score products</w:t>
              <w:br/>
              <w:t xml:space="preserve">            top_eco = products_df.sort_values(by='eco_score', ascending=False).head(8)</w:t>
              <w:br/>
              <w:t xml:space="preserve">            recommendations[str(user_id)] = [{</w:t>
              <w:br/>
              <w:t xml:space="preserve">                "product_id": str(row['id']),</w:t>
              <w:br/>
              <w:t xml:space="preserve">                "reason": "Popular sustainable choice for new users."</w:t>
              <w:br/>
              <w:t xml:space="preserve">            } for _, row in top_eco.iterrows()]</w:t>
              <w:br/>
              <w:t xml:space="preserve">            continue</w:t>
              <w:br/>
              <w:t xml:space="preserve">            </w:t>
              <w:br/>
              <w:t xml:space="preserve">        # Extract user affinity and last interacted item</w:t>
              <w:br/>
              <w:t xml:space="preserve">        interacted_pids = user_interactions['product_id'].unique()</w:t>
              <w:br/>
              <w:t xml:space="preserve">        interacted_products = products_df[products_df['id'].isin(interacted_pids)]</w:t>
              <w:br/>
              <w:t xml:space="preserve">        favorite_cat = interacted_products['category'].mode()[0] if not interacted_products.empty else "General"</w:t>
              <w:br/>
              <w:t xml:space="preserve">        avg_eco_pref = interacted_products['eco_score'].mean()</w:t>
              <w:br/>
              <w:t xml:space="preserve">        </w:t>
              <w:br/>
              <w:t xml:space="preserve">        last_pid = user_interactions.sort_values(by='timestamp', ascending=False).iloc[0]['product_id']</w:t>
              <w:br/>
              <w:t xml:space="preserve">        idx = products_df.index[products_df['id'] == last_pid][0]</w:t>
              <w:br/>
              <w:t xml:space="preserve">        sim_scores = sorted(list(enumerate(cosine_sim[idx])), key=lambda x: x[1], reverse=True)</w:t>
              <w:br/>
              <w:t xml:space="preserve">        sim_indices = [i[0] for i in sim_scores[1:21]]</w:t>
              <w:br/>
              <w:t xml:space="preserve">        </w:t>
              <w:br/>
              <w:t xml:space="preserve">        # Rank by Eco-Score within similarity neighborhood</w:t>
              <w:br/>
              <w:t xml:space="preserve">        candidates = products_df.iloc[sim_indices].sort_values(by='eco_score', ascending=False).head(8)</w:t>
              <w:br/>
              <w:t xml:space="preserve">        user_recs = []</w:t>
              <w:br/>
              <w:t xml:space="preserve">        for _, row in candidates.iterrows():</w:t>
              <w:br/>
              <w:t xml:space="preserve">            if row['eco_score'] &gt; avg_eco_pref + 5:</w:t>
              <w:br/>
              <w:t xml:space="preserve">                reason = f"Greener alternative to your typical choices! (Eco Score: {int(row['eco_score'])})"</w:t>
              <w:br/>
              <w:t xml:space="preserve">            elif row['category'] == favorite_cat:</w:t>
              <w:br/>
              <w:t xml:space="preserve">                reason = f"Because you frequently view products in the {favorite_cat} category."</w:t>
              <w:br/>
              <w:t xml:space="preserve">            else:</w:t>
              <w:br/>
              <w:t xml:space="preserve">                reason = "Based on your recent browsing history."</w:t>
              <w:br/>
              <w:t xml:space="preserve">            user_recs.append({"product_id": str(row['id']), "reason": reason})</w:t>
              <w:br/>
              <w:t xml:space="preserve">        recommendations[str(user_id)] = user_recs</w:t>
              <w:br/>
              <w:t xml:space="preserve">        </w:t>
              <w:br/>
              <w:t xml:space="preserve">    with open('data/recommendations.json', 'w') as f:</w:t>
              <w:br/>
              <w:t xml:space="preserve">        json.dump(recommendations, f, indent=4)</w:t>
            </w:r>
          </w:p>
        </w:tc>
      </w:tr>
    </w:tbl>
    <w:p>
      <w:pPr>
        <w:spacing w:line="360" w:lineRule="auto" w:after="120" w:before="0"/>
        <w:jc w:val="both"/>
      </w:pPr>
    </w:p>
    <w:p>
      <w:pPr>
        <w:spacing w:line="360" w:lineRule="auto" w:before="240" w:after="120"/>
        <w:jc w:val="left"/>
      </w:pPr>
      <w:r>
        <w:rPr>
          <w:rFonts w:ascii="Times New Roman" w:hAnsi="Times New Roman"/>
          <w:b/>
          <w:i/>
          <w:color w:val="000000"/>
          <w:sz w:val="24"/>
        </w:rPr>
        <w:t>3.1.2 Conversational AI Customization Engine (app.py)</w:t>
      </w:r>
    </w:p>
    <w:p>
      <w:pPr>
        <w:spacing w:line="360" w:lineRule="auto" w:after="120" w:before="0"/>
        <w:jc w:val="both"/>
      </w:pPr>
      <w:r>
        <w:rPr>
          <w:rFonts w:ascii="Times New Roman" w:hAnsi="Times New Roman"/>
          <w:b w:val="0"/>
          <w:i w:val="0"/>
          <w:color w:val="000000"/>
          <w:sz w:val="24"/>
        </w:rPr>
        <w:t>The following controller endpoint implements natural language parsing, synonym mapping for sizing and styling, query rejection validation, and dynamic HTML receipt generation:</w:t>
      </w:r>
    </w:p>
    <w:p>
      <w:pPr>
        <w:spacing w:line="360" w:lineRule="auto" w:after="40" w:before="160"/>
        <w:jc w:val="left"/>
      </w:pPr>
      <w:r>
        <w:rPr>
          <w:rFonts w:ascii="Times New Roman" w:hAnsi="Times New Roman"/>
          <w:b/>
          <w:i w:val="0"/>
          <w:color w:val="000000"/>
          <w:sz w:val="22"/>
        </w:rPr>
        <w:t>Code Snippet: Conversational Customization Controller and Validation Logic</w:t>
      </w:r>
    </w:p>
    <w:tbl>
      <w:tblPr>
        <w:tblW w:type="auto" w:w="0"/>
        <w:jc w:val="center"/>
        <w:tblLook w:firstColumn="1" w:firstRow="1" w:lastColumn="0" w:lastRow="0" w:noHBand="0" w:noVBand="1" w:val="04A0"/>
      </w:tblPr>
      <w:tblGrid>
        <w:gridCol w:w="10489"/>
      </w:tblGrid>
      <w:tr>
        <w:tc>
          <w:tcPr>
            <w:tcW w:type="dxa" w:w="10488"/>
            <w:shd w:fill="F4F6F5"/>
            <w:tcBorders>
              <w:top w:val="single" w:sz="4" w:space="0" w:color="CCCCCC"/>
              <w:left w:val="single" w:sz="18" w:space="0" w:color="2D6A4F"/>
              <w:bottom w:val="single" w:sz="4" w:space="0" w:color="CCCCCC"/>
              <w:right w:val="single" w:sz="4" w:space="0" w:color="CCCCCC"/>
            </w:tcBorders>
          </w:tcPr>
          <w:p>
            <w:pPr>
              <w:spacing w:line="276" w:lineRule="auto" w:before="80" w:after="80"/>
            </w:pPr>
            <w:r>
              <w:rPr>
                <w:rFonts w:ascii="Courier New" w:hAnsi="Courier New"/>
                <w:color w:val="1E2823"/>
                <w:sz w:val="19"/>
              </w:rPr>
              <w:t>@app.route('/api/customize_chat', methods=['POST'])</w:t>
              <w:br/>
              <w:t>def customize_chat():</w:t>
              <w:br/>
              <w:t xml:space="preserve">    data = request.json</w:t>
              <w:br/>
              <w:t xml:space="preserve">    text = data.get('message', '').lower()</w:t>
              <w:br/>
              <w:t xml:space="preserve">    product_id = data.get('product_id')</w:t>
              <w:br/>
              <w:t xml:space="preserve">    </w:t>
              <w:br/>
              <w:t xml:space="preserve">    p = Product.query.get(product_id)</w:t>
              <w:br/>
              <w:t xml:space="preserve">    if not p:</w:t>
              <w:br/>
              <w:t xml:space="preserve">        return jsonify({"error": "Product not found"}), 404</w:t>
              <w:br/>
              <w:t xml:space="preserve">        </w:t>
              <w:br/>
              <w:t xml:space="preserve">    details = []</w:t>
              <w:br/>
              <w:t xml:space="preserve">    charge = 0</w:t>
              <w:br/>
              <w:t xml:space="preserve">    </w:t>
              <w:br/>
              <w:t xml:space="preserve">    # 1. Color Extraction</w:t>
              <w:br/>
              <w:t xml:space="preserve">    colors = ['pink', 'blue', 'red', 'green', 'black', 'white', 'yellow', 'purple', 'orange', 'dark blue']</w:t>
              <w:br/>
              <w:t xml:space="preserve">    for c in colors:</w:t>
              <w:br/>
              <w:t xml:space="preserve">        if c in text:</w:t>
              <w:br/>
              <w:t xml:space="preserve">            details.append({"label": "Color", "val": c.title(), "price": 50})</w:t>
              <w:br/>
              <w:t xml:space="preserve">            charge += 50</w:t>
              <w:br/>
              <w:t xml:space="preserve">            break</w:t>
              <w:br/>
              <w:t xml:space="preserve">            </w:t>
              <w:br/>
              <w:t xml:space="preserve">    # 2. Pattern Extraction</w:t>
              <w:br/>
              <w:t xml:space="preserve">    if any(k in text for k in ['floral', 'pattern']):</w:t>
              <w:br/>
              <w:t xml:space="preserve">        details.append({"label": "Pattern", "val": "Floral Pattern", "price": 100})</w:t>
              <w:br/>
              <w:t xml:space="preserve">        charge += 100</w:t>
              <w:br/>
              <w:t xml:space="preserve">        </w:t>
              <w:br/>
              <w:t xml:space="preserve">    # 3. Personalized Text Extraction</w:t>
              <w:br/>
              <w:t xml:space="preserve">    if any(k in text for k in ['name', 'print', 'text']):</w:t>
              <w:br/>
              <w:t xml:space="preserve">        details.append({"label": "Custom Print", "val": "Personalized Text", "price": 50})</w:t>
              <w:br/>
              <w:t xml:space="preserve">        charge += 50</w:t>
              <w:br/>
              <w:t xml:space="preserve">        </w:t>
              <w:br/>
              <w:t xml:space="preserve">    # 4. Sizing Extraction with Synonyms</w:t>
              <w:br/>
              <w:t xml:space="preserve">    if any(w in text for w in ['xl', 'extra large', 'huge', 'biggest']):</w:t>
              <w:br/>
              <w:t xml:space="preserve">        details.append({"label": "Size", "val": "Extra Large (XL)", "price": 150})</w:t>
              <w:br/>
              <w:t xml:space="preserve">        charge += 150</w:t>
              <w:br/>
              <w:t xml:space="preserve">    elif any(w in text for w in ['large', 'bigger', 'big', 'l ']):</w:t>
              <w:br/>
              <w:t xml:space="preserve">        details.append({"label": "Size", "val": "Large (L)", "price": 100})</w:t>
              <w:br/>
              <w:t xml:space="preserve">        charge += 100</w:t>
              <w:br/>
              <w:t xml:space="preserve">    elif any(w in text for w in ['medium', 'regular', 'm ']):</w:t>
              <w:br/>
              <w:t xml:space="preserve">        details.append({"label": "Size", "val": "Medium (M)", "price": 0})</w:t>
              <w:br/>
              <w:t xml:space="preserve">    elif any(w in text for w in ['small', 'smaller', 'tiny', 's ']):</w:t>
              <w:br/>
              <w:t xml:space="preserve">        details.append({"label": "Size", "val": "Small (S)", "price": 0})</w:t>
              <w:br/>
              <w:t xml:space="preserve">        </w:t>
              <w:br/>
              <w:t xml:space="preserve">    # 5. Validation Guard against Irrelevant Queries</w:t>
              <w:br/>
              <w:t xml:space="preserve">    valid_vague_words = ['make', 'add', 'custom', 'design', 'style', 'change', 'size', 'want']</w:t>
              <w:br/>
              <w:t xml:space="preserve">    if not details:</w:t>
              <w:br/>
              <w:t xml:space="preserve">        if not any(word in text for word in valid_vague_words):</w:t>
              <w:br/>
              <w:t xml:space="preserve">            return jsonify({"html": '''&lt;div class="flex flex-col gap-3 w-full text-gray-800"&gt;</w:t>
              <w:br/>
              <w:t xml:space="preserve">                &lt;p class="text-base text-red-600 font-medium"&gt;Sorry, I didn't understand that request.&lt;/p&gt;</w:t>
              <w:br/>
              <w:t xml:space="preserve">                &lt;p class="text-sm text-gray-600"&gt;I can help you change colors, add patterns, or print text.&lt;/p&gt;</w:t>
              <w:br/>
              <w:t xml:space="preserve">            &lt;/div&gt;'''})</w:t>
              <w:br/>
              <w:t xml:space="preserve">        details.append({"label": "Custom Request", "val": "Review requested", "price": 50})</w:t>
              <w:br/>
              <w:t xml:space="preserve">        charge += 50</w:t>
              <w:br/>
              <w:t xml:space="preserve">        </w:t>
              <w:br/>
              <w:t xml:space="preserve">    final_price = p.price_inr + charge</w:t>
              <w:br/>
              <w:t xml:space="preserve">    response_html = render_customization_receipt(text, details, p.price_inr, charge, final_price, product_id)</w:t>
              <w:br/>
              <w:t xml:space="preserve">    return jsonify({"html": response_html})</w:t>
            </w:r>
          </w:p>
        </w:tc>
      </w:tr>
    </w:tbl>
    <w:p>
      <w:pPr>
        <w:spacing w:line="360" w:lineRule="auto" w:after="120" w:before="0"/>
        <w:jc w:val="both"/>
      </w:pPr>
    </w:p>
    <w:p>
      <w:pPr>
        <w:spacing w:line="360" w:lineRule="auto" w:before="240" w:after="120"/>
        <w:jc w:val="left"/>
      </w:pPr>
      <w:r>
        <w:rPr>
          <w:rFonts w:ascii="Times New Roman" w:hAnsi="Times New Roman"/>
          <w:b/>
          <w:i/>
          <w:color w:val="000000"/>
          <w:sz w:val="24"/>
        </w:rPr>
        <w:t>3.1.3 Relational Database Entity Models (models.py)</w:t>
      </w:r>
    </w:p>
    <w:p>
      <w:pPr>
        <w:spacing w:line="360" w:lineRule="auto" w:after="120" w:before="0"/>
        <w:jc w:val="both"/>
      </w:pPr>
      <w:r>
        <w:rPr>
          <w:rFonts w:ascii="Times New Roman" w:hAnsi="Times New Roman"/>
          <w:b w:val="0"/>
          <w:i w:val="0"/>
          <w:color w:val="000000"/>
          <w:sz w:val="24"/>
        </w:rPr>
        <w:t>The following SQLAlchemy schema defines the core product catalog and ecological score properties driving the platform:</w:t>
      </w:r>
    </w:p>
    <w:p>
      <w:pPr>
        <w:spacing w:line="360" w:lineRule="auto" w:after="40" w:before="160"/>
        <w:jc w:val="left"/>
      </w:pPr>
      <w:r>
        <w:rPr>
          <w:rFonts w:ascii="Times New Roman" w:hAnsi="Times New Roman"/>
          <w:b/>
          <w:i w:val="0"/>
          <w:color w:val="000000"/>
          <w:sz w:val="22"/>
        </w:rPr>
        <w:t>Code Snippet: Relational Product Schema with Sustainability Metrics</w:t>
      </w:r>
    </w:p>
    <w:tbl>
      <w:tblPr>
        <w:tblW w:type="auto" w:w="0"/>
        <w:jc w:val="center"/>
        <w:tblLook w:firstColumn="1" w:firstRow="1" w:lastColumn="0" w:lastRow="0" w:noHBand="0" w:noVBand="1" w:val="04A0"/>
      </w:tblPr>
      <w:tblGrid>
        <w:gridCol w:w="10489"/>
      </w:tblGrid>
      <w:tr>
        <w:tc>
          <w:tcPr>
            <w:tcW w:type="dxa" w:w="10488"/>
            <w:shd w:fill="F4F6F5"/>
            <w:tcBorders>
              <w:top w:val="single" w:sz="4" w:space="0" w:color="CCCCCC"/>
              <w:left w:val="single" w:sz="18" w:space="0" w:color="2D6A4F"/>
              <w:bottom w:val="single" w:sz="4" w:space="0" w:color="CCCCCC"/>
              <w:right w:val="single" w:sz="4" w:space="0" w:color="CCCCCC"/>
            </w:tcBorders>
          </w:tcPr>
          <w:p>
            <w:pPr>
              <w:spacing w:line="276" w:lineRule="auto" w:before="80" w:after="80"/>
            </w:pPr>
            <w:r>
              <w:rPr>
                <w:rFonts w:ascii="Courier New" w:hAnsi="Courier New"/>
                <w:color w:val="1E2823"/>
                <w:sz w:val="19"/>
              </w:rPr>
              <w:t>class Product(db.Model):</w:t>
              <w:br/>
              <w:t xml:space="preserve">    id = db.Column(db.String(50), primary_key=True)</w:t>
              <w:br/>
              <w:t xml:space="preserve">    name = db.Column(db.String(150), nullable=False)</w:t>
              <w:br/>
              <w:t xml:space="preserve">    category = db.Column(db.String(100), nullable=False)</w:t>
              <w:br/>
              <w:t xml:space="preserve">    description = db.Column(db.Text, nullable=True)</w:t>
              <w:br/>
              <w:t xml:space="preserve">    price_inr = db.Column(db.Float, nullable=False)</w:t>
              <w:br/>
              <w:t xml:space="preserve">    image_url = db.Column(db.String(300), nullable=True)</w:t>
              <w:br/>
              <w:t xml:space="preserve">    </w:t>
              <w:br/>
              <w:t xml:space="preserve">    # Empirical Sustainability Metrics</w:t>
              <w:br/>
              <w:t xml:space="preserve">    eco_score = db.Column(db.Float, nullable=False) # Computed 0 - 100</w:t>
              <w:br/>
              <w:t xml:space="preserve">    material_type = db.Column(db.String(100), nullable=False) # e.g. Organic, Recycled</w:t>
              <w:br/>
              <w:t xml:space="preserve">    recyclability_pct = db.Column(db.Float, nullable=False)</w:t>
              <w:br/>
              <w:t xml:space="preserve">    manufacturing_process = db.Column(db.String(100), nullable=False)</w:t>
              <w:br/>
              <w:t xml:space="preserve">    packaging_type = db.Column(db.String(100), nullable=False)</w:t>
              <w:br/>
              <w:t xml:space="preserve">    carbon_footprint_kg = db.Column(db.Float, nullable=False)</w:t>
              <w:br/>
              <w:t xml:space="preserve">    water_footprint_l = db.Column(db.Float, nullable=False)</w:t>
              <w:br/>
              <w:t xml:space="preserve">    </w:t>
              <w:br/>
              <w:t xml:space="preserve">    interactions = db.relationship('Interaction', backref='product', lazy=True)</w:t>
            </w:r>
          </w:p>
        </w:tc>
      </w:tr>
    </w:tbl>
    <w:p>
      <w:pPr>
        <w:spacing w:line="360" w:lineRule="auto" w:after="120" w:before="0"/>
        <w:jc w:val="both"/>
      </w:pPr>
    </w:p>
    <w:p>
      <w:pPr>
        <w:spacing w:line="360" w:lineRule="auto" w:before="240" w:after="120"/>
        <w:jc w:val="left"/>
      </w:pPr>
      <w:r>
        <w:rPr>
          <w:rFonts w:ascii="Times New Roman" w:hAnsi="Times New Roman"/>
          <w:b/>
          <w:i/>
          <w:color w:val="000000"/>
          <w:sz w:val="24"/>
        </w:rPr>
        <w:t>3.1.4 Project User Interface Visualizations</w:t>
      </w:r>
    </w:p>
    <w:p>
      <w:pPr>
        <w:spacing w:line="360" w:lineRule="auto" w:after="120" w:before="0"/>
        <w:jc w:val="both"/>
      </w:pPr>
      <w:r>
        <w:rPr>
          <w:rFonts w:ascii="Times New Roman" w:hAnsi="Times New Roman"/>
          <w:b w:val="0"/>
          <w:i w:val="0"/>
          <w:color w:val="000000"/>
          <w:sz w:val="24"/>
        </w:rPr>
        <w:t>The following figures demonstrate the live interface components implemented in Green Gen AI:</w:t>
      </w:r>
    </w:p>
    <w:p>
      <w:pPr>
        <w:spacing w:before="160" w:after="80"/>
        <w:jc w:val="center"/>
      </w:pPr>
      <w:r>
        <w:drawing>
          <wp:inline xmlns:a="http://schemas.openxmlformats.org/drawingml/2006/main" xmlns:pic="http://schemas.openxmlformats.org/drawingml/2006/picture">
            <wp:extent cx="4680000" cy="4997205"/>
            <wp:docPr id="1" name="Picture 1"/>
            <wp:cNvGraphicFramePr>
              <a:graphicFrameLocks noChangeAspect="1"/>
            </wp:cNvGraphicFramePr>
            <a:graphic>
              <a:graphicData uri="http://schemas.openxmlformats.org/drawingml/2006/picture">
                <pic:pic>
                  <pic:nvPicPr>
                    <pic:cNvPr id="0" name="media_1791521695120_f39ecc05.jpg"/>
                    <pic:cNvPicPr/>
                  </pic:nvPicPr>
                  <pic:blipFill>
                    <a:blip r:embed="rId10"/>
                    <a:stretch>
                      <a:fillRect/>
                    </a:stretch>
                  </pic:blipFill>
                  <pic:spPr>
                    <a:xfrm>
                      <a:off x="0" y="0"/>
                      <a:ext cx="4680000" cy="4997205"/>
                    </a:xfrm>
                    <a:prstGeom prst="rect"/>
                  </pic:spPr>
                </pic:pic>
              </a:graphicData>
            </a:graphic>
          </wp:inline>
        </w:drawing>
      </w:r>
    </w:p>
    <w:p>
      <w:pPr>
        <w:spacing w:line="360" w:lineRule="auto" w:after="160" w:before="40"/>
        <w:jc w:val="center"/>
      </w:pPr>
      <w:r>
        <w:rPr>
          <w:rFonts w:ascii="Times New Roman" w:hAnsi="Times New Roman"/>
          <w:b/>
          <w:i/>
          <w:color w:val="000000"/>
          <w:sz w:val="22"/>
        </w:rPr>
        <w:t>Figure 8: Conversational AI Customization Interface with Split Preview and Receipt Card</w:t>
      </w:r>
    </w:p>
    <w:p>
      <w:pPr>
        <w:spacing w:before="160" w:after="80"/>
        <w:jc w:val="center"/>
      </w:pPr>
      <w:r>
        <w:drawing>
          <wp:inline xmlns:a="http://schemas.openxmlformats.org/drawingml/2006/main" xmlns:pic="http://schemas.openxmlformats.org/drawingml/2006/picture">
            <wp:extent cx="5040000" cy="2830078"/>
            <wp:docPr id="2" name="Picture 2"/>
            <wp:cNvGraphicFramePr>
              <a:graphicFrameLocks noChangeAspect="1"/>
            </wp:cNvGraphicFramePr>
            <a:graphic>
              <a:graphicData uri="http://schemas.openxmlformats.org/drawingml/2006/picture">
                <pic:pic>
                  <pic:nvPicPr>
                    <pic:cNvPr id="0" name="media_1791522269943_e04c81af.png"/>
                    <pic:cNvPicPr/>
                  </pic:nvPicPr>
                  <pic:blipFill>
                    <a:blip r:embed="rId11"/>
                    <a:stretch>
                      <a:fillRect/>
                    </a:stretch>
                  </pic:blipFill>
                  <pic:spPr>
                    <a:xfrm>
                      <a:off x="0" y="0"/>
                      <a:ext cx="5040000" cy="2830078"/>
                    </a:xfrm>
                    <a:prstGeom prst="rect"/>
                  </pic:spPr>
                </pic:pic>
              </a:graphicData>
            </a:graphic>
          </wp:inline>
        </w:drawing>
      </w:r>
    </w:p>
    <w:p>
      <w:pPr>
        <w:spacing w:line="360" w:lineRule="auto" w:after="160" w:before="40"/>
        <w:jc w:val="center"/>
      </w:pPr>
      <w:r>
        <w:rPr>
          <w:rFonts w:ascii="Times New Roman" w:hAnsi="Times New Roman"/>
          <w:b/>
          <w:i/>
          <w:color w:val="000000"/>
          <w:sz w:val="22"/>
        </w:rPr>
        <w:t>Figure 9: Real-Time Dynamic Price Calculation &amp; Customization Surcharge Summary</w:t>
      </w:r>
    </w:p>
    <w:p>
      <w:pPr>
        <w:spacing w:before="160" w:after="80"/>
        <w:jc w:val="center"/>
      </w:pPr>
      <w:r>
        <w:drawing>
          <wp:inline xmlns:a="http://schemas.openxmlformats.org/drawingml/2006/main" xmlns:pic="http://schemas.openxmlformats.org/drawingml/2006/picture">
            <wp:extent cx="5040000" cy="2830078"/>
            <wp:docPr id="3" name="Picture 3"/>
            <wp:cNvGraphicFramePr>
              <a:graphicFrameLocks noChangeAspect="1"/>
            </wp:cNvGraphicFramePr>
            <a:graphic>
              <a:graphicData uri="http://schemas.openxmlformats.org/drawingml/2006/picture">
                <pic:pic>
                  <pic:nvPicPr>
                    <pic:cNvPr id="0" name="media_1791522657110_1ab30647.png"/>
                    <pic:cNvPicPr/>
                  </pic:nvPicPr>
                  <pic:blipFill>
                    <a:blip r:embed="rId12"/>
                    <a:stretch>
                      <a:fillRect/>
                    </a:stretch>
                  </pic:blipFill>
                  <pic:spPr>
                    <a:xfrm>
                      <a:off x="0" y="0"/>
                      <a:ext cx="5040000" cy="2830078"/>
                    </a:xfrm>
                    <a:prstGeom prst="rect"/>
                  </pic:spPr>
                </pic:pic>
              </a:graphicData>
            </a:graphic>
          </wp:inline>
        </w:drawing>
      </w:r>
    </w:p>
    <w:p>
      <w:pPr>
        <w:spacing w:line="360" w:lineRule="auto" w:after="160" w:before="40"/>
        <w:jc w:val="center"/>
      </w:pPr>
      <w:r>
        <w:rPr>
          <w:rFonts w:ascii="Times New Roman" w:hAnsi="Times New Roman"/>
          <w:b/>
          <w:i/>
          <w:color w:val="000000"/>
          <w:sz w:val="22"/>
        </w:rPr>
        <w:t>Figure 10: Validation Guard Rejecting Out-of-Domain Requests in Product Customizer</w:t>
      </w:r>
    </w:p>
    <w:p>
      <w:pPr>
        <w:spacing w:line="360" w:lineRule="auto" w:before="240" w:after="120"/>
        <w:jc w:val="left"/>
      </w:pPr>
      <w:r>
        <w:rPr>
          <w:rFonts w:ascii="Times New Roman" w:hAnsi="Times New Roman"/>
          <w:b/>
          <w:color w:val="145228"/>
          <w:sz w:val="24"/>
        </w:rPr>
        <w:t>3.2 Testing Methodology</w:t>
      </w:r>
    </w:p>
    <w:p>
      <w:pPr>
        <w:spacing w:line="360" w:lineRule="auto" w:after="120" w:before="0"/>
        <w:jc w:val="both"/>
      </w:pPr>
      <w:r>
        <w:rPr>
          <w:rFonts w:ascii="Times New Roman" w:hAnsi="Times New Roman"/>
          <w:b w:val="0"/>
          <w:i w:val="0"/>
          <w:color w:val="000000"/>
          <w:sz w:val="24"/>
        </w:rPr>
        <w:t>To ensure system stability, mathematical accuracy, and user safety, a comprehensive four-tier testing methodology was executed:</w:t>
      </w:r>
    </w:p>
    <w:p>
      <w:pPr>
        <w:pStyle w:val="ListBullet"/>
        <w:spacing w:line="360" w:lineRule="auto" w:after="80" w:before="40"/>
        <w:jc w:val="both"/>
      </w:pPr>
      <w:r>
        <w:rPr>
          <w:rFonts w:ascii="Times New Roman" w:hAnsi="Times New Roman"/>
          <w:b/>
          <w:sz w:val="24"/>
        </w:rPr>
        <w:t xml:space="preserve">Unit Testing: </w:t>
      </w:r>
      <w:r>
        <w:rPr>
          <w:rFonts w:ascii="Times New Roman" w:hAnsi="Times New Roman"/>
          <w:sz w:val="24"/>
        </w:rPr>
        <w:t>Individually verified standalone functions, including Eco-Score calculations, password hashing security, TF-IDF vector matrix shape consistency, and NLP token extraction accuracy.</w:t>
      </w:r>
    </w:p>
    <w:p>
      <w:pPr>
        <w:pStyle w:val="ListBullet"/>
        <w:spacing w:line="360" w:lineRule="auto" w:after="80" w:before="40"/>
        <w:jc w:val="both"/>
      </w:pPr>
      <w:r>
        <w:rPr>
          <w:rFonts w:ascii="Times New Roman" w:hAnsi="Times New Roman"/>
          <w:b/>
          <w:sz w:val="24"/>
        </w:rPr>
        <w:t xml:space="preserve">Integration Testing: </w:t>
      </w:r>
      <w:r>
        <w:rPr>
          <w:rFonts w:ascii="Times New Roman" w:hAnsi="Times New Roman"/>
          <w:sz w:val="24"/>
        </w:rPr>
        <w:t>Tested inter-module communications, such as passing customized product parameters into session shopping carts, verifying cart item count updates in navbar headers, and updating persistent JSON category registries.</w:t>
      </w:r>
    </w:p>
    <w:p>
      <w:pPr>
        <w:pStyle w:val="ListBullet"/>
        <w:spacing w:line="360" w:lineRule="auto" w:after="80" w:before="40"/>
        <w:jc w:val="both"/>
      </w:pPr>
      <w:r>
        <w:rPr>
          <w:rFonts w:ascii="Times New Roman" w:hAnsi="Times New Roman"/>
          <w:b/>
          <w:sz w:val="24"/>
        </w:rPr>
        <w:t xml:space="preserve">System Testing: </w:t>
      </w:r>
      <w:r>
        <w:rPr>
          <w:rFonts w:ascii="Times New Roman" w:hAnsi="Times New Roman"/>
          <w:sz w:val="24"/>
        </w:rPr>
        <w:t>Executed end-to-end user journeys from customer registration, catalog browsing, and chatbot customization to simulated checkout, order recording, and admin image replacement.</w:t>
      </w:r>
    </w:p>
    <w:p>
      <w:pPr>
        <w:pStyle w:val="ListBullet"/>
        <w:spacing w:line="360" w:lineRule="auto" w:after="80" w:before="40"/>
        <w:jc w:val="both"/>
      </w:pPr>
      <w:r>
        <w:rPr>
          <w:rFonts w:ascii="Times New Roman" w:hAnsi="Times New Roman"/>
          <w:b/>
          <w:sz w:val="24"/>
        </w:rPr>
        <w:t xml:space="preserve">Security &amp; Boundary Testing: </w:t>
      </w:r>
      <w:r>
        <w:rPr>
          <w:rFonts w:ascii="Times New Roman" w:hAnsi="Times New Roman"/>
          <w:sz w:val="24"/>
        </w:rPr>
        <w:t>Assessed administrative route protections, verified SQL injection prevention through SQLAlchemy parameterized statements, and rigorously tested NLP validation guards against nonsensical or malicious prompt inputs.</w:t>
      </w:r>
    </w:p>
    <w:p>
      <w:pPr>
        <w:spacing w:line="360" w:lineRule="auto" w:before="240" w:after="120"/>
        <w:jc w:val="left"/>
      </w:pPr>
      <w:r>
        <w:rPr>
          <w:rFonts w:ascii="Times New Roman" w:hAnsi="Times New Roman"/>
          <w:b/>
          <w:color w:val="145228"/>
          <w:sz w:val="24"/>
        </w:rPr>
        <w:t>3.3 Test Cases and Results</w:t>
      </w:r>
    </w:p>
    <w:p>
      <w:pPr>
        <w:spacing w:line="360" w:lineRule="auto" w:after="120" w:before="0"/>
        <w:jc w:val="both"/>
      </w:pPr>
      <w:r>
        <w:rPr>
          <w:rFonts w:ascii="Times New Roman" w:hAnsi="Times New Roman"/>
          <w:b w:val="0"/>
          <w:i w:val="0"/>
          <w:color w:val="000000"/>
          <w:sz w:val="24"/>
        </w:rPr>
        <w:t>Table 5 outlines the exhaustive test suite executed against Green Gen AI, validating expected system behaviors against empirical test results:</w:t>
      </w:r>
    </w:p>
    <w:p>
      <w:pPr>
        <w:spacing w:line="360" w:lineRule="auto" w:after="80" w:before="200"/>
        <w:jc w:val="center"/>
      </w:pPr>
      <w:r>
        <w:rPr>
          <w:rFonts w:ascii="Times New Roman" w:hAnsi="Times New Roman"/>
          <w:b/>
          <w:i w:val="0"/>
          <w:color w:val="000000"/>
          <w:sz w:val="22"/>
        </w:rPr>
        <w:t>Table 5: System Verification Test Cases and Execution Results (Table 2)</w:t>
      </w:r>
    </w:p>
    <w:tbl>
      <w:tblPr>
        <w:tblW w:type="auto" w:w="0"/>
        <w:jc w:val="center"/>
        <w:tblLook w:firstColumn="1" w:firstRow="1" w:lastColumn="0" w:lastRow="0" w:noHBand="0" w:noVBand="1" w:val="04A0"/>
      </w:tblPr>
      <w:tblGrid>
        <w:gridCol w:w="1748"/>
        <w:gridCol w:w="1748"/>
        <w:gridCol w:w="1748"/>
        <w:gridCol w:w="1748"/>
        <w:gridCol w:w="1748"/>
        <w:gridCol w:w="1748"/>
      </w:tblGrid>
      <w:tr>
        <w:tc>
          <w:tcPr>
            <w:tcW w:type="dxa" w:w="850"/>
            <w:shd w:fill="1B4332"/>
          </w:tcPr>
          <w:p>
            <w:pPr>
              <w:spacing w:line="240" w:lineRule="auto" w:before="80" w:after="80"/>
              <w:jc w:val="center"/>
            </w:pPr>
            <w:r>
              <w:rPr>
                <w:rFonts w:ascii="Times New Roman" w:hAnsi="Times New Roman"/>
                <w:b/>
                <w:color w:val="FFFFFF"/>
                <w:sz w:val="21"/>
              </w:rPr>
              <w:t>Test ID</w:t>
            </w:r>
          </w:p>
        </w:tc>
        <w:tc>
          <w:tcPr>
            <w:tcW w:type="dxa" w:w="1417"/>
            <w:shd w:fill="1B4332"/>
          </w:tcPr>
          <w:p>
            <w:pPr>
              <w:spacing w:line="240" w:lineRule="auto" w:before="80" w:after="80"/>
              <w:jc w:val="center"/>
            </w:pPr>
            <w:r>
              <w:rPr>
                <w:rFonts w:ascii="Times New Roman" w:hAnsi="Times New Roman"/>
                <w:b/>
                <w:color w:val="FFFFFF"/>
                <w:sz w:val="21"/>
              </w:rPr>
              <w:t>Module Under Test</w:t>
            </w:r>
          </w:p>
        </w:tc>
        <w:tc>
          <w:tcPr>
            <w:tcW w:type="dxa" w:w="2551"/>
            <w:shd w:fill="1B4332"/>
          </w:tcPr>
          <w:p>
            <w:pPr>
              <w:spacing w:line="240" w:lineRule="auto" w:before="80" w:after="80"/>
              <w:jc w:val="center"/>
            </w:pPr>
            <w:r>
              <w:rPr>
                <w:rFonts w:ascii="Times New Roman" w:hAnsi="Times New Roman"/>
                <w:b/>
                <w:color w:val="FFFFFF"/>
                <w:sz w:val="21"/>
              </w:rPr>
              <w:t>Test Objective &amp; Input Scenario</w:t>
            </w:r>
          </w:p>
        </w:tc>
        <w:tc>
          <w:tcPr>
            <w:tcW w:type="dxa" w:w="2551"/>
            <w:shd w:fill="1B4332"/>
          </w:tcPr>
          <w:p>
            <w:pPr>
              <w:spacing w:line="240" w:lineRule="auto" w:before="80" w:after="80"/>
              <w:jc w:val="center"/>
            </w:pPr>
            <w:r>
              <w:rPr>
                <w:rFonts w:ascii="Times New Roman" w:hAnsi="Times New Roman"/>
                <w:b/>
                <w:color w:val="FFFFFF"/>
                <w:sz w:val="21"/>
              </w:rPr>
              <w:t>Expected Output</w:t>
            </w:r>
          </w:p>
        </w:tc>
        <w:tc>
          <w:tcPr>
            <w:tcW w:type="dxa" w:w="2551"/>
            <w:shd w:fill="1B4332"/>
          </w:tcPr>
          <w:p>
            <w:pPr>
              <w:spacing w:line="240" w:lineRule="auto" w:before="80" w:after="80"/>
              <w:jc w:val="center"/>
            </w:pPr>
            <w:r>
              <w:rPr>
                <w:rFonts w:ascii="Times New Roman" w:hAnsi="Times New Roman"/>
                <w:b/>
                <w:color w:val="FFFFFF"/>
                <w:sz w:val="21"/>
              </w:rPr>
              <w:t>Actual Result</w:t>
            </w:r>
          </w:p>
        </w:tc>
        <w:tc>
          <w:tcPr>
            <w:tcW w:type="dxa" w:w="850"/>
            <w:shd w:fill="1B4332"/>
          </w:tcPr>
          <w:p>
            <w:pPr>
              <w:spacing w:line="240" w:lineRule="auto" w:before="80" w:after="80"/>
              <w:jc w:val="center"/>
            </w:pPr>
            <w:r>
              <w:rPr>
                <w:rFonts w:ascii="Times New Roman" w:hAnsi="Times New Roman"/>
                <w:b/>
                <w:color w:val="FFFFFF"/>
                <w:sz w:val="21"/>
              </w:rPr>
              <w:t>Status</w:t>
            </w:r>
          </w:p>
        </w:tc>
      </w:tr>
      <w:tr>
        <w:tc>
          <w:tcPr>
            <w:tcW w:type="dxa" w:w="85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TC-01</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User Auth</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Register with valid username 'alice' and password 'password123'</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User account created; password stored as salted hash in SQLite</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Password successfully hashed via Werkzeug; user redirected to storefront</w:t>
            </w:r>
          </w:p>
        </w:tc>
        <w:tc>
          <w:tcPr>
            <w:tcW w:type="dxa" w:w="85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PASSED</w:t>
            </w:r>
          </w:p>
        </w:tc>
      </w:tr>
      <w:tr>
        <w:tc>
          <w:tcPr>
            <w:tcW w:type="dxa" w:w="85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TC-02</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User Auth</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Attempt admin login with invalid password 'wrongpass'</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System denies access and returns clear error message</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HTTP 302 flash message 'Invalid credentials' displayed</w:t>
            </w:r>
          </w:p>
        </w:tc>
        <w:tc>
          <w:tcPr>
            <w:tcW w:type="dxa" w:w="85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PASSED</w:t>
            </w:r>
          </w:p>
        </w:tc>
      </w:tr>
      <w:tr>
        <w:tc>
          <w:tcPr>
            <w:tcW w:type="dxa" w:w="85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TC-03</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Admin Auth</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Log in using credentials 'admin' and 'admin123'</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Grants access to Administrative Dashboard and catalog edit tools</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Admin authenticated; redirected to /admin/dashboard</w:t>
            </w:r>
          </w:p>
        </w:tc>
        <w:tc>
          <w:tcPr>
            <w:tcW w:type="dxa" w:w="85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PASSED</w:t>
            </w:r>
          </w:p>
        </w:tc>
      </w:tr>
      <w:tr>
        <w:tc>
          <w:tcPr>
            <w:tcW w:type="dxa" w:w="85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TC-04</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Catalog</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Filter product catalog by category 'Kitchen &amp; Dining'</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Displays only products categorized under Kitchen &amp; Dining</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Catalog updates dynamically showing accurate product subset</w:t>
            </w:r>
          </w:p>
        </w:tc>
        <w:tc>
          <w:tcPr>
            <w:tcW w:type="dxa" w:w="85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PASSED</w:t>
            </w:r>
          </w:p>
        </w:tc>
      </w:tr>
      <w:tr>
        <w:tc>
          <w:tcPr>
            <w:tcW w:type="dxa" w:w="85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TC-05</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Eco-Score</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Inspect product with recycled material and biodegradable packaging</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Displays high Eco-Score (&gt;85) with emerald green badge</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Score computed accurately at 92 with sustainability breakdown</w:t>
            </w:r>
          </w:p>
        </w:tc>
        <w:tc>
          <w:tcPr>
            <w:tcW w:type="dxa" w:w="85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PASSED</w:t>
            </w:r>
          </w:p>
        </w:tc>
      </w:tr>
      <w:tr>
        <w:tc>
          <w:tcPr>
            <w:tcW w:type="dxa" w:w="85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TC-06</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ML Engine</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Generate recommendations for user with zero interaction history (Cold Start)</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Recommends top 8 catalog items with highest Eco-Scores</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Cold-start fallback executed; top sustainable products returned</w:t>
            </w:r>
          </w:p>
        </w:tc>
        <w:tc>
          <w:tcPr>
            <w:tcW w:type="dxa" w:w="85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PASSED</w:t>
            </w:r>
          </w:p>
        </w:tc>
      </w:tr>
      <w:tr>
        <w:tc>
          <w:tcPr>
            <w:tcW w:type="dxa" w:w="85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TC-07</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ML Engine</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Generate recommendations for user with active clothing browsing history</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Recommends similar clothing items prioritizing higher Eco-Scores</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TF-IDF similarity identified relevant items; eco-bonus applied</w:t>
            </w:r>
          </w:p>
        </w:tc>
        <w:tc>
          <w:tcPr>
            <w:tcW w:type="dxa" w:w="85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PASSED</w:t>
            </w:r>
          </w:p>
        </w:tc>
      </w:tr>
      <w:tr>
        <w:tc>
          <w:tcPr>
            <w:tcW w:type="dxa" w:w="85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TC-08</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Chatbot NLP</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Submit styling request: 'I want pink colour with floral pattern'</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Extracts Pink (+₹50) and Floral Pattern (+₹100); total surcharge +₹150</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Chatbot renders receipt card with correct +₹150 calculation</w:t>
            </w:r>
          </w:p>
        </w:tc>
        <w:tc>
          <w:tcPr>
            <w:tcW w:type="dxa" w:w="85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PASSED</w:t>
            </w:r>
          </w:p>
        </w:tc>
      </w:tr>
      <w:tr>
        <w:tc>
          <w:tcPr>
            <w:tcW w:type="dxa" w:w="85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TC-09</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Chatbot NLP</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Submit sizing request: 'make it bigger'</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Synonym parser maps 'bigger' to Large (L) with +₹100 surcharge</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Receipt itemizes Size: Large (L) at +₹100 surcharge accurately</w:t>
            </w:r>
          </w:p>
        </w:tc>
        <w:tc>
          <w:tcPr>
            <w:tcW w:type="dxa" w:w="85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PASSED</w:t>
            </w:r>
          </w:p>
        </w:tc>
      </w:tr>
      <w:tr>
        <w:tc>
          <w:tcPr>
            <w:tcW w:type="dxa" w:w="85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TC-10</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Chatbot NLP</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Submit size XL request: 'I want extra large size'</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Synonym parser maps to Extra Large (XL) with +₹150 surcharge</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Receipt correctly calculates Size: Extra Large (XL) at +₹150</w:t>
            </w:r>
          </w:p>
        </w:tc>
        <w:tc>
          <w:tcPr>
            <w:tcW w:type="dxa" w:w="85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PASSED</w:t>
            </w:r>
          </w:p>
        </w:tc>
      </w:tr>
      <w:tr>
        <w:tc>
          <w:tcPr>
            <w:tcW w:type="dxa" w:w="85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TC-11</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NLP Guard</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Submit irrelevant prompt: 'code simple calculator'</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System rejects prompt; issues guidance message without charging</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Validation guard triggers; returns polite guidance message</w:t>
            </w:r>
          </w:p>
        </w:tc>
        <w:tc>
          <w:tcPr>
            <w:tcW w:type="dxa" w:w="85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PASSED</w:t>
            </w:r>
          </w:p>
        </w:tc>
      </w:tr>
      <w:tr>
        <w:tc>
          <w:tcPr>
            <w:tcW w:type="dxa" w:w="85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TC-12</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Cart Surcharge</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Click 'Confirm &amp; Add to Cart' from chatbot customization card</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Custom item added to cart; total reflects base price + custom charge</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Cart session updated; item price displays base + surcharge</w:t>
            </w:r>
          </w:p>
        </w:tc>
        <w:tc>
          <w:tcPr>
            <w:tcW w:type="dxa" w:w="85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PASSED</w:t>
            </w:r>
          </w:p>
        </w:tc>
      </w:tr>
      <w:tr>
        <w:tc>
          <w:tcPr>
            <w:tcW w:type="dxa" w:w="85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TC-13</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Admin Tools</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Update category background image URL via Admin Category Manager</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New image URL saved to data/categories.json; catalog sidebar reloads</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JSON updated; new category image renders instantly on /products</w:t>
            </w:r>
          </w:p>
        </w:tc>
        <w:tc>
          <w:tcPr>
            <w:tcW w:type="dxa" w:w="85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PASSED</w:t>
            </w:r>
          </w:p>
        </w:tc>
      </w:tr>
      <w:tr>
        <w:tc>
          <w:tcPr>
            <w:tcW w:type="dxa" w:w="85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TC-14</w:t>
            </w:r>
          </w:p>
        </w:tc>
        <w:tc>
          <w:tcPr>
            <w:tcW w:type="dxa" w:w="1417"/>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Admin Tools</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Edit product image directly from Refurbished product card</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Modal updates product.image_url; reflects across storefront</w:t>
            </w:r>
          </w:p>
        </w:tc>
        <w:tc>
          <w:tcPr>
            <w:tcW w:type="dxa" w:w="2551"/>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Image URL updated in SQLite; card displays new imagery</w:t>
            </w:r>
          </w:p>
        </w:tc>
        <w:tc>
          <w:tcPr>
            <w:tcW w:type="dxa" w:w="850"/>
            <w:shd w:fill="F9FAF9"/>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PASSED</w:t>
            </w:r>
          </w:p>
        </w:tc>
      </w:tr>
      <w:tr>
        <w:tc>
          <w:tcPr>
            <w:tcW w:type="dxa" w:w="85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TC-15</w:t>
            </w:r>
          </w:p>
        </w:tc>
        <w:tc>
          <w:tcPr>
            <w:tcW w:type="dxa" w:w="1417"/>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Circular Hub</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Navigate to /refurbished and inspect community recycled goods</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Displays recycled goods at 40% discount with recycled badges</w:t>
            </w:r>
          </w:p>
        </w:tc>
        <w:tc>
          <w:tcPr>
            <w:tcW w:type="dxa" w:w="2551"/>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Refurbished products render with donor credits and reduced price</w:t>
            </w:r>
          </w:p>
        </w:tc>
        <w:tc>
          <w:tcPr>
            <w:tcW w:type="dxa" w:w="850"/>
            <w:shd w:fill="FFFFFF"/>
            <w:tcBorders>
              <w:top w:val="single" w:sz="4" w:space="0" w:color="E0E0E0"/>
              <w:left w:val="single" w:sz="4" w:space="0" w:color="E0E0E0"/>
              <w:bottom w:val="single" w:sz="4" w:space="0" w:color="E0E0E0"/>
              <w:right w:val="single" w:sz="4" w:space="0" w:color="E0E0E0"/>
            </w:tcBorders>
          </w:tcPr>
          <w:p>
            <w:pPr>
              <w:spacing w:line="276" w:lineRule="auto" w:before="60" w:after="60"/>
              <w:jc w:val="left"/>
            </w:pPr>
            <w:r>
              <w:rPr>
                <w:rFonts w:ascii="Times New Roman" w:hAnsi="Times New Roman"/>
                <w:color w:val="282828"/>
                <w:sz w:val="20"/>
              </w:rPr>
              <w:t>PASSED</w:t>
            </w:r>
          </w:p>
        </w:tc>
      </w:tr>
    </w:tbl>
    <w:p>
      <w:pPr>
        <w:spacing w:line="360" w:lineRule="auto" w:after="120" w:before="0"/>
        <w:jc w:val="both"/>
      </w:pPr>
    </w:p>
    <w:p>
      <w:r>
        <w:br w:type="page"/>
      </w:r>
    </w:p>
    <w:p>
      <w:pPr>
        <w:spacing w:line="360" w:lineRule="auto" w:before="240" w:after="360"/>
        <w:jc w:val="center"/>
      </w:pPr>
      <w:r>
        <w:rPr>
          <w:rFonts w:ascii="Times New Roman" w:hAnsi="Times New Roman"/>
          <w:b/>
          <w:color w:val="123524"/>
          <w:sz w:val="28"/>
        </w:rPr>
        <w:t>CHAPTER 4: CONCLUSION AND FUTURE ENHANCEMENTS</w:t>
      </w:r>
    </w:p>
    <w:p>
      <w:pPr>
        <w:spacing w:line="360" w:lineRule="auto" w:before="240" w:after="120"/>
        <w:jc w:val="left"/>
      </w:pPr>
      <w:r>
        <w:rPr>
          <w:rFonts w:ascii="Times New Roman" w:hAnsi="Times New Roman"/>
          <w:b/>
          <w:color w:val="145228"/>
          <w:sz w:val="24"/>
        </w:rPr>
        <w:t>4.1 Summary of Objectives, Methodology and Key Findings</w:t>
      </w:r>
    </w:p>
    <w:p>
      <w:pPr>
        <w:spacing w:line="360" w:lineRule="auto" w:after="120" w:before="0"/>
        <w:jc w:val="both"/>
      </w:pPr>
      <w:r>
        <w:rPr>
          <w:rFonts w:ascii="Times New Roman" w:hAnsi="Times New Roman"/>
          <w:b w:val="0"/>
          <w:i w:val="0"/>
          <w:color w:val="000000"/>
          <w:sz w:val="24"/>
        </w:rPr>
        <w:t>The Green Gen AI project successfully conceptualized, developed, and validated an intelligent, sustainable e-commerce web platform engineered to address critical environmental and usability deficiencies in modern digital retail. All primary project objectives were comprehensively fulfilled:</w:t>
      </w:r>
    </w:p>
    <w:p>
      <w:pPr>
        <w:pStyle w:val="ListBullet"/>
        <w:spacing w:line="360" w:lineRule="auto" w:after="80" w:before="40"/>
        <w:jc w:val="both"/>
      </w:pPr>
      <w:r>
        <w:rPr>
          <w:rFonts w:ascii="Times New Roman" w:hAnsi="Times New Roman"/>
          <w:b/>
          <w:sz w:val="24"/>
        </w:rPr>
        <w:t xml:space="preserve">Empirical Environmental Accountability: </w:t>
      </w:r>
      <w:r>
        <w:rPr>
          <w:rFonts w:ascii="Times New Roman" w:hAnsi="Times New Roman"/>
          <w:sz w:val="24"/>
        </w:rPr>
        <w:t>The platform successfully instituted a standardized 0–100 Eco-Score model derived from tangible material, manufacturing, recyclability, and packaging attributes, providing consumers with unprecedented clarity at the point of decision.</w:t>
      </w:r>
    </w:p>
    <w:p>
      <w:pPr>
        <w:pStyle w:val="ListBullet"/>
        <w:spacing w:line="360" w:lineRule="auto" w:after="80" w:before="40"/>
        <w:jc w:val="both"/>
      </w:pPr>
      <w:r>
        <w:rPr>
          <w:rFonts w:ascii="Times New Roman" w:hAnsi="Times New Roman"/>
          <w:b/>
          <w:sz w:val="24"/>
        </w:rPr>
        <w:t xml:space="preserve">Green Machine Learning Recommendation: </w:t>
      </w:r>
      <w:r>
        <w:rPr>
          <w:rFonts w:ascii="Times New Roman" w:hAnsi="Times New Roman"/>
          <w:sz w:val="24"/>
        </w:rPr>
        <w:t>By leveraging Content-Based Filtering through TF-IDF feature matrices and Cosine Similarity re-ranked by Eco-Score differentials, the recommendation engine successfully guided user attention toward greener product alternatives without compromising contextual relevance.</w:t>
      </w:r>
    </w:p>
    <w:p>
      <w:pPr>
        <w:pStyle w:val="ListBullet"/>
        <w:spacing w:line="360" w:lineRule="auto" w:after="80" w:before="40"/>
        <w:jc w:val="both"/>
      </w:pPr>
      <w:r>
        <w:rPr>
          <w:rFonts w:ascii="Times New Roman" w:hAnsi="Times New Roman"/>
          <w:b/>
          <w:sz w:val="24"/>
        </w:rPr>
        <w:t xml:space="preserve">Conversational Customization Commerce: </w:t>
      </w:r>
      <w:r>
        <w:rPr>
          <w:rFonts w:ascii="Times New Roman" w:hAnsi="Times New Roman"/>
          <w:sz w:val="24"/>
        </w:rPr>
        <w:t>The integration of an NLP-driven chatbot replaced static, unintuitive customization forms with a responsive, guided conversational flow. Equipped with synonym handling and strict validation guards, the system reliably parsed color, size, pattern, and text requests while computing dynamic price adjustments in real time.</w:t>
      </w:r>
    </w:p>
    <w:p>
      <w:pPr>
        <w:pStyle w:val="ListBullet"/>
        <w:spacing w:line="360" w:lineRule="auto" w:after="80" w:before="40"/>
        <w:jc w:val="both"/>
      </w:pPr>
      <w:r>
        <w:rPr>
          <w:rFonts w:ascii="Times New Roman" w:hAnsi="Times New Roman"/>
          <w:b/>
          <w:sz w:val="24"/>
        </w:rPr>
        <w:t xml:space="preserve">Circular Community Integration: </w:t>
      </w:r>
      <w:r>
        <w:rPr>
          <w:rFonts w:ascii="Times New Roman" w:hAnsi="Times New Roman"/>
          <w:sz w:val="24"/>
        </w:rPr>
        <w:t>The inclusion of a community refurbished goods hub established a practical circular economy mechanism within the platform, demonstrating that material reuse can be naturally incentivized within commercial digital storefronts.</w:t>
      </w:r>
    </w:p>
    <w:p>
      <w:pPr>
        <w:spacing w:line="360" w:lineRule="auto" w:before="240" w:after="120"/>
        <w:jc w:val="left"/>
      </w:pPr>
      <w:r>
        <w:rPr>
          <w:rFonts w:ascii="Times New Roman" w:hAnsi="Times New Roman"/>
          <w:b/>
          <w:color w:val="145228"/>
          <w:sz w:val="24"/>
        </w:rPr>
        <w:t>4.2 Contribution and Significance of the Project</w:t>
      </w:r>
    </w:p>
    <w:p>
      <w:pPr>
        <w:spacing w:line="360" w:lineRule="auto" w:after="120" w:before="0"/>
        <w:jc w:val="both"/>
      </w:pPr>
      <w:r>
        <w:rPr>
          <w:rFonts w:ascii="Times New Roman" w:hAnsi="Times New Roman"/>
          <w:b w:val="0"/>
          <w:i w:val="0"/>
          <w:color w:val="000000"/>
          <w:sz w:val="24"/>
        </w:rPr>
        <w:t>Green Gen AI makes several distinct academic and technical contributions to the domains of sustainable computing and e-commerce engineering:</w:t>
      </w:r>
    </w:p>
    <w:p>
      <w:pPr>
        <w:pStyle w:val="ListBullet"/>
        <w:spacing w:line="360" w:lineRule="auto" w:after="80" w:before="40"/>
        <w:jc w:val="both"/>
      </w:pPr>
      <w:r>
        <w:rPr>
          <w:rFonts w:ascii="Times New Roman" w:hAnsi="Times New Roman"/>
          <w:b/>
          <w:sz w:val="24"/>
        </w:rPr>
        <w:t xml:space="preserve">Demonstrating Lightweight, Self-Contained AI: </w:t>
      </w:r>
      <w:r>
        <w:rPr>
          <w:rFonts w:ascii="Times New Roman" w:hAnsi="Times New Roman"/>
          <w:sz w:val="24"/>
        </w:rPr>
        <w:t>The project proves that sophisticated recommendation and conversational intelligence can be implemented locally without incurring massive cloud operational costs, latency penalties, or dependence on proprietary commercial APIs.</w:t>
      </w:r>
    </w:p>
    <w:p>
      <w:pPr>
        <w:pStyle w:val="ListBullet"/>
        <w:spacing w:line="360" w:lineRule="auto" w:after="80" w:before="40"/>
        <w:jc w:val="both"/>
      </w:pPr>
      <w:r>
        <w:rPr>
          <w:rFonts w:ascii="Times New Roman" w:hAnsi="Times New Roman"/>
          <w:b/>
          <w:sz w:val="24"/>
        </w:rPr>
        <w:t xml:space="preserve">Bridging Intention and Action in Sustainable Retail: </w:t>
      </w:r>
      <w:r>
        <w:rPr>
          <w:rFonts w:ascii="Times New Roman" w:hAnsi="Times New Roman"/>
          <w:sz w:val="24"/>
        </w:rPr>
        <w:t>By pairing clear ecological scores with actionable alternative recommendations, the platform provides an empirical blueprint for digital retailers seeking to align corporate profitability with environmental stewardship.</w:t>
      </w:r>
    </w:p>
    <w:p>
      <w:pPr>
        <w:pStyle w:val="ListBullet"/>
        <w:spacing w:line="360" w:lineRule="auto" w:after="80" w:before="40"/>
        <w:jc w:val="both"/>
      </w:pPr>
      <w:r>
        <w:rPr>
          <w:rFonts w:ascii="Times New Roman" w:hAnsi="Times New Roman"/>
          <w:b/>
          <w:sz w:val="24"/>
        </w:rPr>
        <w:t xml:space="preserve">Enhancing Conversational Guardrails: </w:t>
      </w:r>
      <w:r>
        <w:rPr>
          <w:rFonts w:ascii="Times New Roman" w:hAnsi="Times New Roman"/>
          <w:sz w:val="24"/>
        </w:rPr>
        <w:t>The implementation of contextual validation guards within the customization chatbot illustrates how rule-based NLP can prevent out-of-domain query leakage and protect automated financial transactions.</w:t>
      </w:r>
    </w:p>
    <w:p>
      <w:pPr>
        <w:spacing w:line="360" w:lineRule="auto" w:before="240" w:after="120"/>
        <w:jc w:val="left"/>
      </w:pPr>
      <w:r>
        <w:rPr>
          <w:rFonts w:ascii="Times New Roman" w:hAnsi="Times New Roman"/>
          <w:b/>
          <w:color w:val="145228"/>
          <w:sz w:val="24"/>
        </w:rPr>
        <w:t>4.3 Limitations of the Current System</w:t>
      </w:r>
    </w:p>
    <w:p>
      <w:pPr>
        <w:spacing w:line="360" w:lineRule="auto" w:after="120" w:before="0"/>
        <w:jc w:val="both"/>
      </w:pPr>
      <w:r>
        <w:rPr>
          <w:rFonts w:ascii="Times New Roman" w:hAnsi="Times New Roman"/>
          <w:b w:val="0"/>
          <w:i w:val="0"/>
          <w:color w:val="000000"/>
          <w:sz w:val="24"/>
        </w:rPr>
        <w:t>While Green Gen AI delivers a robust and reliable architecture, several operational limitations are acknowledged for future iteration:</w:t>
      </w:r>
    </w:p>
    <w:p>
      <w:pPr>
        <w:pStyle w:val="ListBullet"/>
        <w:spacing w:line="360" w:lineRule="auto" w:after="80" w:before="40"/>
        <w:jc w:val="both"/>
      </w:pPr>
      <w:r>
        <w:rPr>
          <w:rFonts w:ascii="Times New Roman" w:hAnsi="Times New Roman"/>
          <w:b/>
          <w:sz w:val="24"/>
        </w:rPr>
        <w:t xml:space="preserve">Rule-Based NLP Scope: </w:t>
      </w:r>
      <w:r>
        <w:rPr>
          <w:rFonts w:ascii="Times New Roman" w:hAnsi="Times New Roman"/>
          <w:sz w:val="24"/>
        </w:rPr>
        <w:t>While the conversational parser effectively handles an extensive array of colors, patterns, sizes, and styling synonyms, it remains fundamentally bounded by its internal dictionary and cannot handle highly nuanced, multi-turn grammatical subtleties.</w:t>
      </w:r>
    </w:p>
    <w:p>
      <w:pPr>
        <w:pStyle w:val="ListBullet"/>
        <w:spacing w:line="360" w:lineRule="auto" w:after="80" w:before="40"/>
        <w:jc w:val="both"/>
      </w:pPr>
      <w:r>
        <w:rPr>
          <w:rFonts w:ascii="Times New Roman" w:hAnsi="Times New Roman"/>
          <w:b/>
          <w:sz w:val="24"/>
        </w:rPr>
        <w:t xml:space="preserve">Static Environmental Attribute Sourcing: </w:t>
      </w:r>
      <w:r>
        <w:rPr>
          <w:rFonts w:ascii="Times New Roman" w:hAnsi="Times New Roman"/>
          <w:sz w:val="24"/>
        </w:rPr>
        <w:t>Product ecological metrics are currently derived from curated database attributes rather than dynamic, real-time supply chain Internet of Things (IoT) sensors or live shipping distance APIs.</w:t>
      </w:r>
    </w:p>
    <w:p>
      <w:pPr>
        <w:pStyle w:val="ListBullet"/>
        <w:spacing w:line="360" w:lineRule="auto" w:after="80" w:before="40"/>
        <w:jc w:val="both"/>
      </w:pPr>
      <w:r>
        <w:rPr>
          <w:rFonts w:ascii="Times New Roman" w:hAnsi="Times New Roman"/>
          <w:b/>
          <w:sz w:val="24"/>
        </w:rPr>
        <w:t xml:space="preserve">Two-Dimensional Visualization: </w:t>
      </w:r>
      <w:r>
        <w:rPr>
          <w:rFonts w:ascii="Times New Roman" w:hAnsi="Times New Roman"/>
          <w:sz w:val="24"/>
        </w:rPr>
        <w:t>Product previews in the current release rely on responsive 2D imagery rather than fully interactive, real-time 3D polygon mesh rendering in the browser.</w:t>
      </w:r>
    </w:p>
    <w:p>
      <w:pPr>
        <w:spacing w:line="360" w:lineRule="auto" w:before="240" w:after="120"/>
        <w:jc w:val="left"/>
      </w:pPr>
      <w:r>
        <w:rPr>
          <w:rFonts w:ascii="Times New Roman" w:hAnsi="Times New Roman"/>
          <w:b/>
          <w:color w:val="145228"/>
          <w:sz w:val="24"/>
        </w:rPr>
        <w:t>4.4 Future Enhancements</w:t>
      </w:r>
    </w:p>
    <w:p>
      <w:pPr>
        <w:spacing w:line="360" w:lineRule="auto" w:after="120" w:before="0"/>
        <w:jc w:val="both"/>
      </w:pPr>
      <w:r>
        <w:rPr>
          <w:rFonts w:ascii="Times New Roman" w:hAnsi="Times New Roman"/>
          <w:b w:val="0"/>
          <w:i w:val="0"/>
          <w:color w:val="000000"/>
          <w:sz w:val="24"/>
        </w:rPr>
        <w:t>To expand the technical capabilities and commercial viability of Green Gen AI, the following architectural enhancements are planned:</w:t>
      </w:r>
    </w:p>
    <w:p>
      <w:pPr>
        <w:pStyle w:val="ListBullet"/>
        <w:spacing w:line="360" w:lineRule="auto" w:after="80" w:before="40"/>
        <w:jc w:val="both"/>
      </w:pPr>
      <w:r>
        <w:rPr>
          <w:rFonts w:ascii="Times New Roman" w:hAnsi="Times New Roman"/>
          <w:b/>
          <w:sz w:val="24"/>
        </w:rPr>
        <w:t xml:space="preserve">Integration of Pre-trained Large Language Models (LLMs): </w:t>
      </w:r>
      <w:r>
        <w:rPr>
          <w:rFonts w:ascii="Times New Roman" w:hAnsi="Times New Roman"/>
          <w:sz w:val="24"/>
        </w:rPr>
        <w:t>Connecting the customization interface to lightweight, quantized open-source LLMs (such as LLaMA-3 or Mistral 7B) to enable arbitrary conversational reasoning and multi-turn creative design negotiations.</w:t>
      </w:r>
    </w:p>
    <w:p>
      <w:pPr>
        <w:pStyle w:val="ListBullet"/>
        <w:spacing w:line="360" w:lineRule="auto" w:after="80" w:before="40"/>
        <w:jc w:val="both"/>
      </w:pPr>
      <w:r>
        <w:rPr>
          <w:rFonts w:ascii="Times New Roman" w:hAnsi="Times New Roman"/>
          <w:b/>
          <w:sz w:val="24"/>
        </w:rPr>
        <w:t xml:space="preserve">Real-Time Supply Chain and Carbon Offset APIs: </w:t>
      </w:r>
      <w:r>
        <w:rPr>
          <w:rFonts w:ascii="Times New Roman" w:hAnsi="Times New Roman"/>
          <w:sz w:val="24"/>
        </w:rPr>
        <w:t>Integrating live carbon accounting APIs (such as Climatiq) and regional logistics feeds to calculate real-time delivery emissions and provide one-click carbon offset options at checkout.</w:t>
      </w:r>
    </w:p>
    <w:p>
      <w:pPr>
        <w:pStyle w:val="ListBullet"/>
        <w:spacing w:line="360" w:lineRule="auto" w:after="80" w:before="40"/>
        <w:jc w:val="both"/>
      </w:pPr>
      <w:r>
        <w:rPr>
          <w:rFonts w:ascii="Times New Roman" w:hAnsi="Times New Roman"/>
          <w:b/>
          <w:sz w:val="24"/>
        </w:rPr>
        <w:t xml:space="preserve">Interactive 3D WebGL / Three.js Product Viewer: </w:t>
      </w:r>
      <w:r>
        <w:rPr>
          <w:rFonts w:ascii="Times New Roman" w:hAnsi="Times New Roman"/>
          <w:sz w:val="24"/>
        </w:rPr>
        <w:t>Upgrading the preview panel from static imagery to full real-time 3D GLTF models, enabling consumers to inspect customized colors, materials, and textures from 360-degree interactive camera angles.</w:t>
      </w:r>
    </w:p>
    <w:p>
      <w:pPr>
        <w:pStyle w:val="ListBullet"/>
        <w:spacing w:line="360" w:lineRule="auto" w:after="80" w:before="40"/>
        <w:jc w:val="both"/>
      </w:pPr>
      <w:r>
        <w:rPr>
          <w:rFonts w:ascii="Times New Roman" w:hAnsi="Times New Roman"/>
          <w:b/>
          <w:sz w:val="24"/>
        </w:rPr>
        <w:t xml:space="preserve">Cross-Platform Mobile Application: </w:t>
      </w:r>
      <w:r>
        <w:rPr>
          <w:rFonts w:ascii="Times New Roman" w:hAnsi="Times New Roman"/>
          <w:sz w:val="24"/>
        </w:rPr>
        <w:t>Porting the frontend to React Native or Flutter, allowing seamless mobile commerce experiences backed by the existing Flask REST API.</w:t>
      </w:r>
    </w:p>
    <w:p>
      <w:r>
        <w:br w:type="page"/>
      </w:r>
    </w:p>
    <w:p>
      <w:pPr>
        <w:spacing w:line="360" w:lineRule="auto" w:before="240" w:after="360"/>
        <w:jc w:val="center"/>
      </w:pPr>
      <w:r>
        <w:rPr>
          <w:rFonts w:ascii="Times New Roman" w:hAnsi="Times New Roman"/>
          <w:b/>
          <w:color w:val="123524"/>
          <w:sz w:val="28"/>
        </w:rPr>
        <w:t>REFERENCES</w:t>
      </w:r>
    </w:p>
    <w:p>
      <w:pPr>
        <w:spacing w:line="276" w:lineRule="auto" w:after="120"/>
        <w:jc w:val="both"/>
      </w:pPr>
      <w:r>
        <w:rPr>
          <w:rFonts w:ascii="Times New Roman" w:hAnsi="Times New Roman"/>
          <w:sz w:val="22"/>
        </w:rPr>
        <w:t>[1] J. Smith, R. Taylor, and M. Johnson, 'Consumer Perceptions of Eco-Labels in Digital Retail: A Quantitative Analysis,' Journal of Sustainable Retailing and Consumer Services, vol. 58, pp. 102–115, 2021.</w:t>
      </w:r>
    </w:p>
    <w:p>
      <w:pPr>
        <w:spacing w:line="276" w:lineRule="auto" w:after="120"/>
        <w:jc w:val="both"/>
      </w:pPr>
      <w:r>
        <w:rPr>
          <w:rFonts w:ascii="Times New Roman" w:hAnsi="Times New Roman"/>
          <w:sz w:val="22"/>
        </w:rPr>
        <w:t>[2] L. Zhang and H. Chen, 'Multi-Objective Recommendation Systems for Sustainable Consumption in E-Commerce Platforms,' IEEE Transactions on Knowledge and Data Engineering, vol. 34, no. 6, pp. 2890–2903, 2022.</w:t>
      </w:r>
    </w:p>
    <w:p>
      <w:pPr>
        <w:spacing w:line="276" w:lineRule="auto" w:after="120"/>
        <w:jc w:val="both"/>
      </w:pPr>
      <w:r>
        <w:rPr>
          <w:rFonts w:ascii="Times New Roman" w:hAnsi="Times New Roman"/>
          <w:sz w:val="22"/>
        </w:rPr>
        <w:t>[3] A. Kumar, S. Verma, and D. Patel, 'NLP-Driven Conversational Commerce in Specialized Retail: Interface Dynamics and Conversion Efficacy,' in Proceedings of the ACM Conference on Computer Supported Cooperative Work and Social Computing, 2023, pp. 412–425.</w:t>
      </w:r>
    </w:p>
    <w:p>
      <w:pPr>
        <w:spacing w:line="276" w:lineRule="auto" w:after="120"/>
        <w:jc w:val="both"/>
      </w:pPr>
      <w:r>
        <w:rPr>
          <w:rFonts w:ascii="Times New Roman" w:hAnsi="Times New Roman"/>
          <w:sz w:val="22"/>
        </w:rPr>
        <w:t>[4] N. Bocken, M. de Pauw, C. Bakker, and B. van der Grinten, 'Product Design and Business Model Strategies for a Circular Economy,' Journal of Industrial and Production Engineering, vol. 37, no. 2, pp. 67–81, 2020.</w:t>
      </w:r>
    </w:p>
    <w:p>
      <w:pPr>
        <w:spacing w:line="276" w:lineRule="auto" w:after="120"/>
        <w:jc w:val="both"/>
      </w:pPr>
      <w:r>
        <w:rPr>
          <w:rFonts w:ascii="Times New Roman" w:hAnsi="Times New Roman"/>
          <w:sz w:val="22"/>
        </w:rPr>
        <w:t>[5] P. Resnick and H. R. Varian, 'Recommender Systems in E-Commerce Practice: Content-Based Filtering and Collaborative Techniques,' Communications of the ACM, vol. 40, no. 3, pp. 56–58, 2019.</w:t>
      </w:r>
    </w:p>
    <w:p>
      <w:pPr>
        <w:spacing w:line="276" w:lineRule="auto" w:after="120"/>
        <w:jc w:val="both"/>
      </w:pPr>
      <w:r>
        <w:rPr>
          <w:rFonts w:ascii="Times New Roman" w:hAnsi="Times New Roman"/>
          <w:sz w:val="22"/>
        </w:rPr>
        <w:t>[6] World Economic Forum, 'The Future of Sustainable Consumer Commerce: Decarbonizing Supply Chains and Empowering Digital Shoppers,' Insight Report, Geneva, Switzerland, 2023.</w:t>
      </w:r>
    </w:p>
    <w:p>
      <w:pPr>
        <w:spacing w:line="276" w:lineRule="auto" w:after="120"/>
        <w:jc w:val="both"/>
      </w:pPr>
      <w:r>
        <w:rPr>
          <w:rFonts w:ascii="Times New Roman" w:hAnsi="Times New Roman"/>
          <w:sz w:val="22"/>
        </w:rPr>
        <w:t>[7] F. Pedregosa, G. Varoquaux, A. Gramfort, et al., 'Scikit-learn: Machine Learning in Python,' Journal of Machine Learning Research, vol. 12, pp. 2825–2830, 2011.</w:t>
      </w:r>
    </w:p>
    <w:p>
      <w:pPr>
        <w:spacing w:line="276" w:lineRule="auto" w:after="120"/>
        <w:jc w:val="both"/>
      </w:pPr>
      <w:r>
        <w:rPr>
          <w:rFonts w:ascii="Times New Roman" w:hAnsi="Times New Roman"/>
          <w:sz w:val="22"/>
        </w:rPr>
        <w:t>[8] M. Grinberg, 'Flask Web Development: Developing Web Applications with Python,' 2nd ed., Sebastopol, CA: O'Reilly Media, 2018.</w:t>
      </w:r>
    </w:p>
    <w:p>
      <w:pPr>
        <w:spacing w:line="276" w:lineRule="auto" w:after="120"/>
        <w:jc w:val="both"/>
      </w:pPr>
      <w:r>
        <w:rPr>
          <w:rFonts w:ascii="Times New Roman" w:hAnsi="Times New Roman"/>
          <w:sz w:val="22"/>
        </w:rPr>
        <w:t>[9] G. Bradski, 'The OpenCV Library,' Dr. Dobb's Journal of Software Tools, vol. 25, no. 11, pp. 120–125, 2000.</w:t>
      </w:r>
    </w:p>
    <w:p>
      <w:pPr>
        <w:spacing w:line="276" w:lineRule="auto" w:after="120"/>
        <w:jc w:val="both"/>
      </w:pPr>
      <w:r>
        <w:rPr>
          <w:rFonts w:ascii="Times New Roman" w:hAnsi="Times New Roman"/>
          <w:sz w:val="22"/>
        </w:rPr>
        <w:t>[10] A. G. Greenwald and C. Leavitt, 'Audience Involvement in Advertising: Four Levels,' Journal of Consumer Research, vol. 11, no. 1, pp. 581–592, 2018.</w:t>
      </w:r>
    </w:p>
    <w:p>
      <w:pPr>
        <w:spacing w:line="276" w:lineRule="auto" w:after="120"/>
        <w:jc w:val="both"/>
      </w:pPr>
      <w:r>
        <w:rPr>
          <w:rFonts w:ascii="Times New Roman" w:hAnsi="Times New Roman"/>
          <w:sz w:val="22"/>
        </w:rPr>
        <w:t>[11] G. Salton and C. Buckley, 'Term-Weighting Approaches in Automatic Text Retrieval,' Information Processing &amp; Management, vol. 24, no. 5, pp. 513–523, 1988.</w:t>
      </w:r>
    </w:p>
    <w:p>
      <w:pPr>
        <w:spacing w:line="276" w:lineRule="auto" w:after="120"/>
        <w:jc w:val="both"/>
      </w:pPr>
      <w:r>
        <w:rPr>
          <w:rFonts w:ascii="Times New Roman" w:hAnsi="Times New Roman"/>
          <w:sz w:val="22"/>
        </w:rPr>
        <w:t>[12] S. Russell and P. Norvig, 'Artificial Intelligence: A Modern Approach,' 4th ed., Hoboken, NJ: Pearson Education, 2020.</w:t>
      </w:r>
    </w:p>
    <w:sectPr w:rsidR="00FC693F" w:rsidRPr="0006063C" w:rsidSect="00034616">
      <w:footerReference w:type="default" r:id="rId9"/>
      <w:pgSz w:w="11906" w:h="16838"/>
      <w:pgMar w:top="567" w:right="567" w:bottom="56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