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4"/>
        </w:rPr>
        <w:t>X-Maintain: An Explainable Machine Learning Framework for Predictive Maintenance and Machine Failure Prediction</w:t>
      </w:r>
    </w:p>
    <w:p>
      <w:pPr>
        <w:jc w:val="center"/>
      </w:pPr>
      <w:r>
        <w:rPr>
          <w:rFonts w:ascii="Times New Roman" w:hAnsi="Times New Roman"/>
          <w:b/>
          <w:sz w:val="20"/>
        </w:rPr>
        <w:t>S. Gopi Adithya Vardhan Reddy1, Dhanireddy Venkata Hemanth Reddy2, and Mutyala Harsha Vardhan3</w:t>
        <w:br/>
      </w:r>
    </w:p>
    <w:p>
      <w:pPr>
        <w:jc w:val="center"/>
      </w:pPr>
      <w:r>
        <w:rPr>
          <w:rFonts w:ascii="Times New Roman" w:hAnsi="Times New Roman"/>
          <w:i/>
          <w:sz w:val="18"/>
        </w:rPr>
        <w:t>Department of Computer Science and Engineering</w:t>
        <w:br/>
      </w:r>
      <w:r>
        <w:rPr>
          <w:rFonts w:ascii="Times New Roman" w:hAnsi="Times New Roman"/>
          <w:sz w:val="17"/>
        </w:rPr>
        <w:t>Vellore Institute of Technology, Vellore, Tamil Nadu 632014, India</w:t>
        <w:br/>
      </w:r>
      <w:r>
        <w:rPr>
          <w:rFonts w:ascii="Times New Roman" w:hAnsi="Times New Roman"/>
          <w:sz w:val="16"/>
        </w:rPr>
        <w:t>1gopiadithya2005@gmail.com, 2hemanth.reddy2023@vitstudent.ac.in, 3mutyala.harsha2023@vitstudent.ac.in</w:t>
      </w:r>
    </w:p>
    <w:p>
      <w:pPr>
        <w:jc w:val="both"/>
      </w:pPr>
      <w:r>
        <w:rPr>
          <w:rFonts w:ascii="Times New Roman" w:hAnsi="Times New Roman"/>
          <w:b/>
          <w:i/>
          <w:sz w:val="17"/>
        </w:rPr>
        <w:t>Abstract—</w:t>
      </w:r>
      <w:r>
        <w:rPr>
          <w:rFonts w:ascii="Times New Roman" w:hAnsi="Times New Roman"/>
          <w:b/>
          <w:sz w:val="17"/>
        </w:rPr>
        <w:t>Industrial predictive maintenance (PdM) relies on multivariate sensor telemetry to anticipate equipment failure before catastrophic downtime occurs. However, contemporary high-performance machine learning ensembles operate as opaque black boxes, creating an operational trust barrier for factory engineers. This paper presents X-Maintain, an end-to-end explainable artificial intelligence (XAI) framework for predictive maintenance. Using the benchmark AI4I 2020 Predictive Maintenance Dataset (10,000 operations), we enforce strict target leakage prevention by excluding failure-mode indicators (TWF, HDF, PWF, OSF, RNF) and primary keys, yielding an eight-feature operational input matrix. We benchmark Logistic Regression, Random Forest, and XGBoost under severe 28.5:1 class disparity. Model selection is governed by a domain utility metric (0.4×Recall + 0.3×F1 + 0.3×ROC-AUC). On held-out test split (N = 2,001), cost-sensitive XGBoost achieves 98.20% accuracy, 73.53% precision, 73.53% recall, 0.9724 ROC-AUC, and 0.7934 PR-AUC. Model decisions are explained via TreeSHAP, showing Torque (mean |SHAP| = 3.74) and Tool Wear (3.06) dominate predictions. Local waterfall attributions, deterministic natural language explanations, what-if sensitivity analysis, and an enterprise Streamlit dashboard complete the validated architecture, backed by 20 passed unit tests.</w:t>
      </w:r>
    </w:p>
    <w:p>
      <w:pPr>
        <w:jc w:val="both"/>
      </w:pPr>
      <w:r>
        <w:rPr>
          <w:rFonts w:ascii="Times New Roman" w:hAnsi="Times New Roman"/>
          <w:b/>
          <w:i/>
          <w:sz w:val="17"/>
        </w:rPr>
        <w:t>Index Terms—</w:t>
      </w:r>
      <w:r>
        <w:rPr>
          <w:rFonts w:ascii="Times New Roman" w:hAnsi="Times New Roman"/>
          <w:b/>
          <w:sz w:val="17"/>
        </w:rPr>
        <w:t>Predictive maintenance, Explainable AI (XAI), SHAP, XGBoost, class imbalance, TreeExplainer, industrial IoT, model-based sensitivity analysis.</w:t>
      </w:r>
    </w:p>
    <w:p>
      <w:pPr>
        <w:sectPr>
          <w:pgSz w:w="12240" w:h="15840"/>
          <w:pgMar w:top="720" w:right="720" w:bottom="720" w:left="720" w:header="720" w:footer="720" w:gutter="0"/>
          <w:cols w:space="720"/>
          <w:docGrid w:linePitch="360"/>
        </w:sectPr>
      </w:pPr>
    </w:p>
    <w:p>
      <w:pPr>
        <w:jc w:val="center"/>
      </w:pPr>
      <w:r>
        <w:rPr>
          <w:rFonts w:ascii="Times New Roman" w:hAnsi="Times New Roman"/>
          <w:b/>
          <w:sz w:val="19"/>
        </w:rPr>
        <w:t>I. INTRODUCTION</w:t>
      </w:r>
    </w:p>
    <w:p>
      <w:pPr>
        <w:ind w:firstLine="259"/>
        <w:jc w:val="both"/>
      </w:pPr>
      <w:r>
        <w:rPr>
          <w:rFonts w:ascii="Times New Roman" w:hAnsi="Times New Roman"/>
          <w:sz w:val="17"/>
        </w:rPr>
        <w:t>Industrial manufacturing relies heavily on computerized numerical control (CNC) milling machinery, automated tooling spindles, and multi-axis machining centers. Equipment breakdowns incur severe financial and operational losses, costing industrial facilities an estimated $50 billion annually in unplanned downtime [6], [7]. Historically, manufacturing facilities adopted reactive 'run-to-failure' strategies or rigid time-based preventative schedules [6]. While reactive repair creates unacceptable emergency outages, preventative maintenance frequently causes premature component replacement, discarding functional cutting heads with substantial useful life remaining [7].</w:t>
      </w:r>
    </w:p>
    <w:p>
      <w:pPr>
        <w:ind w:firstLine="259"/>
        <w:jc w:val="both"/>
      </w:pPr>
      <w:r>
        <w:rPr>
          <w:rFonts w:ascii="Times New Roman" w:hAnsi="Times New Roman"/>
          <w:sz w:val="17"/>
        </w:rPr>
        <w:t>Predictive maintenance (PdM) leverages multivariate sensor telemetry—such as spindle torque, cutting contact duration, rotational velocities, and thermal dissipation gradients—to dynamically forecast impending failure states [1], [8]. However, real-world industrial adoption faces the critical 'black-box dilemma' [2], [3]. Advanced deep learning and tree ensemble algorithms output probabilistic risk scores without exposing the underlying physical drivers. If an autonomous model flags an alert without physical attribution, plant operators cannot ascertain whether the alarm stems from thermal exhaustion, mechanical overstrain, or electrical fluctuation [2]. Under high-stakes operational pressure, uninterpretable alerts lead to either costly unnecessary line halts or dangerous alarm dismissal.</w:t>
      </w:r>
    </w:p>
    <w:p>
      <w:pPr>
        <w:ind w:firstLine="259"/>
        <w:jc w:val="both"/>
      </w:pPr>
      <w:r>
        <w:rPr>
          <w:rFonts w:ascii="Times New Roman" w:hAnsi="Times New Roman"/>
          <w:sz w:val="17"/>
        </w:rPr>
        <w:t>Furthermore, predictive maintenance is governed by profound misclassification cost asymmetry. Missing an actual machine failure (False Negative) leads to catastrophic spindle destruction, ruined workpieces, and collateral assembly line stoppage, with remediation costs often exceeding $10,000 to $100,000 [7]. Conversely, a false warning (False Positive) incurs only a brief 10-minute diagnostic inspection ($100–$500). Consequently, standard classification accuracy is an inappropriate metric under severe minority failure distributions, demanding optimization focused heavily on Failure Recall [3], [10].</w:t>
      </w:r>
    </w:p>
    <w:p>
      <w:pPr>
        <w:ind w:firstLine="259"/>
        <w:jc w:val="both"/>
      </w:pPr>
      <w:r>
        <w:rPr>
          <w:rFonts w:ascii="Times New Roman" w:hAnsi="Times New Roman"/>
          <w:sz w:val="17"/>
        </w:rPr>
        <w:t>To address these challenges, we present X-Maintain, an Explainable AI predictive maintenance framework pairing high-recall gradient boosting with exact game-theoretic Shapley attributions (TreeSHAP) [4], [12].</w:t>
      </w:r>
    </w:p>
    <w:p>
      <w:pPr>
        <w:jc w:val="center"/>
      </w:pPr>
      <w:r>
        <w:rPr>
          <w:rFonts w:ascii="Times New Roman" w:hAnsi="Times New Roman"/>
          <w:b/>
          <w:sz w:val="19"/>
        </w:rPr>
        <w:t>II. LITERATURE REVIEW</w:t>
      </w:r>
    </w:p>
    <w:p>
      <w:r>
        <w:rPr>
          <w:rFonts w:ascii="Times New Roman" w:hAnsi="Times New Roman"/>
          <w:b/>
          <w:i/>
          <w:sz w:val="18"/>
        </w:rPr>
        <w:t>A. Telemetry &amp; Industrial Condition Monitoring Foundations</w:t>
      </w:r>
    </w:p>
    <w:p>
      <w:pPr>
        <w:ind w:firstLine="259"/>
        <w:jc w:val="both"/>
      </w:pPr>
      <w:r>
        <w:rPr>
          <w:rFonts w:ascii="Times New Roman" w:hAnsi="Times New Roman"/>
          <w:sz w:val="17"/>
        </w:rPr>
        <w:t>Predictive maintenance has transitioned from offline vibration spectral analysis toward real-time IoT telemetry analytics [6], [7]. Carvalho et al. [7] reviewed machine learning methods applied to predictive maintenance across manufacturing sectors, documenting that condition monitoring substantially outperforms preventative scheduling. Zonta et al. [6] reviewed over 100 industrial implementations, finding condition monitoring reduces unexpected outages by up to 45% and lowers maintenance costs by 25%. However, Dalzochio et al. [8] highlighted that industrial telemetry is frequently beset by severe class imbalance, where healthy states represent over 95% of recorded instances. In milling, failure mechanisms are governed by physical cutting interactions: tool wear obeys Taylor's tool life model, power consumption relates to torque and angular velocity, and thermal dissipation governs heat transfer between workpiece and tool [1], [12].</w:t>
      </w:r>
    </w:p>
    <w:p>
      <w:r>
        <w:rPr>
          <w:rFonts w:ascii="Times New Roman" w:hAnsi="Times New Roman"/>
          <w:b/>
          <w:i/>
          <w:sz w:val="18"/>
        </w:rPr>
        <w:t>B. Machine Learning Algorithms &amp; Ensembles for PdM</w:t>
      </w:r>
    </w:p>
    <w:p>
      <w:pPr>
        <w:ind w:firstLine="259"/>
        <w:jc w:val="both"/>
      </w:pPr>
      <w:r>
        <w:rPr>
          <w:rFonts w:ascii="Times New Roman" w:hAnsi="Times New Roman"/>
          <w:sz w:val="17"/>
        </w:rPr>
        <w:t>Ensemble tree learning consistently demonstrates superiority over standard linear and kernel classifiers on industrial tabular datasets [7], [9]. Taşcı et al. [9] benchmarked Random Forests, Gradient Tree Boosting, and CatBoost for remaining useful life and wear estimation in manufacturing, establishing that decision trees naturally capture step-function thresholds inherent to physical safety boundaries. Lin et al. [10] developed an XGBoost-based approach for industrial failure time estimation and resource scheduling, demonstrating superior nonlinear generalization. Stephan Matzka [1] introduced the AI4I 2020 predictive maintenance benchmark from physical simulation models.</w:t>
      </w:r>
    </w:p>
    <w:p>
      <w:r>
        <w:rPr>
          <w:rFonts w:ascii="Times New Roman" w:hAnsi="Times New Roman"/>
          <w:b/>
          <w:i/>
          <w:sz w:val="18"/>
        </w:rPr>
        <w:t>C. Class Imbalance Mitigation Strategies</w:t>
      </w:r>
    </w:p>
    <w:p>
      <w:pPr>
        <w:ind w:firstLine="259"/>
        <w:jc w:val="both"/>
      </w:pPr>
      <w:r>
        <w:rPr>
          <w:rFonts w:ascii="Times New Roman" w:hAnsi="Times New Roman"/>
          <w:sz w:val="17"/>
        </w:rPr>
        <w:t>Under severe class imbalance, unweighted empirical risk minimization biases classifiers toward the majority class [7], [10]. Synthetic oversampling techniques such as SMOTE risk generating unphysical sensor combinations in thermodynamic feature spaces [7]. In contrast, cost-sensitive learning adjusts loss penalties via positive class weighting, penalizing minority false negatives without distorting feature geometry [10], [12].</w:t>
      </w:r>
    </w:p>
    <w:p>
      <w:r>
        <w:rPr>
          <w:rFonts w:ascii="Times New Roman" w:hAnsi="Times New Roman"/>
          <w:b/>
          <w:i/>
          <w:sz w:val="18"/>
        </w:rPr>
        <w:t>D. Explainable AI and Shapley Attributions</w:t>
      </w:r>
    </w:p>
    <w:p>
      <w:pPr>
        <w:ind w:firstLine="259"/>
        <w:jc w:val="both"/>
      </w:pPr>
      <w:r>
        <w:rPr>
          <w:rFonts w:ascii="Times New Roman" w:hAnsi="Times New Roman"/>
          <w:sz w:val="17"/>
        </w:rPr>
        <w:t>Lundberg and Lee [4] formulated SHAP, grounded in cooperative game theory. Lundberg et al. [12] introduced TreeSHAP, enabling polynomial-time exact computation of Shapley values for decision trees. Steurtewagen and Van den Poel [3] and Gawde et al. [2] demonstrated that SHAP reveals critical degradation thresholds in rotating machinery, bridging the trust gap for operations personnel.</w:t>
      </w:r>
    </w:p>
    <w:p>
      <w:r>
        <w:rPr>
          <w:rFonts w:ascii="Times New Roman" w:hAnsi="Times New Roman"/>
          <w:b/>
          <w:i/>
          <w:sz w:val="18"/>
        </w:rPr>
        <w:t>E. Decision-Making Systems and Physics Grounding</w:t>
      </w:r>
    </w:p>
    <w:p>
      <w:pPr>
        <w:ind w:firstLine="259"/>
        <w:jc w:val="both"/>
      </w:pPr>
      <w:r>
        <w:rPr>
          <w:rFonts w:ascii="Times New Roman" w:hAnsi="Times New Roman"/>
          <w:sz w:val="17"/>
        </w:rPr>
        <w:t>Rajaoarisoa et al. [5] explored XAI for maintenance decision-support systems. Popoola et al. [11] applied interpretable ML to fluid systems. Obeten and Jimoh [12] demonstrated physics-informed cost-aware XAI on milling data, aligning TreeSHAP attributions with Taylor's cutting equations.</w:t>
      </w:r>
    </w:p>
    <w:p>
      <w:pPr>
        <w:jc w:val="center"/>
      </w:pPr>
      <w:r>
        <w:rPr>
          <w:rFonts w:ascii="Times New Roman" w:hAnsi="Times New Roman"/>
          <w:i/>
          <w:sz w:val="15"/>
        </w:rPr>
        <w:t>TABLE I: COMPARATIVE ANALYSIS OF RELATED WORK IN PREDICTIVE MAINTENANCE AND EXPLAINABLE AI</w:t>
      </w:r>
    </w:p>
    <w:tbl>
      <w:tblPr>
        <w:tblW w:type="auto" w:w="0"/>
        <w:tblLook w:firstColumn="1" w:firstRow="1" w:lastColumn="0" w:lastRow="0" w:noHBand="0" w:noVBand="1" w:val="04A0"/>
      </w:tblPr>
      <w:tblGrid>
        <w:gridCol w:w="1800"/>
        <w:gridCol w:w="1800"/>
        <w:gridCol w:w="1800"/>
        <w:gridCol w:w="1800"/>
        <w:gridCol w:w="1800"/>
        <w:gridCol w:w="1800"/>
      </w:tblGrid>
      <w:tr>
        <w:tc>
          <w:tcPr>
            <w:tcW w:type="dxa" w:w="1800"/>
          </w:tcPr>
          <w:p>
            <w:r>
              <w:rPr>
                <w:rFonts w:ascii="Times New Roman" w:hAnsi="Times New Roman"/>
                <w:b/>
                <w:sz w:val="14"/>
              </w:rPr>
              <w:t>Ref.</w:t>
            </w:r>
          </w:p>
        </w:tc>
        <w:tc>
          <w:tcPr>
            <w:tcW w:type="dxa" w:w="1800"/>
          </w:tcPr>
          <w:p>
            <w:r>
              <w:rPr>
                <w:rFonts w:ascii="Times New Roman" w:hAnsi="Times New Roman"/>
                <w:b/>
                <w:sz w:val="14"/>
              </w:rPr>
              <w:t>Year</w:t>
            </w:r>
          </w:p>
        </w:tc>
        <w:tc>
          <w:tcPr>
            <w:tcW w:type="dxa" w:w="1800"/>
          </w:tcPr>
          <w:p>
            <w:r>
              <w:rPr>
                <w:rFonts w:ascii="Times New Roman" w:hAnsi="Times New Roman"/>
                <w:b/>
                <w:sz w:val="14"/>
              </w:rPr>
              <w:t>Methodology</w:t>
            </w:r>
          </w:p>
        </w:tc>
        <w:tc>
          <w:tcPr>
            <w:tcW w:type="dxa" w:w="1800"/>
          </w:tcPr>
          <w:p>
            <w:r>
              <w:rPr>
                <w:rFonts w:ascii="Times New Roman" w:hAnsi="Times New Roman"/>
                <w:b/>
                <w:sz w:val="14"/>
              </w:rPr>
              <w:t>XAI Method</w:t>
            </w:r>
          </w:p>
        </w:tc>
        <w:tc>
          <w:tcPr>
            <w:tcW w:type="dxa" w:w="1800"/>
          </w:tcPr>
          <w:p>
            <w:r>
              <w:rPr>
                <w:rFonts w:ascii="Times New Roman" w:hAnsi="Times New Roman"/>
                <w:b/>
                <w:sz w:val="14"/>
              </w:rPr>
              <w:t>Core Contributions &amp; Focus</w:t>
            </w:r>
          </w:p>
        </w:tc>
        <w:tc>
          <w:tcPr>
            <w:tcW w:type="dxa" w:w="1800"/>
          </w:tcPr>
          <w:p>
            <w:r>
              <w:rPr>
                <w:rFonts w:ascii="Times New Roman" w:hAnsi="Times New Roman"/>
                <w:b/>
                <w:sz w:val="14"/>
              </w:rPr>
              <w:t>Limitation / Gap Resolved by X-Maintain</w:t>
            </w:r>
          </w:p>
        </w:tc>
      </w:tr>
      <w:tr>
        <w:tc>
          <w:tcPr>
            <w:tcW w:type="dxa" w:w="1800"/>
          </w:tcPr>
          <w:p>
            <w:r>
              <w:rPr>
                <w:rFonts w:ascii="Times New Roman" w:hAnsi="Times New Roman"/>
                <w:sz w:val="13"/>
              </w:rPr>
              <w:t>[1]</w:t>
            </w:r>
          </w:p>
        </w:tc>
        <w:tc>
          <w:tcPr>
            <w:tcW w:type="dxa" w:w="1800"/>
          </w:tcPr>
          <w:p>
            <w:r>
              <w:rPr>
                <w:rFonts w:ascii="Times New Roman" w:hAnsi="Times New Roman"/>
                <w:sz w:val="13"/>
              </w:rPr>
              <w:t>2020</w:t>
            </w:r>
          </w:p>
        </w:tc>
        <w:tc>
          <w:tcPr>
            <w:tcW w:type="dxa" w:w="1800"/>
          </w:tcPr>
          <w:p>
            <w:r>
              <w:rPr>
                <w:rFonts w:ascii="Times New Roman" w:hAnsi="Times New Roman"/>
                <w:sz w:val="13"/>
              </w:rPr>
              <w:t>RF, kNN, DT</w:t>
            </w:r>
          </w:p>
        </w:tc>
        <w:tc>
          <w:tcPr>
            <w:tcW w:type="dxa" w:w="1800"/>
          </w:tcPr>
          <w:p>
            <w:r>
              <w:rPr>
                <w:rFonts w:ascii="Times New Roman" w:hAnsi="Times New Roman"/>
                <w:sz w:val="13"/>
              </w:rPr>
              <w:t>TreeSHAP, PDP</w:t>
            </w:r>
          </w:p>
        </w:tc>
        <w:tc>
          <w:tcPr>
            <w:tcW w:type="dxa" w:w="1800"/>
          </w:tcPr>
          <w:p>
            <w:r>
              <w:rPr>
                <w:rFonts w:ascii="Times New Roman" w:hAnsi="Times New Roman"/>
                <w:sz w:val="13"/>
              </w:rPr>
              <w:t>AI4I milling benchmark introduction; initial XAI exploration</w:t>
            </w:r>
          </w:p>
        </w:tc>
        <w:tc>
          <w:tcPr>
            <w:tcW w:type="dxa" w:w="1800"/>
          </w:tcPr>
          <w:p>
            <w:r>
              <w:rPr>
                <w:rFonts w:ascii="Times New Roman" w:hAnsi="Times New Roman"/>
                <w:sz w:val="13"/>
              </w:rPr>
              <w:t>Retained downstream leakage cols (TWF..RNF); inflated accuracy</w:t>
            </w:r>
          </w:p>
        </w:tc>
      </w:tr>
      <w:tr>
        <w:tc>
          <w:tcPr>
            <w:tcW w:type="dxa" w:w="1800"/>
          </w:tcPr>
          <w:p>
            <w:r>
              <w:rPr>
                <w:rFonts w:ascii="Times New Roman" w:hAnsi="Times New Roman"/>
                <w:sz w:val="13"/>
              </w:rPr>
              <w:t>[2]</w:t>
            </w:r>
          </w:p>
        </w:tc>
        <w:tc>
          <w:tcPr>
            <w:tcW w:type="dxa" w:w="1800"/>
          </w:tcPr>
          <w:p>
            <w:r>
              <w:rPr>
                <w:rFonts w:ascii="Times New Roman" w:hAnsi="Times New Roman"/>
                <w:sz w:val="13"/>
              </w:rPr>
              <w:t>2021</w:t>
            </w:r>
          </w:p>
        </w:tc>
        <w:tc>
          <w:tcPr>
            <w:tcW w:type="dxa" w:w="1800"/>
          </w:tcPr>
          <w:p>
            <w:r>
              <w:rPr>
                <w:rFonts w:ascii="Times New Roman" w:hAnsi="Times New Roman"/>
                <w:sz w:val="13"/>
              </w:rPr>
              <w:t>XGBoost, LGBM</w:t>
            </w:r>
          </w:p>
        </w:tc>
        <w:tc>
          <w:tcPr>
            <w:tcW w:type="dxa" w:w="1800"/>
          </w:tcPr>
          <w:p>
            <w:r>
              <w:rPr>
                <w:rFonts w:ascii="Times New Roman" w:hAnsi="Times New Roman"/>
                <w:sz w:val="13"/>
              </w:rPr>
              <w:t>SHAP, LIME, ICE</w:t>
            </w:r>
          </w:p>
        </w:tc>
        <w:tc>
          <w:tcPr>
            <w:tcW w:type="dxa" w:w="1800"/>
          </w:tcPr>
          <w:p>
            <w:r>
              <w:rPr>
                <w:rFonts w:ascii="Times New Roman" w:hAnsi="Times New Roman"/>
                <w:sz w:val="13"/>
              </w:rPr>
              <w:t>Multi-modal XAI on rotating machines; stability comparison</w:t>
            </w:r>
          </w:p>
        </w:tc>
        <w:tc>
          <w:tcPr>
            <w:tcW w:type="dxa" w:w="1800"/>
          </w:tcPr>
          <w:p>
            <w:r>
              <w:rPr>
                <w:rFonts w:ascii="Times New Roman" w:hAnsi="Times New Roman"/>
                <w:sz w:val="13"/>
              </w:rPr>
              <w:t>Lacks deployment UI, what-if sensitivity simulator, &amp; test suite</w:t>
            </w:r>
          </w:p>
        </w:tc>
      </w:tr>
      <w:tr>
        <w:tc>
          <w:tcPr>
            <w:tcW w:type="dxa" w:w="1800"/>
          </w:tcPr>
          <w:p>
            <w:r>
              <w:rPr>
                <w:rFonts w:ascii="Times New Roman" w:hAnsi="Times New Roman"/>
                <w:sz w:val="13"/>
              </w:rPr>
              <w:t>[3]</w:t>
            </w:r>
          </w:p>
        </w:tc>
        <w:tc>
          <w:tcPr>
            <w:tcW w:type="dxa" w:w="1800"/>
          </w:tcPr>
          <w:p>
            <w:r>
              <w:rPr>
                <w:rFonts w:ascii="Times New Roman" w:hAnsi="Times New Roman"/>
                <w:sz w:val="13"/>
              </w:rPr>
              <w:t>2021</w:t>
            </w:r>
          </w:p>
        </w:tc>
        <w:tc>
          <w:tcPr>
            <w:tcW w:type="dxa" w:w="1800"/>
          </w:tcPr>
          <w:p>
            <w:r>
              <w:rPr>
                <w:rFonts w:ascii="Times New Roman" w:hAnsi="Times New Roman"/>
                <w:sz w:val="13"/>
              </w:rPr>
              <w:t>RF, Logit</w:t>
            </w:r>
          </w:p>
        </w:tc>
        <w:tc>
          <w:tcPr>
            <w:tcW w:type="dxa" w:w="1800"/>
          </w:tcPr>
          <w:p>
            <w:r>
              <w:rPr>
                <w:rFonts w:ascii="Times New Roman" w:hAnsi="Times New Roman"/>
                <w:sz w:val="13"/>
              </w:rPr>
              <w:t>Kernel/TreeSHAP</w:t>
            </w:r>
          </w:p>
        </w:tc>
        <w:tc>
          <w:tcPr>
            <w:tcW w:type="dxa" w:w="1800"/>
          </w:tcPr>
          <w:p>
            <w:r>
              <w:rPr>
                <w:rFonts w:ascii="Times New Roman" w:hAnsi="Times New Roman"/>
                <w:sz w:val="13"/>
              </w:rPr>
              <w:t>Interpretability for sensor-based manufacturing telemetry</w:t>
            </w:r>
          </w:p>
        </w:tc>
        <w:tc>
          <w:tcPr>
            <w:tcW w:type="dxa" w:w="1800"/>
          </w:tcPr>
          <w:p>
            <w:r>
              <w:rPr>
                <w:rFonts w:ascii="Times New Roman" w:hAnsi="Times New Roman"/>
                <w:sz w:val="13"/>
              </w:rPr>
              <w:t>Static historical attribution; no imbalance benchmarking</w:t>
            </w:r>
          </w:p>
        </w:tc>
      </w:tr>
      <w:tr>
        <w:tc>
          <w:tcPr>
            <w:tcW w:type="dxa" w:w="1800"/>
          </w:tcPr>
          <w:p>
            <w:r>
              <w:rPr>
                <w:rFonts w:ascii="Times New Roman" w:hAnsi="Times New Roman"/>
                <w:sz w:val="13"/>
              </w:rPr>
              <w:t>[4]</w:t>
            </w:r>
          </w:p>
        </w:tc>
        <w:tc>
          <w:tcPr>
            <w:tcW w:type="dxa" w:w="1800"/>
          </w:tcPr>
          <w:p>
            <w:r>
              <w:rPr>
                <w:rFonts w:ascii="Times New Roman" w:hAnsi="Times New Roman"/>
                <w:sz w:val="13"/>
              </w:rPr>
              <w:t>2017</w:t>
            </w:r>
          </w:p>
        </w:tc>
        <w:tc>
          <w:tcPr>
            <w:tcW w:type="dxa" w:w="1800"/>
          </w:tcPr>
          <w:p>
            <w:r>
              <w:rPr>
                <w:rFonts w:ascii="Times New Roman" w:hAnsi="Times New Roman"/>
                <w:sz w:val="13"/>
              </w:rPr>
              <w:t>General ML</w:t>
            </w:r>
          </w:p>
        </w:tc>
        <w:tc>
          <w:tcPr>
            <w:tcW w:type="dxa" w:w="1800"/>
          </w:tcPr>
          <w:p>
            <w:r>
              <w:rPr>
                <w:rFonts w:ascii="Times New Roman" w:hAnsi="Times New Roman"/>
                <w:sz w:val="13"/>
              </w:rPr>
              <w:t>SHAP Theory</w:t>
            </w:r>
          </w:p>
        </w:tc>
        <w:tc>
          <w:tcPr>
            <w:tcW w:type="dxa" w:w="1800"/>
          </w:tcPr>
          <w:p>
            <w:r>
              <w:rPr>
                <w:rFonts w:ascii="Times New Roman" w:hAnsi="Times New Roman"/>
                <w:sz w:val="13"/>
              </w:rPr>
              <w:t>Foundational game-theoretic additive attribution theory</w:t>
            </w:r>
          </w:p>
        </w:tc>
        <w:tc>
          <w:tcPr>
            <w:tcW w:type="dxa" w:w="1800"/>
          </w:tcPr>
          <w:p>
            <w:r>
              <w:rPr>
                <w:rFonts w:ascii="Times New Roman" w:hAnsi="Times New Roman"/>
                <w:sz w:val="13"/>
              </w:rPr>
              <w:t>Theoretical mathematical framework; lacks domain PdM engineering</w:t>
            </w:r>
          </w:p>
        </w:tc>
      </w:tr>
      <w:tr>
        <w:tc>
          <w:tcPr>
            <w:tcW w:type="dxa" w:w="1800"/>
          </w:tcPr>
          <w:p>
            <w:r>
              <w:rPr>
                <w:rFonts w:ascii="Times New Roman" w:hAnsi="Times New Roman"/>
                <w:sz w:val="13"/>
              </w:rPr>
              <w:t>[5]</w:t>
            </w:r>
          </w:p>
        </w:tc>
        <w:tc>
          <w:tcPr>
            <w:tcW w:type="dxa" w:w="1800"/>
          </w:tcPr>
          <w:p>
            <w:r>
              <w:rPr>
                <w:rFonts w:ascii="Times New Roman" w:hAnsi="Times New Roman"/>
                <w:sz w:val="13"/>
              </w:rPr>
              <w:t>2024</w:t>
            </w:r>
          </w:p>
        </w:tc>
        <w:tc>
          <w:tcPr>
            <w:tcW w:type="dxa" w:w="1800"/>
          </w:tcPr>
          <w:p>
            <w:r>
              <w:rPr>
                <w:rFonts w:ascii="Times New Roman" w:hAnsi="Times New Roman"/>
                <w:sz w:val="13"/>
              </w:rPr>
              <w:t>Trees, SVM</w:t>
            </w:r>
          </w:p>
        </w:tc>
        <w:tc>
          <w:tcPr>
            <w:tcW w:type="dxa" w:w="1800"/>
          </w:tcPr>
          <w:p>
            <w:r>
              <w:rPr>
                <w:rFonts w:ascii="Times New Roman" w:hAnsi="Times New Roman"/>
                <w:sz w:val="13"/>
              </w:rPr>
              <w:t>SHAP, Counterfac.</w:t>
            </w:r>
          </w:p>
        </w:tc>
        <w:tc>
          <w:tcPr>
            <w:tcW w:type="dxa" w:w="1800"/>
          </w:tcPr>
          <w:p>
            <w:r>
              <w:rPr>
                <w:rFonts w:ascii="Times New Roman" w:hAnsi="Times New Roman"/>
                <w:sz w:val="13"/>
              </w:rPr>
              <w:t>XAI for maintenance decision systems &amp; alarm filters</w:t>
            </w:r>
          </w:p>
        </w:tc>
        <w:tc>
          <w:tcPr>
            <w:tcW w:type="dxa" w:w="1800"/>
          </w:tcPr>
          <w:p>
            <w:r>
              <w:rPr>
                <w:rFonts w:ascii="Times New Roman" w:hAnsi="Times New Roman"/>
                <w:sz w:val="13"/>
              </w:rPr>
              <w:t>Did not benchmark severe class imbalance or build natural-language rules</w:t>
            </w:r>
          </w:p>
        </w:tc>
      </w:tr>
      <w:tr>
        <w:tc>
          <w:tcPr>
            <w:tcW w:type="dxa" w:w="1800"/>
          </w:tcPr>
          <w:p>
            <w:r>
              <w:rPr>
                <w:rFonts w:ascii="Times New Roman" w:hAnsi="Times New Roman"/>
                <w:sz w:val="13"/>
              </w:rPr>
              <w:t>[6]</w:t>
            </w:r>
          </w:p>
        </w:tc>
        <w:tc>
          <w:tcPr>
            <w:tcW w:type="dxa" w:w="1800"/>
          </w:tcPr>
          <w:p>
            <w:r>
              <w:rPr>
                <w:rFonts w:ascii="Times New Roman" w:hAnsi="Times New Roman"/>
                <w:sz w:val="13"/>
              </w:rPr>
              <w:t>2020</w:t>
            </w:r>
          </w:p>
        </w:tc>
        <w:tc>
          <w:tcPr>
            <w:tcW w:type="dxa" w:w="1800"/>
          </w:tcPr>
          <w:p>
            <w:r>
              <w:rPr>
                <w:rFonts w:ascii="Times New Roman" w:hAnsi="Times New Roman"/>
                <w:sz w:val="13"/>
              </w:rPr>
              <w:t>Survey (100+)</w:t>
            </w:r>
          </w:p>
        </w:tc>
        <w:tc>
          <w:tcPr>
            <w:tcW w:type="dxa" w:w="1800"/>
          </w:tcPr>
          <w:p>
            <w:r>
              <w:rPr>
                <w:rFonts w:ascii="Times New Roman" w:hAnsi="Times New Roman"/>
                <w:sz w:val="13"/>
              </w:rPr>
              <w:t>None</w:t>
            </w:r>
          </w:p>
        </w:tc>
        <w:tc>
          <w:tcPr>
            <w:tcW w:type="dxa" w:w="1800"/>
          </w:tcPr>
          <w:p>
            <w:r>
              <w:rPr>
                <w:rFonts w:ascii="Times New Roman" w:hAnsi="Times New Roman"/>
                <w:sz w:val="13"/>
              </w:rPr>
              <w:t>Systematic review of Industry 4.0 PdM architectures &amp; ROI</w:t>
            </w:r>
          </w:p>
        </w:tc>
        <w:tc>
          <w:tcPr>
            <w:tcW w:type="dxa" w:w="1800"/>
          </w:tcPr>
          <w:p>
            <w:r>
              <w:rPr>
                <w:rFonts w:ascii="Times New Roman" w:hAnsi="Times New Roman"/>
                <w:sz w:val="13"/>
              </w:rPr>
              <w:t>Identified black-box adoption barrier; no empirical XAI implementation</w:t>
            </w:r>
          </w:p>
        </w:tc>
      </w:tr>
      <w:tr>
        <w:tc>
          <w:tcPr>
            <w:tcW w:type="dxa" w:w="1800"/>
          </w:tcPr>
          <w:p>
            <w:r>
              <w:rPr>
                <w:rFonts w:ascii="Times New Roman" w:hAnsi="Times New Roman"/>
                <w:sz w:val="13"/>
              </w:rPr>
              <w:t>[7]</w:t>
            </w:r>
          </w:p>
        </w:tc>
        <w:tc>
          <w:tcPr>
            <w:tcW w:type="dxa" w:w="1800"/>
          </w:tcPr>
          <w:p>
            <w:r>
              <w:rPr>
                <w:rFonts w:ascii="Times New Roman" w:hAnsi="Times New Roman"/>
                <w:sz w:val="13"/>
              </w:rPr>
              <w:t>2019</w:t>
            </w:r>
          </w:p>
        </w:tc>
        <w:tc>
          <w:tcPr>
            <w:tcW w:type="dxa" w:w="1800"/>
          </w:tcPr>
          <w:p>
            <w:r>
              <w:rPr>
                <w:rFonts w:ascii="Times New Roman" w:hAnsi="Times New Roman"/>
                <w:sz w:val="13"/>
              </w:rPr>
              <w:t>Survey (ML)</w:t>
            </w:r>
          </w:p>
        </w:tc>
        <w:tc>
          <w:tcPr>
            <w:tcW w:type="dxa" w:w="1800"/>
          </w:tcPr>
          <w:p>
            <w:r>
              <w:rPr>
                <w:rFonts w:ascii="Times New Roman" w:hAnsi="Times New Roman"/>
                <w:sz w:val="13"/>
              </w:rPr>
              <w:t>None</w:t>
            </w:r>
          </w:p>
        </w:tc>
        <w:tc>
          <w:tcPr>
            <w:tcW w:type="dxa" w:w="1800"/>
          </w:tcPr>
          <w:p>
            <w:r>
              <w:rPr>
                <w:rFonts w:ascii="Times New Roman" w:hAnsi="Times New Roman"/>
                <w:sz w:val="13"/>
              </w:rPr>
              <w:t>Comprehensive taxonomy of ML algorithms applied to PdM</w:t>
            </w:r>
          </w:p>
        </w:tc>
        <w:tc>
          <w:tcPr>
            <w:tcW w:type="dxa" w:w="1800"/>
          </w:tcPr>
          <w:p>
            <w:r>
              <w:rPr>
                <w:rFonts w:ascii="Times New Roman" w:hAnsi="Times New Roman"/>
                <w:sz w:val="13"/>
              </w:rPr>
              <w:t>Review only; evaluated no post-hoc explainability or Shapley attributions</w:t>
            </w:r>
          </w:p>
        </w:tc>
      </w:tr>
      <w:tr>
        <w:tc>
          <w:tcPr>
            <w:tcW w:type="dxa" w:w="1800"/>
          </w:tcPr>
          <w:p>
            <w:r>
              <w:rPr>
                <w:rFonts w:ascii="Times New Roman" w:hAnsi="Times New Roman"/>
                <w:sz w:val="13"/>
              </w:rPr>
              <w:t>[8]</w:t>
            </w:r>
          </w:p>
        </w:tc>
        <w:tc>
          <w:tcPr>
            <w:tcW w:type="dxa" w:w="1800"/>
          </w:tcPr>
          <w:p>
            <w:r>
              <w:rPr>
                <w:rFonts w:ascii="Times New Roman" w:hAnsi="Times New Roman"/>
                <w:sz w:val="13"/>
              </w:rPr>
              <w:t>2020</w:t>
            </w:r>
          </w:p>
        </w:tc>
        <w:tc>
          <w:tcPr>
            <w:tcW w:type="dxa" w:w="1800"/>
          </w:tcPr>
          <w:p>
            <w:r>
              <w:rPr>
                <w:rFonts w:ascii="Times New Roman" w:hAnsi="Times New Roman"/>
                <w:sz w:val="13"/>
              </w:rPr>
              <w:t>Rules, Ontol.</w:t>
            </w:r>
          </w:p>
        </w:tc>
        <w:tc>
          <w:tcPr>
            <w:tcW w:type="dxa" w:w="1800"/>
          </w:tcPr>
          <w:p>
            <w:r>
              <w:rPr>
                <w:rFonts w:ascii="Times New Roman" w:hAnsi="Times New Roman"/>
                <w:sz w:val="13"/>
              </w:rPr>
              <w:t>Rule logic</w:t>
            </w:r>
          </w:p>
        </w:tc>
        <w:tc>
          <w:tcPr>
            <w:tcW w:type="dxa" w:w="1800"/>
          </w:tcPr>
          <w:p>
            <w:r>
              <w:rPr>
                <w:rFonts w:ascii="Times New Roman" w:hAnsi="Times New Roman"/>
                <w:sz w:val="13"/>
              </w:rPr>
              <w:t>Machine learning &amp; semantic reasoning challenges in Industry 4.0</w:t>
            </w:r>
          </w:p>
        </w:tc>
        <w:tc>
          <w:tcPr>
            <w:tcW w:type="dxa" w:w="1800"/>
          </w:tcPr>
          <w:p>
            <w:r>
              <w:rPr>
                <w:rFonts w:ascii="Times New Roman" w:hAnsi="Times New Roman"/>
                <w:sz w:val="13"/>
              </w:rPr>
              <w:t>Relied on brittle expert rules; lacks modern gradient tree Shapley XAI</w:t>
            </w:r>
          </w:p>
        </w:tc>
      </w:tr>
      <w:tr>
        <w:tc>
          <w:tcPr>
            <w:tcW w:type="dxa" w:w="1800"/>
          </w:tcPr>
          <w:p>
            <w:r>
              <w:rPr>
                <w:rFonts w:ascii="Times New Roman" w:hAnsi="Times New Roman"/>
                <w:sz w:val="13"/>
              </w:rPr>
              <w:t>[9]</w:t>
            </w:r>
          </w:p>
        </w:tc>
        <w:tc>
          <w:tcPr>
            <w:tcW w:type="dxa" w:w="1800"/>
          </w:tcPr>
          <w:p>
            <w:r>
              <w:rPr>
                <w:rFonts w:ascii="Times New Roman" w:hAnsi="Times New Roman"/>
                <w:sz w:val="13"/>
              </w:rPr>
              <w:t>2023</w:t>
            </w:r>
          </w:p>
        </w:tc>
        <w:tc>
          <w:tcPr>
            <w:tcW w:type="dxa" w:w="1800"/>
          </w:tcPr>
          <w:p>
            <w:r>
              <w:rPr>
                <w:rFonts w:ascii="Times New Roman" w:hAnsi="Times New Roman"/>
                <w:sz w:val="13"/>
              </w:rPr>
              <w:t>RF, XGB, CatB</w:t>
            </w:r>
          </w:p>
        </w:tc>
        <w:tc>
          <w:tcPr>
            <w:tcW w:type="dxa" w:w="1800"/>
          </w:tcPr>
          <w:p>
            <w:r>
              <w:rPr>
                <w:rFonts w:ascii="Times New Roman" w:hAnsi="Times New Roman"/>
                <w:sz w:val="13"/>
              </w:rPr>
              <w:t>MDI, Permutation</w:t>
            </w:r>
          </w:p>
        </w:tc>
        <w:tc>
          <w:tcPr>
            <w:tcW w:type="dxa" w:w="1800"/>
          </w:tcPr>
          <w:p>
            <w:r>
              <w:rPr>
                <w:rFonts w:ascii="Times New Roman" w:hAnsi="Times New Roman"/>
                <w:sz w:val="13"/>
              </w:rPr>
              <w:t>Remaining useful life and tool wear prediction in manufacturing</w:t>
            </w:r>
          </w:p>
        </w:tc>
        <w:tc>
          <w:tcPr>
            <w:tcW w:type="dxa" w:w="1800"/>
          </w:tcPr>
          <w:p>
            <w:r>
              <w:rPr>
                <w:rFonts w:ascii="Times New Roman" w:hAnsi="Times New Roman"/>
                <w:sz w:val="13"/>
              </w:rPr>
              <w:t>Impurity feature importance exhibits cardinality bias; no local SHAP</w:t>
            </w:r>
          </w:p>
        </w:tc>
      </w:tr>
      <w:tr>
        <w:tc>
          <w:tcPr>
            <w:tcW w:type="dxa" w:w="1800"/>
          </w:tcPr>
          <w:p>
            <w:r>
              <w:rPr>
                <w:rFonts w:ascii="Times New Roman" w:hAnsi="Times New Roman"/>
                <w:sz w:val="13"/>
              </w:rPr>
              <w:t>[10]</w:t>
            </w:r>
          </w:p>
        </w:tc>
        <w:tc>
          <w:tcPr>
            <w:tcW w:type="dxa" w:w="1800"/>
          </w:tcPr>
          <w:p>
            <w:r>
              <w:rPr>
                <w:rFonts w:ascii="Times New Roman" w:hAnsi="Times New Roman"/>
                <w:sz w:val="13"/>
              </w:rPr>
              <w:t>2025</w:t>
            </w:r>
          </w:p>
        </w:tc>
        <w:tc>
          <w:tcPr>
            <w:tcW w:type="dxa" w:w="1800"/>
          </w:tcPr>
          <w:p>
            <w:r>
              <w:rPr>
                <w:rFonts w:ascii="Times New Roman" w:hAnsi="Times New Roman"/>
                <w:sz w:val="13"/>
              </w:rPr>
              <w:t>Cost-XGBoost</w:t>
            </w:r>
          </w:p>
        </w:tc>
        <w:tc>
          <w:tcPr>
            <w:tcW w:type="dxa" w:w="1800"/>
          </w:tcPr>
          <w:p>
            <w:r>
              <w:rPr>
                <w:rFonts w:ascii="Times New Roman" w:hAnsi="Times New Roman"/>
                <w:sz w:val="13"/>
              </w:rPr>
              <w:t>SHAP summary</w:t>
            </w:r>
          </w:p>
        </w:tc>
        <w:tc>
          <w:tcPr>
            <w:tcW w:type="dxa" w:w="1800"/>
          </w:tcPr>
          <w:p>
            <w:r>
              <w:rPr>
                <w:rFonts w:ascii="Times New Roman" w:hAnsi="Times New Roman"/>
                <w:sz w:val="13"/>
              </w:rPr>
              <w:t>Failure time estimation &amp; maintenance resource optimization</w:t>
            </w:r>
          </w:p>
        </w:tc>
        <w:tc>
          <w:tcPr>
            <w:tcW w:type="dxa" w:w="1800"/>
          </w:tcPr>
          <w:p>
            <w:r>
              <w:rPr>
                <w:rFonts w:ascii="Times New Roman" w:hAnsi="Times New Roman"/>
                <w:sz w:val="13"/>
              </w:rPr>
              <w:t>Omitted SMOTE vs cost-weighting comparison &amp; interactive deployment</w:t>
            </w:r>
          </w:p>
        </w:tc>
      </w:tr>
      <w:tr>
        <w:tc>
          <w:tcPr>
            <w:tcW w:type="dxa" w:w="1800"/>
          </w:tcPr>
          <w:p>
            <w:r>
              <w:rPr>
                <w:rFonts w:ascii="Times New Roman" w:hAnsi="Times New Roman"/>
                <w:sz w:val="13"/>
              </w:rPr>
              <w:t>[11]</w:t>
            </w:r>
          </w:p>
        </w:tc>
        <w:tc>
          <w:tcPr>
            <w:tcW w:type="dxa" w:w="1800"/>
          </w:tcPr>
          <w:p>
            <w:r>
              <w:rPr>
                <w:rFonts w:ascii="Times New Roman" w:hAnsi="Times New Roman"/>
                <w:sz w:val="13"/>
              </w:rPr>
              <w:t>2026</w:t>
            </w:r>
          </w:p>
        </w:tc>
        <w:tc>
          <w:tcPr>
            <w:tcW w:type="dxa" w:w="1800"/>
          </w:tcPr>
          <w:p>
            <w:r>
              <w:rPr>
                <w:rFonts w:ascii="Times New Roman" w:hAnsi="Times New Roman"/>
                <w:sz w:val="13"/>
              </w:rPr>
              <w:t>GBDT, Ensembles</w:t>
            </w:r>
          </w:p>
        </w:tc>
        <w:tc>
          <w:tcPr>
            <w:tcW w:type="dxa" w:w="1800"/>
          </w:tcPr>
          <w:p>
            <w:r>
              <w:rPr>
                <w:rFonts w:ascii="Times New Roman" w:hAnsi="Times New Roman"/>
                <w:sz w:val="13"/>
              </w:rPr>
              <w:t>SHAP, LIME</w:t>
            </w:r>
          </w:p>
        </w:tc>
        <w:tc>
          <w:tcPr>
            <w:tcW w:type="dxa" w:w="1800"/>
          </w:tcPr>
          <w:p>
            <w:r>
              <w:rPr>
                <w:rFonts w:ascii="Times New Roman" w:hAnsi="Times New Roman"/>
                <w:sz w:val="13"/>
              </w:rPr>
              <w:t>Interpretable ML framework for fluid &amp; water handling networks</w:t>
            </w:r>
          </w:p>
        </w:tc>
        <w:tc>
          <w:tcPr>
            <w:tcW w:type="dxa" w:w="1800"/>
          </w:tcPr>
          <w:p>
            <w:r>
              <w:rPr>
                <w:rFonts w:ascii="Times New Roman" w:hAnsi="Times New Roman"/>
                <w:sz w:val="13"/>
              </w:rPr>
              <w:t>Fluid domain focus; lacks milling tool wear dynamics &amp; what-if engine</w:t>
            </w:r>
          </w:p>
        </w:tc>
      </w:tr>
      <w:tr>
        <w:tc>
          <w:tcPr>
            <w:tcW w:type="dxa" w:w="1800"/>
          </w:tcPr>
          <w:p>
            <w:r>
              <w:rPr>
                <w:rFonts w:ascii="Times New Roman" w:hAnsi="Times New Roman"/>
                <w:sz w:val="13"/>
              </w:rPr>
              <w:t>[12]</w:t>
            </w:r>
          </w:p>
        </w:tc>
        <w:tc>
          <w:tcPr>
            <w:tcW w:type="dxa" w:w="1800"/>
          </w:tcPr>
          <w:p>
            <w:r>
              <w:rPr>
                <w:rFonts w:ascii="Times New Roman" w:hAnsi="Times New Roman"/>
                <w:sz w:val="13"/>
              </w:rPr>
              <w:t>2026</w:t>
            </w:r>
          </w:p>
        </w:tc>
        <w:tc>
          <w:tcPr>
            <w:tcW w:type="dxa" w:w="1800"/>
          </w:tcPr>
          <w:p>
            <w:r>
              <w:rPr>
                <w:rFonts w:ascii="Times New Roman" w:hAnsi="Times New Roman"/>
                <w:sz w:val="13"/>
              </w:rPr>
              <w:t>Physics-XGBoost</w:t>
            </w:r>
          </w:p>
        </w:tc>
        <w:tc>
          <w:tcPr>
            <w:tcW w:type="dxa" w:w="1800"/>
          </w:tcPr>
          <w:p>
            <w:r>
              <w:rPr>
                <w:rFonts w:ascii="Times New Roman" w:hAnsi="Times New Roman"/>
                <w:sz w:val="13"/>
              </w:rPr>
              <w:t>TreeSHAP</w:t>
            </w:r>
          </w:p>
        </w:tc>
        <w:tc>
          <w:tcPr>
            <w:tcW w:type="dxa" w:w="1800"/>
          </w:tcPr>
          <w:p>
            <w:r>
              <w:rPr>
                <w:rFonts w:ascii="Times New Roman" w:hAnsi="Times New Roman"/>
                <w:sz w:val="13"/>
              </w:rPr>
              <w:t>Physics-informed cost-aware PdM on AI4I milling sensor data</w:t>
            </w:r>
          </w:p>
        </w:tc>
        <w:tc>
          <w:tcPr>
            <w:tcW w:type="dxa" w:w="1800"/>
          </w:tcPr>
          <w:p>
            <w:r>
              <w:rPr>
                <w:rFonts w:ascii="Times New Roman" w:hAnsi="Times New Roman"/>
                <w:sz w:val="13"/>
              </w:rPr>
              <w:t>Lacks operational Streamlit dashboard, what-if simulator, &amp; unit tests</w:t>
            </w:r>
          </w:p>
        </w:tc>
      </w:tr>
      <w:tr>
        <w:tc>
          <w:tcPr>
            <w:tcW w:type="dxa" w:w="1800"/>
          </w:tcPr>
          <w:p>
            <w:r>
              <w:rPr>
                <w:rFonts w:ascii="Times New Roman" w:hAnsi="Times New Roman"/>
                <w:b/>
                <w:sz w:val="13"/>
              </w:rPr>
              <w:t>Ours</w:t>
            </w:r>
          </w:p>
        </w:tc>
        <w:tc>
          <w:tcPr>
            <w:tcW w:type="dxa" w:w="1800"/>
          </w:tcPr>
          <w:p>
            <w:r>
              <w:rPr>
                <w:rFonts w:ascii="Times New Roman" w:hAnsi="Times New Roman"/>
                <w:b/>
                <w:sz w:val="13"/>
              </w:rPr>
              <w:t>2026</w:t>
            </w:r>
          </w:p>
        </w:tc>
        <w:tc>
          <w:tcPr>
            <w:tcW w:type="dxa" w:w="1800"/>
          </w:tcPr>
          <w:p>
            <w:r>
              <w:rPr>
                <w:rFonts w:ascii="Times New Roman" w:hAnsi="Times New Roman"/>
                <w:b/>
                <w:sz w:val="13"/>
              </w:rPr>
              <w:t>Cost-sens. XGB</w:t>
            </w:r>
          </w:p>
        </w:tc>
        <w:tc>
          <w:tcPr>
            <w:tcW w:type="dxa" w:w="1800"/>
          </w:tcPr>
          <w:p>
            <w:r>
              <w:rPr>
                <w:rFonts w:ascii="Times New Roman" w:hAnsi="Times New Roman"/>
                <w:b/>
                <w:sz w:val="13"/>
              </w:rPr>
              <w:t>TreeSHAP (Dual)</w:t>
            </w:r>
          </w:p>
        </w:tc>
        <w:tc>
          <w:tcPr>
            <w:tcW w:type="dxa" w:w="1800"/>
          </w:tcPr>
          <w:p>
            <w:r>
              <w:rPr>
                <w:rFonts w:ascii="Times New Roman" w:hAnsi="Times New Roman"/>
                <w:b/>
                <w:sz w:val="13"/>
              </w:rPr>
              <w:t>End-to-end leakage-free explainable PdM framework (X-Maintain)</w:t>
            </w:r>
          </w:p>
        </w:tc>
        <w:tc>
          <w:tcPr>
            <w:tcW w:type="dxa" w:w="1800"/>
          </w:tcPr>
          <w:p>
            <w:r>
              <w:rPr>
                <w:rFonts w:ascii="Times New Roman" w:hAnsi="Times New Roman"/>
                <w:b/>
                <w:sz w:val="13"/>
              </w:rPr>
              <w:t>Unified solution: leakage purge, utility selection, what-if, UI, 20/20 tests</w:t>
            </w:r>
          </w:p>
        </w:tc>
      </w:tr>
    </w:tbl>
    <w:p>
      <w:pPr>
        <w:jc w:val="center"/>
      </w:pPr>
      <w:r>
        <w:rPr>
          <w:rFonts w:ascii="Times New Roman" w:hAnsi="Times New Roman"/>
          <w:b/>
          <w:sz w:val="19"/>
        </w:rPr>
        <w:t>III. DATASET AND PROBLEM FORMULATION</w:t>
      </w:r>
    </w:p>
    <w:p>
      <w:r>
        <w:rPr>
          <w:rFonts w:ascii="Times New Roman" w:hAnsi="Times New Roman"/>
          <w:b/>
          <w:i/>
          <w:sz w:val="18"/>
        </w:rPr>
        <w:t>A. Dataset Overview and Synthetic Origin</w:t>
      </w:r>
    </w:p>
    <w:p>
      <w:pPr>
        <w:ind w:firstLine="259"/>
        <w:jc w:val="both"/>
      </w:pPr>
      <w:r>
        <w:rPr>
          <w:rFonts w:ascii="Times New Roman" w:hAnsi="Times New Roman"/>
          <w:sz w:val="17"/>
        </w:rPr>
        <w:t>We utilize the AI4I 2020 Predictive Maintenance Dataset [1], hosted by the UCI Machine Learning Repository. The dataset contains 10,000 operational records reflecting synthetic milling machine telemetry generated from physical simulation models [1]. AI4I 2020 is a synthetic benchmark designed to mirror industrial cutting dynamics without sensor dropouts. Each record describes an individual machining process cycle for a tool workpiece.</w:t>
      </w:r>
    </w:p>
    <w:p>
      <w:r>
        <w:rPr>
          <w:rFonts w:ascii="Times New Roman" w:hAnsi="Times New Roman"/>
          <w:b/>
          <w:i/>
          <w:sz w:val="18"/>
        </w:rPr>
        <w:t>B. Physical Failure Modes</w:t>
      </w:r>
    </w:p>
    <w:p>
      <w:pPr>
        <w:ind w:firstLine="259"/>
        <w:jc w:val="both"/>
      </w:pPr>
      <w:r>
        <w:rPr>
          <w:rFonts w:ascii="Times New Roman" w:hAnsi="Times New Roman"/>
          <w:sz w:val="17"/>
        </w:rPr>
        <w:t>The simulation encodes five distinct physical failure mechanisms [1]: 1) Tool Wear Failure (TWF): cutter wear exceeding 200–240 minutes; 2) Heat Dissipation Failure (HDF): temperature difference Delta T &lt; 8.6 K with spindle speed &lt; 1,380 rpm; 3) Power Failure (PWF): mechanical power P = tau * omega outside 3,500 W to 9,000 W; 4) Overstrain Failure (OSF): torque times tool wear exceeding variant thresholds (11,000 to 13,000 min*Nm); 5) Random Failure (RNF): 0.1% background defects.</w:t>
      </w:r>
    </w:p>
    <w:p>
      <w:r>
        <w:rPr>
          <w:rFonts w:ascii="Times New Roman" w:hAnsi="Times New Roman"/>
          <w:b/>
          <w:i/>
          <w:sz w:val="18"/>
        </w:rPr>
        <w:t>C. Target Leakage Prevention</w:t>
      </w:r>
    </w:p>
    <w:p>
      <w:pPr>
        <w:ind w:firstLine="259"/>
        <w:jc w:val="both"/>
      </w:pPr>
      <w:r>
        <w:rPr>
          <w:rFonts w:ascii="Times New Roman" w:hAnsi="Times New Roman"/>
          <w:sz w:val="17"/>
        </w:rPr>
        <w:t>The raw dataset records the five failure-mode indicators (TWF, HDF, PWF, OSF, RNF). Crucially, the target variable is a logical union of these modes: Machine failure = TWF or HDF or PWF or OSF or RNF. Retaining any failure-mode column provides the model with direct target leakage, trivially inflating accuracy to 99.9% while rendering the model useless for proactive forecasting [1]. X-Maintain strictly purges all five failure mode columns as well as arbitrary primary identifiers (UDI, Product ID).</w:t>
      </w:r>
    </w:p>
    <w:p>
      <w:pPr>
        <w:jc w:val="center"/>
      </w:pPr>
      <w:r>
        <w:rPr>
          <w:rFonts w:ascii="Times New Roman" w:hAnsi="Times New Roman"/>
          <w:b/>
          <w:sz w:val="19"/>
        </w:rPr>
        <w:t>IV. PROPOSED X-MAINTAIN FRAMEWORK</w:t>
      </w:r>
    </w:p>
    <w:p>
      <w:pPr>
        <w:ind w:firstLine="259"/>
        <w:jc w:val="both"/>
      </w:pPr>
      <w:r>
        <w:rPr>
          <w:rFonts w:ascii="Times New Roman" w:hAnsi="Times New Roman"/>
          <w:sz w:val="17"/>
        </w:rPr>
        <w:t>The X-Maintain framework comprises five modular layers: 1) Ingestion and Leakage Purge, 2) Stratified Preprocessing Pipeline, 3) Cost-Sensitive Multi-Model Training, 4) Game-Theoretic TreeSHAP Attribution, and 5) Interactive Streamlit Deployment with What-If Sensitivity Simulation. Preprocessing enforces stratified 70/10/20 partitioning (6,999 train, 1,000 val, 2,001 test). StandardScaler is fitted exclusively on training numerical features. The categorical Type variable is one-hot encoded into three binary indicators.</w:t>
      </w:r>
    </w:p>
    <w:p>
      <w:pPr>
        <w:jc w:val="center"/>
      </w:pPr>
      <w:r>
        <w:rPr>
          <w:rFonts w:ascii="Times New Roman" w:hAnsi="Times New Roman"/>
          <w:b/>
          <w:sz w:val="19"/>
        </w:rPr>
        <w:t>V. MACHINE LEARNING MODELS</w:t>
      </w:r>
    </w:p>
    <w:p>
      <w:pPr>
        <w:ind w:firstLine="259"/>
        <w:jc w:val="both"/>
      </w:pPr>
      <w:r>
        <w:rPr>
          <w:rFonts w:ascii="Times New Roman" w:hAnsi="Times New Roman"/>
          <w:sz w:val="17"/>
        </w:rPr>
        <w:t>Three models are formulated: 1) Balanced Logistic Regression establishing linear baseline; 2) Balanced Random Forest (200 trees); 3) Cost-Sensitive XGBoost configured with scale_pos_weight = 28.53 (6,762 negative / 237 positive training instances). Model selection is governed by a domain utility metric: Utility = 0.4*Recall + 0.3*F1 + 0.3*ROC-AUC.</w:t>
      </w:r>
    </w:p>
    <w:p>
      <w:pPr>
        <w:jc w:val="center"/>
      </w:pPr>
      <w:r>
        <w:rPr>
          <w:rFonts w:ascii="Times New Roman" w:hAnsi="Times New Roman"/>
          <w:b/>
          <w:sz w:val="19"/>
        </w:rPr>
        <w:t>VI. EXPERIMENTAL RESULTS AND BENCHMARK</w:t>
      </w:r>
    </w:p>
    <w:p>
      <w:pPr>
        <w:ind w:firstLine="259"/>
        <w:jc w:val="both"/>
      </w:pPr>
      <w:r>
        <w:rPr>
          <w:rFonts w:ascii="Times New Roman" w:hAnsi="Times New Roman"/>
          <w:sz w:val="17"/>
        </w:rPr>
        <w:t>On the held-out test split (N = 2,001, 68 true breakdowns), XGBoost achieves the top selection score (0.8064), balancing 73.53% Recall (50/68 failures captured) with 73.53% Precision (only 18 false alarms), 98.20% accuracy, 0.9724 ROC-AUC, and 0.7934 PR-AUC. In comparison, Logistic Regression achieves 79.41% recall but precision collapses to 14.67% (314 false alarms). Random Forest achieves 87.10% precision but misses over 60% of true failure events (Recall = 39.71%, 41 missed failures).</w:t>
      </w:r>
    </w:p>
    <w:p>
      <w:pPr>
        <w:jc w:val="center"/>
      </w:pPr>
      <w:r>
        <w:rPr>
          <w:rFonts w:ascii="Times New Roman" w:hAnsi="Times New Roman"/>
          <w:b/>
          <w:sz w:val="19"/>
        </w:rPr>
        <w:t>VII. SHAP EXPLAINABILITY AND SENSITIVITY ENGINE</w:t>
      </w:r>
    </w:p>
    <w:p>
      <w:pPr>
        <w:ind w:firstLine="259"/>
        <w:jc w:val="both"/>
      </w:pPr>
      <w:r>
        <w:rPr>
          <w:rFonts w:ascii="Times New Roman" w:hAnsi="Times New Roman"/>
          <w:sz w:val="17"/>
        </w:rPr>
        <w:t>TreeSHAP analysis confirms Torque (mean |SHAP| = 3.74) and Tool Wear (3.06) dominate failure predictions, followed by Rotational Speed (2.07) and Air Temperature (2.01). Beeswarm and dependence plots show non-linear inflection: torque above 50 Nm and tool wear above 200 min sharply escalate failure log-odds. Local waterfall attributions for breakdown instance #11 decompose log-odds from -3.76 base expectation to +11.49 prediction, with Torque (+7.37) and Tool Wear (+4.19) as dominant drivers.</w:t>
      </w:r>
    </w:p>
    <w:p>
      <w:pPr>
        <w:jc w:val="center"/>
      </w:pPr>
      <w:r>
        <w:rPr>
          <w:rFonts w:ascii="Times New Roman" w:hAnsi="Times New Roman"/>
          <w:b/>
          <w:sz w:val="19"/>
        </w:rPr>
        <w:t>VIII. STREAMLIT SYSTEM IMPLEMENTATION</w:t>
      </w:r>
    </w:p>
    <w:p>
      <w:pPr>
        <w:ind w:firstLine="259"/>
        <w:jc w:val="both"/>
      </w:pPr>
      <w:r>
        <w:rPr>
          <w:rFonts w:ascii="Times New Roman" w:hAnsi="Times New Roman"/>
          <w:sz w:val="17"/>
        </w:rPr>
        <w:t>The X-Maintain monitoring platform is implemented in Streamlit 1.50.0, featuring a dark industrial control-room aesthetic organized into seven operational views: Overview Dashboard, Machine Prediction Console, Explainability Center, What-If Sensitivity Simulator, Model Performance Analytics, Data Insights, and About Project. Inference and local TreeSHAP attribution execute in under 45 milliseconds on standard CPU hardware via @st.cache_resource, enabling instantaneous slider updates paired with deterministic natural language explanation rules.</w:t>
      </w:r>
    </w:p>
    <w:p>
      <w:pPr>
        <w:jc w:val="center"/>
      </w:pPr>
      <w:r>
        <w:rPr>
          <w:rFonts w:ascii="Times New Roman" w:hAnsi="Times New Roman"/>
          <w:b/>
          <w:sz w:val="19"/>
        </w:rPr>
        <w:t>IX. SOFTWARE VALIDATION AND TESTING</w:t>
      </w:r>
    </w:p>
    <w:p>
      <w:pPr>
        <w:ind w:firstLine="259"/>
        <w:jc w:val="both"/>
      </w:pPr>
      <w:r>
        <w:rPr>
          <w:rFonts w:ascii="Times New Roman" w:hAnsi="Times New Roman"/>
          <w:sz w:val="17"/>
        </w:rPr>
        <w:t>To ensure scientific reproducibility and robust execution, the framework includes an automated Pytest suite containing exactly 20 unit tests across three test modules: test_preprocessing.py (8 tests), test_prediction.py (5 tests), and test_explainability.py (7 tests), achieving a 100% pass rate in 3.21 seconds.</w:t>
      </w:r>
    </w:p>
    <w:p>
      <w:pPr>
        <w:jc w:val="center"/>
      </w:pPr>
      <w:r>
        <w:rPr>
          <w:rFonts w:ascii="Times New Roman" w:hAnsi="Times New Roman"/>
          <w:b/>
          <w:sz w:val="19"/>
        </w:rPr>
        <w:t>X. DISCUSSION</w:t>
      </w:r>
    </w:p>
    <w:p>
      <w:pPr>
        <w:ind w:firstLine="259"/>
        <w:jc w:val="both"/>
      </w:pPr>
      <w:r>
        <w:rPr>
          <w:rFonts w:ascii="Times New Roman" w:hAnsi="Times New Roman"/>
          <w:sz w:val="17"/>
        </w:rPr>
        <w:t>Our empirical results highlight the necessity of balancing failure detection against operational precision. Cost-sensitive XGBoost successfully captures 73.53% of failures with an acceptable 73.53% precision rate. Furthermore, TreeSHAP reveals coupled thermodynamic interactions: high torque operating simultaneously with high tool wear creates compound stress, enabling maintenance crews to practice targeted condition-based intervention.</w:t>
      </w:r>
    </w:p>
    <w:p>
      <w:pPr>
        <w:jc w:val="center"/>
      </w:pPr>
      <w:r>
        <w:rPr>
          <w:rFonts w:ascii="Times New Roman" w:hAnsi="Times New Roman"/>
          <w:b/>
          <w:sz w:val="19"/>
        </w:rPr>
        <w:t>XI. METHODOLOGICAL LIMITATIONS</w:t>
      </w:r>
    </w:p>
    <w:p>
      <w:pPr>
        <w:ind w:firstLine="259"/>
        <w:jc w:val="both"/>
      </w:pPr>
      <w:r>
        <w:rPr>
          <w:rFonts w:ascii="Times New Roman" w:hAnsi="Times New Roman"/>
          <w:sz w:val="17"/>
        </w:rPr>
        <w:t>We document three distinct methodological limitations: 1) Synthetic Dataset Nature: AI4I 2020 simulates milling machine thermodynamics under idealized mathematical models without factory environmental vibration noise; 2) Non-Causal Interpretation: Shapley attributions reflect associative model dependencies rather than structural physical causality; 3) Discrete Snapshot Scope: the model operates on tabular snapshots rather than continuous multivariate time-series waveforms.</w:t>
      </w:r>
    </w:p>
    <w:p>
      <w:pPr>
        <w:jc w:val="center"/>
      </w:pPr>
      <w:r>
        <w:rPr>
          <w:rFonts w:ascii="Times New Roman" w:hAnsi="Times New Roman"/>
          <w:b/>
          <w:sz w:val="19"/>
        </w:rPr>
        <w:t>XII. FUTURE DIRECTIONS</w:t>
      </w:r>
    </w:p>
    <w:p>
      <w:pPr>
        <w:ind w:firstLine="259"/>
        <w:jc w:val="both"/>
      </w:pPr>
      <w:r>
        <w:rPr>
          <w:rFonts w:ascii="Times New Roman" w:hAnsi="Times New Roman"/>
          <w:sz w:val="17"/>
        </w:rPr>
        <w:t>Future research will explore: 1) Temporal Degradation Modeling formulating Remaining Useful Life (RUL) regression using Bidirectional LSTMs and TCNs; 2) Embedded Edge Deployment with ONNX Runtime and TensorRT 8-bit quantization on low-power hardware; 3) Causal Machine Learning integrating Structural Causal Models (SCMs) and Pearl's do-calculus.</w:t>
      </w:r>
    </w:p>
    <w:p>
      <w:pPr>
        <w:jc w:val="center"/>
      </w:pPr>
      <w:r>
        <w:rPr>
          <w:rFonts w:ascii="Times New Roman" w:hAnsi="Times New Roman"/>
          <w:b/>
          <w:sz w:val="19"/>
        </w:rPr>
        <w:t>XIII. CONCLUSION</w:t>
      </w:r>
    </w:p>
    <w:p>
      <w:pPr>
        <w:ind w:firstLine="259"/>
        <w:jc w:val="both"/>
      </w:pPr>
      <w:r>
        <w:rPr>
          <w:rFonts w:ascii="Times New Roman" w:hAnsi="Times New Roman"/>
          <w:sz w:val="17"/>
        </w:rPr>
        <w:t>This paper presented X-Maintain, an Explainable AI predictive maintenance framework for industrial manufacturing. By enforcing strict target leakage prevention through the elimination of failure-mode indicators and non-predictive serial identifiers, the system trains on genuine operational telemetry. Benchmarked across Logistic Regression, Random Forest, and XGBoost under severe 28.5:1 class imbalance, cost-sensitive XGBoost achieved 98.20% accuracy, 73.53% precision, 73.53% failure recall, 0.9724 ROC-AUC, and 0.7934 PR-AUC on held-out test data. Integration of exact TreeSHAP attributions revealed that Spindle Torque (mean |SHAP| = 3.74) and Tool Wear (3.06) govern failure risk, demystifying the black-box boundary. The framework pairs deterministic natural language explanations with a model-based what-if sensitivity simulator and an enterprise Streamlit monitoring interface, providing an auditable, transparent operational bridge between predictive machine learning and industrial maintenance decision support.</w:t>
      </w:r>
    </w:p>
    <w:p>
      <w:pPr>
        <w:jc w:val="center"/>
      </w:pPr>
      <w:r>
        <w:rPr>
          <w:rFonts w:ascii="Times New Roman" w:hAnsi="Times New Roman"/>
          <w:b/>
          <w:sz w:val="19"/>
        </w:rPr>
        <w:t>ACKNOWLEDGMENT</w:t>
      </w:r>
    </w:p>
    <w:p>
      <w:pPr>
        <w:jc w:val="both"/>
      </w:pPr>
      <w:r>
        <w:rPr>
          <w:rFonts w:ascii="Times New Roman" w:hAnsi="Times New Roman"/>
          <w:sz w:val="17"/>
        </w:rPr>
        <w:t>The authors acknowledge the School of Computer Science and Engineering at Vellore Institute of Technology for laboratory infrastructure, and the creators of the UCI AI4I 2020 Predictive Maintenance Dataset for providing the open-access benchmark.</w:t>
      </w:r>
    </w:p>
    <w:p>
      <w:pPr>
        <w:jc w:val="center"/>
      </w:pPr>
      <w:r>
        <w:rPr>
          <w:rFonts w:ascii="Times New Roman" w:hAnsi="Times New Roman"/>
          <w:b/>
          <w:sz w:val="19"/>
        </w:rPr>
        <w:t>REFERENCES</w:t>
      </w:r>
    </w:p>
    <w:p>
      <w:pPr>
        <w:jc w:val="both"/>
      </w:pPr>
      <w:r>
        <w:rPr>
          <w:rFonts w:ascii="Times New Roman" w:hAnsi="Times New Roman"/>
          <w:sz w:val="15"/>
        </w:rPr>
        <w:t>[1] S. Matzka, "Explainable Artificial Intelligence for Predictive Maintenance Applications," in Proc. IEEE AI4I, 2020, pp. 69–74.</w:t>
      </w:r>
    </w:p>
    <w:p>
      <w:pPr>
        <w:jc w:val="both"/>
      </w:pPr>
      <w:r>
        <w:rPr>
          <w:rFonts w:ascii="Times New Roman" w:hAnsi="Times New Roman"/>
          <w:sz w:val="15"/>
        </w:rPr>
        <w:t>[2] P. Gawde et al., "Explainable Predictive Maintenance of Rotating Machines Using LIME, SHAP, PDP, ICE," in Proc. IEEE BigData, 2021, pp. 3122–3131.</w:t>
      </w:r>
    </w:p>
    <w:p>
      <w:pPr>
        <w:jc w:val="both"/>
      </w:pPr>
      <w:r>
        <w:rPr>
          <w:rFonts w:ascii="Times New Roman" w:hAnsi="Times New Roman"/>
          <w:sz w:val="15"/>
        </w:rPr>
        <w:t>[3] E. Steurtewagen and D. Van den Poel, "Adding interpretability to predictive maintenance by machine learning on sensor data," Comput. Ind. Eng., vol. 152, p. 107047, 2021.</w:t>
      </w:r>
    </w:p>
    <w:p>
      <w:pPr>
        <w:jc w:val="both"/>
      </w:pPr>
      <w:r>
        <w:rPr>
          <w:rFonts w:ascii="Times New Roman" w:hAnsi="Times New Roman"/>
          <w:sz w:val="15"/>
        </w:rPr>
        <w:t>[4] S. M. Lundberg and S.-I. Lee, "A Unified Approach to Interpreting Model Predictions," in Proc. NeurIPS, 2017, pp. 4765–4774.</w:t>
      </w:r>
    </w:p>
    <w:p>
      <w:pPr>
        <w:jc w:val="both"/>
      </w:pPr>
      <w:r>
        <w:rPr>
          <w:rFonts w:ascii="Times New Roman" w:hAnsi="Times New Roman"/>
          <w:sz w:val="15"/>
        </w:rPr>
        <w:t>[5] L. Rajaoarisoa et al., "Decision-making systems improvement based on Explainable AI approaches for predictive maintenance," Eng. Appl. Artif. Intell., vol. 133, p. 108102, 2024.</w:t>
      </w:r>
    </w:p>
    <w:p>
      <w:pPr>
        <w:jc w:val="both"/>
      </w:pPr>
      <w:r>
        <w:rPr>
          <w:rFonts w:ascii="Times New Roman" w:hAnsi="Times New Roman"/>
          <w:sz w:val="15"/>
        </w:rPr>
        <w:t>[6] T. Zonta et al., "Predictive maintenance in the Industry 4.0: A systematic literature review," Comput. Ind. Eng., vol. 150, p. 106889, 2020.</w:t>
      </w:r>
    </w:p>
    <w:p>
      <w:pPr>
        <w:jc w:val="both"/>
      </w:pPr>
      <w:r>
        <w:rPr>
          <w:rFonts w:ascii="Times New Roman" w:hAnsi="Times New Roman"/>
          <w:sz w:val="15"/>
        </w:rPr>
        <w:t>[7] T. P. Carvalho et al., "A systematic literature review of machine learning methods applied to predictive maintenance," Comput. Ind. Eng., vol. 137, p. 106024, 2019.</w:t>
      </w:r>
    </w:p>
    <w:p>
      <w:pPr>
        <w:jc w:val="both"/>
      </w:pPr>
      <w:r>
        <w:rPr>
          <w:rFonts w:ascii="Times New Roman" w:hAnsi="Times New Roman"/>
          <w:sz w:val="15"/>
        </w:rPr>
        <w:t>[8] J. Dalzochio et al., "Machine learning and reasoning for predictive maintenance in Industry 4.0: Current status and challenges," Comput. Ind., vol. 123, p. 103298, 2020.</w:t>
      </w:r>
    </w:p>
    <w:p>
      <w:pPr>
        <w:jc w:val="both"/>
      </w:pPr>
      <w:r>
        <w:rPr>
          <w:rFonts w:ascii="Times New Roman" w:hAnsi="Times New Roman"/>
          <w:sz w:val="15"/>
        </w:rPr>
        <w:t>[9] B. Taşcı et al., "Remaining useful lifetime prediction for predictive maintenance in manufacturing using machine learning methods," Comput. Ind. Eng., vol. 182, p. 109395, 2023.</w:t>
      </w:r>
    </w:p>
    <w:p>
      <w:pPr>
        <w:jc w:val="both"/>
      </w:pPr>
      <w:r>
        <w:rPr>
          <w:rFonts w:ascii="Times New Roman" w:hAnsi="Times New Roman"/>
          <w:sz w:val="15"/>
        </w:rPr>
        <w:t>[10] K.-Y. Lin et al., "Predictive maintenance in industrial systems: An XGBoost-based approach for failure time estimation and resource optimization," J. Ind. Prod. Eng., vol. 42, no. 3, pp. 210–225, 2025.</w:t>
      </w:r>
    </w:p>
    <w:p>
      <w:pPr>
        <w:jc w:val="both"/>
      </w:pPr>
      <w:r>
        <w:rPr>
          <w:rFonts w:ascii="Times New Roman" w:hAnsi="Times New Roman"/>
          <w:sz w:val="15"/>
        </w:rPr>
        <w:t>[11] O. A. Popoola et al., "Interpretable machine learning in industrial water and fluid handling systems: A practical framework for anomaly and failure detection," Eng. Appl. Artif. Intell., vol. 148, p. 109855, 2026.</w:t>
      </w:r>
    </w:p>
    <w:p>
      <w:pPr>
        <w:jc w:val="both"/>
      </w:pPr>
      <w:r>
        <w:rPr>
          <w:rFonts w:ascii="Times New Roman" w:hAnsi="Times New Roman"/>
          <w:sz w:val="15"/>
        </w:rPr>
        <w:t>[12] O. M. Obeten and A. Jimoh, "Physics-informed and cost-aware explainable predictive maintenance for milling tools using TreeSHAP and sensor streams," Sci. Rep., vol. 16, no. 1, p. 4120, 2026.</w:t>
      </w:r>
    </w:p>
    <w:sectPr w:rsidR="00FC693F" w:rsidRPr="0006063C" w:rsidSect="00034616">
      <w:pgSz w:w="12240" w:h="15840"/>
      <w:pgMar w:top="720" w:right="720" w:bottom="720" w:left="720"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