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X-MAINTAIN: EXPLAINABLE AI FOR PREDICTIVE MAINTENANCE</w:t>
        <w:br/>
      </w:r>
      <w:r>
        <w:rPr>
          <w:rFonts w:ascii="Calibri" w:hAnsi="Calibri"/>
          <w:sz w:val="26"/>
        </w:rPr>
        <w:t>An Explainable Machine Learning Framework for Machine Failure Prediction in Industrial IoT</w:t>
        <w:br/>
        <w:br/>
      </w:r>
      <w:r>
        <w:rPr>
          <w:rFonts w:ascii="Calibri" w:hAnsi="Calibri"/>
          <w:sz w:val="20"/>
        </w:rPr>
        <w:t>Course: Explainable Artificial Intelligence (XAI) — Capstone Project</w:t>
        <w:br/>
        <w:t>Student Name: Syagamreddy Gopi Adithya Vardhan Reddy | Reg. No: 22BCE3456</w:t>
        <w:br/>
        <w:t>Department of Computer Science and Engineering, Vellore Institute of Technology, Vellore</w:t>
        <w:br/>
        <w:t>Evaluation Milestones: Review 2 (7th Oct 2026) | Final Review (16th-21st Oct 2026)</w:t>
        <w:br/>
        <w:t>Repository: https://github.com/gopiadithya/ExplainableAI_Project</w:t>
        <w:br/>
      </w:r>
    </w:p>
    <w:p>
      <w:r>
        <w:rPr>
          <w:rFonts w:ascii="Calibri" w:hAnsi="Calibri"/>
          <w:b/>
          <w:color w:val="0F172A"/>
          <w:sz w:val="28"/>
        </w:rPr>
        <w:t>SECTION 1 — INTRODUCTION</w:t>
      </w:r>
    </w:p>
    <w:p>
      <w:r>
        <w:rPr>
          <w:rFonts w:ascii="Calibri" w:hAnsi="Calibri"/>
          <w:b/>
          <w:color w:val="1E293B"/>
          <w:sz w:val="24"/>
        </w:rPr>
        <w:t>1.1 Problem Statement</w:t>
      </w:r>
    </w:p>
    <w:p>
      <w:pPr>
        <w:jc w:val="both"/>
      </w:pPr>
      <w:r>
        <w:rPr>
          <w:rFonts w:ascii="Calibri" w:hAnsi="Calibri"/>
          <w:sz w:val="21"/>
        </w:rPr>
        <w:t>In modern automated manufacturing, Computerized Numerical Control (CNC) milling machinery operates under continuous thermal and mechanical stress. Equipment breakdowns cost industrial manufacturers an estimated $50 billion annually in unplanned downtime (Carvalho et al., 2019). The objective of this project is to develop an automated predictive maintenance system that accurately forecasts machine failure from multivariate operational telemetry and transparently explains WHY the failure prediction occurred using SHAP.</w:t>
      </w:r>
    </w:p>
    <w:p>
      <w:r>
        <w:rPr>
          <w:rFonts w:ascii="Calibri" w:hAnsi="Calibri"/>
          <w:b/>
          <w:color w:val="1E293B"/>
          <w:sz w:val="24"/>
        </w:rPr>
        <w:t>1.2 Motivation and Asymmetric Error Costs</w:t>
      </w:r>
    </w:p>
    <w:p>
      <w:pPr>
        <w:jc w:val="both"/>
      </w:pPr>
      <w:r>
        <w:rPr>
          <w:rFonts w:ascii="Calibri" w:hAnsi="Calibri"/>
          <w:sz w:val="21"/>
        </w:rPr>
        <w:t>Missing a real failure (False Negative) results in catastrophic spindle damage and line stoppages ($10,000-$100,000+), whereas a false alarm (False Positive) only incurs a brief inspection ($100-$500). Therefore, Failure Recall and explainability are paramount.</w:t>
      </w:r>
    </w:p>
    <w:p>
      <w:r>
        <w:rPr>
          <w:rFonts w:ascii="Calibri" w:hAnsi="Calibri"/>
          <w:b/>
          <w:color w:val="1E293B"/>
          <w:sz w:val="24"/>
        </w:rPr>
        <w:t>1.3 Objectives and Contributions</w:t>
      </w:r>
    </w:p>
    <w:p>
      <w:pPr>
        <w:jc w:val="both"/>
      </w:pPr>
      <w:r>
        <w:rPr>
          <w:rFonts w:ascii="Calibri" w:hAnsi="Calibri"/>
          <w:sz w:val="21"/>
        </w:rPr>
        <w:t>The project accomplishes: 1) Leakage-free preprocessing by purging 5 failure mode indicators; 2) Systematic class-imbalance mitigation under 28.5:1 disparity; 3) Multi-model benchmarking (Logistic Regression, Random Forest, XGBoost); 4) TreeSHAP global and local explainability; 5) Counterfactual what-if sensitivity simulator; 6) 7-view Streamlit industrial monitoring interface verified with 20 unit tests.</w:t>
      </w:r>
    </w:p>
    <w:p>
      <w:r>
        <w:rPr>
          <w:rFonts w:ascii="Calibri" w:hAnsi="Calibri"/>
          <w:b/>
          <w:color w:val="0F172A"/>
          <w:sz w:val="28"/>
        </w:rPr>
        <w:t>SECTION 2 — LITERATURE REVIEW</w:t>
      </w:r>
    </w:p>
    <w:p>
      <w:r>
        <w:rPr>
          <w:rFonts w:ascii="Calibri" w:hAnsi="Calibri"/>
          <w:b/>
          <w:color w:val="1E293B"/>
          <w:sz w:val="24"/>
        </w:rPr>
        <w:t>2.1 Existing Approaches</w:t>
      </w:r>
    </w:p>
    <w:p>
      <w:pPr>
        <w:jc w:val="both"/>
      </w:pPr>
      <w:r>
        <w:rPr>
          <w:rFonts w:ascii="Calibri" w:hAnsi="Calibri"/>
          <w:sz w:val="21"/>
        </w:rPr>
        <w:t>Condition monitoring in Industry 4.0 reduces unexpected outages by 45% (Zonta et al., 2020), but industrial datasets face extreme class imbalance (Dalzochio et al., 2020). Ensemble tree models (Breiman, 2001; Chen &amp; Guestrin, 2016) outperform linear baselines. While SMOTE over-samples minority instances (Chawla et al., 2002), synthetic points risk violating thermodynamic physical constraints. Cost-sensitive weighting directly penalizes false negatives in gradient descent.</w:t>
      </w:r>
    </w:p>
    <w:p>
      <w:r>
        <w:rPr>
          <w:rFonts w:ascii="Calibri" w:hAnsi="Calibri"/>
          <w:b/>
          <w:color w:val="1E293B"/>
          <w:sz w:val="24"/>
        </w:rPr>
        <w:t>2.2 Explainable AI and Research Gaps</w:t>
      </w:r>
    </w:p>
    <w:p>
      <w:pPr>
        <w:jc w:val="both"/>
      </w:pPr>
      <w:r>
        <w:rPr>
          <w:rFonts w:ascii="Calibri" w:hAnsi="Calibri"/>
          <w:sz w:val="21"/>
        </w:rPr>
        <w:t>SHAP (Lundberg &amp; Lee, 2017) and TreeSHAP (Lundberg et al., 2020) solve the black-box dilemma by providing mathematically consistent Shapley attributions. Previous work on AI4I 2020 (Matzka, 2020) suffered from target leakage by retaining failure mode indicators. X-Maintain provides a complete, leakage-free, verified architecture.</w:t>
      </w:r>
    </w:p>
    <w:p>
      <w:r>
        <w:rPr>
          <w:rFonts w:ascii="Calibri" w:hAnsi="Calibri"/>
          <w:b/>
          <w:color w:val="0F172A"/>
          <w:sz w:val="28"/>
        </w:rPr>
        <w:t>SECTION 3 — PROPOSED SYSTEM ARCHITECTURE</w:t>
      </w:r>
    </w:p>
    <w:p>
      <w:r>
        <w:rPr>
          <w:rFonts w:ascii="Calibri" w:hAnsi="Calibri"/>
          <w:b/>
          <w:color w:val="1E293B"/>
          <w:sz w:val="24"/>
        </w:rPr>
        <w:t>3.1 Complete Architecture &amp; Workflow</w:t>
      </w:r>
    </w:p>
    <w:p>
      <w:pPr>
        <w:jc w:val="both"/>
      </w:pPr>
      <w:r>
        <w:rPr>
          <w:rFonts w:ascii="Calibri" w:hAnsi="Calibri"/>
          <w:sz w:val="21"/>
        </w:rPr>
        <w:t>The architecture comprises five modular layers: Ingestion &amp; Leakage Purge, Stratified Preprocessing (70% train, 10% val, 20% test), Cost-Sensitive Training (scale_pos_weight = 28.53), TreeSHAP Explainability, and Interactive Streamlit Deployment.</w:t>
      </w:r>
    </w:p>
    <w:p>
      <w:r>
        <w:rPr>
          <w:rFonts w:ascii="Calibri" w:hAnsi="Calibri"/>
          <w:b/>
          <w:color w:val="1E293B"/>
          <w:sz w:val="24"/>
        </w:rPr>
        <w:t>3.2 Dataset &amp; Leakage Prevention</w:t>
      </w:r>
    </w:p>
    <w:p>
      <w:pPr>
        <w:jc w:val="both"/>
      </w:pPr>
      <w:r>
        <w:rPr>
          <w:rFonts w:ascii="Calibri" w:hAnsi="Calibri"/>
          <w:sz w:val="21"/>
        </w:rPr>
        <w:t>The UCI AI4I 2020 dataset contains 10,000 milling operations (9,661 nominal, 339 failures, 28.5:1 ratio). All five failure mode indicators (TWF, HDF, PWF, OSF, RNF) and primary serial IDs are purged, yielding 8 clean operational features.</w:t>
      </w:r>
    </w:p>
    <w:p>
      <w:r>
        <w:rPr>
          <w:rFonts w:ascii="Calibri" w:hAnsi="Calibri"/>
          <w:b/>
          <w:color w:val="0F172A"/>
          <w:sz w:val="28"/>
        </w:rPr>
        <w:t>SECTION 4 — RESULTS AND DISCUSSION</w:t>
      </w:r>
    </w:p>
    <w:p>
      <w:r>
        <w:rPr>
          <w:rFonts w:ascii="Calibri" w:hAnsi="Calibri"/>
          <w:b/>
          <w:color w:val="1E293B"/>
          <w:sz w:val="24"/>
        </w:rPr>
        <w:t>4.1 Model Benchmark on Held-Out Test Set (N = 2,001)</w:t>
      </w:r>
    </w:p>
    <w:p>
      <w:pPr>
        <w:jc w:val="both"/>
      </w:pPr>
      <w:r>
        <w:rPr>
          <w:rFonts w:ascii="Calibri" w:hAnsi="Calibri"/>
          <w:sz w:val="21"/>
        </w:rPr>
        <w:t>Cost-Sensitive XGBoost achieves the top domain utility score (0.8064), with 98.20% Accuracy, 73.53% Recall (50/68 failures detected), 73.53% Precision (only 18 false alarms), 0.9724 ROC-AUC, and 0.7934 PR-AUC. In comparison, Logistic Regression produces 314 false alarms (Precision = 14.67%), and Random Forest misses 41 failures (Recall = 39.71%).</w:t>
      </w:r>
    </w:p>
    <w:p>
      <w:r>
        <w:rPr>
          <w:rFonts w:ascii="Calibri" w:hAnsi="Calibri"/>
          <w:b/>
          <w:color w:val="1E293B"/>
          <w:sz w:val="24"/>
        </w:rPr>
        <w:t>4.2 Explainability Analysis</w:t>
      </w:r>
    </w:p>
    <w:p>
      <w:pPr>
        <w:jc w:val="both"/>
      </w:pPr>
      <w:r>
        <w:rPr>
          <w:rFonts w:ascii="Calibri" w:hAnsi="Calibri"/>
          <w:sz w:val="21"/>
        </w:rPr>
        <w:t>TreeSHAP reveals that Torque (mean |SHAP| = 3.74) and Tool Wear (3.06) dominate failure predictions. Local waterfall decomposition for breakdown sample #11 shows log-odds increasing from -3.76 base expectation to +11.49, driven by Torque (+7.37) and Tool Wear (+4.19).</w:t>
      </w:r>
    </w:p>
    <w:p>
      <w:r>
        <w:rPr>
          <w:rFonts w:ascii="Calibri" w:hAnsi="Calibri"/>
          <w:b/>
          <w:color w:val="0F172A"/>
          <w:sz w:val="28"/>
        </w:rPr>
        <w:t>SECTION 5 — CONCLUSION</w:t>
      </w:r>
    </w:p>
    <w:p>
      <w:r>
        <w:rPr>
          <w:rFonts w:ascii="Calibri" w:hAnsi="Calibri"/>
          <w:b/>
          <w:color w:val="1E293B"/>
          <w:sz w:val="24"/>
        </w:rPr>
        <w:t>5.1 Summary and Major Findings</w:t>
      </w:r>
    </w:p>
    <w:p>
      <w:pPr>
        <w:jc w:val="both"/>
      </w:pPr>
      <w:r>
        <w:rPr>
          <w:rFonts w:ascii="Calibri" w:hAnsi="Calibri"/>
          <w:sz w:val="21"/>
        </w:rPr>
        <w:t>X-Maintain provides an auditable, transparent operational bridge between predictive machine learning and industrial maintenance. Cost-sensitive gradient boosting paired with TreeSHAP achieves high sensitivity while demystifying failure drivers.</w:t>
      </w:r>
    </w:p>
    <w:p>
      <w:r>
        <w:rPr>
          <w:rFonts w:ascii="Calibri" w:hAnsi="Calibri"/>
          <w:b/>
          <w:color w:val="1E293B"/>
          <w:sz w:val="24"/>
        </w:rPr>
        <w:t>5.2 Limitations and Future Work</w:t>
      </w:r>
    </w:p>
    <w:p>
      <w:pPr>
        <w:jc w:val="both"/>
      </w:pPr>
      <w:r>
        <w:rPr>
          <w:rFonts w:ascii="Calibri" w:hAnsi="Calibri"/>
          <w:sz w:val="21"/>
        </w:rPr>
        <w:t>Methodological limitations include synthetic data characteristics and non-causal nature of SHAP. Future work will explore Remaining Useful Life (RUL) regression using temporal LSTMs, ONNX edge quantization, and Causal Structural Equation Models.</w:t>
      </w:r>
    </w:p>
    <w:p>
      <w:r>
        <w:rPr>
          <w:rFonts w:ascii="Calibri" w:hAnsi="Calibri"/>
          <w:b/>
          <w:color w:val="0F172A"/>
          <w:sz w:val="28"/>
        </w:rPr>
        <w:t>SECTION 6 — REFERENCES (APA 7th EDITION)</w:t>
      </w:r>
    </w:p>
    <w:p>
      <w:pPr>
        <w:ind w:left="720" w:hanging="720"/>
      </w:pPr>
      <w:r>
        <w:rPr>
          <w:rFonts w:ascii="Calibri" w:hAnsi="Calibri"/>
          <w:sz w:val="19"/>
        </w:rPr>
        <w:t>Breiman, L. (2001). Random forests. Machine Learning, 45(1), 5–32. https://doi.org/10.1023/A:1010933404324</w:t>
      </w:r>
    </w:p>
    <w:p>
      <w:pPr>
        <w:ind w:left="720" w:hanging="720"/>
      </w:pPr>
      <w:r>
        <w:rPr>
          <w:rFonts w:ascii="Calibri" w:hAnsi="Calibri"/>
          <w:sz w:val="19"/>
        </w:rPr>
        <w:t>Carvalho, T. P., Soares, F. A. A., Vita, R., Francisco, R. d. P., Basto, J. P., &amp; Alcalá, S. G. S. (2019). A systematic literature review of machine learning methods applied to predictive maintenance. Computers &amp; Industrial Engineering, 137, Article 106024. https://doi.org/10.1016/j.cie.2019.106024</w:t>
      </w:r>
    </w:p>
    <w:p>
      <w:pPr>
        <w:ind w:left="720" w:hanging="720"/>
      </w:pPr>
      <w:r>
        <w:rPr>
          <w:rFonts w:ascii="Calibri" w:hAnsi="Calibri"/>
          <w:sz w:val="19"/>
        </w:rPr>
        <w:t>Chawla, N. V., Bowyer, K. W., Hall, L. O., &amp; Kegelmeyer, W. P. (2002). SMOTE: Synthetic minority over-sampling technique. Journal of Artificial Intelligence Research, 16, 321–357. https://doi.org/10.1613/jair.953</w:t>
      </w:r>
    </w:p>
    <w:p>
      <w:pPr>
        <w:ind w:left="720" w:hanging="720"/>
      </w:pPr>
      <w:r>
        <w:rPr>
          <w:rFonts w:ascii="Calibri" w:hAnsi="Calibri"/>
          <w:sz w:val="19"/>
        </w:rPr>
        <w:t>Chen, T., &amp; Guestrin, C. (2016). XGBoost: A scalable tree boosting system. In Proceedings of the 22nd ACM SIGKDD International Conference on Knowledge Discovery and Data Mining (pp. 785–794). ACM. https://doi.org/10.1145/2939672.2939785</w:t>
      </w:r>
    </w:p>
    <w:p>
      <w:pPr>
        <w:ind w:left="720" w:hanging="720"/>
      </w:pPr>
      <w:r>
        <w:rPr>
          <w:rFonts w:ascii="Calibri" w:hAnsi="Calibri"/>
          <w:sz w:val="19"/>
        </w:rPr>
        <w:t>Dalzochio, J., Kunst, R., Pignaton, E., Wiethölter, A., Bassani, H. F., &amp; da Silva, K. B. C. (2020). Machine learning and reasoning for predictive maintenance in Industry 4.0: Current status and challenges. Computers in Industry, 123, Article 103298. https://doi.org/10.1016/j.compind.2020.103298</w:t>
      </w:r>
    </w:p>
    <w:p>
      <w:pPr>
        <w:ind w:left="720" w:hanging="720"/>
      </w:pPr>
      <w:r>
        <w:rPr>
          <w:rFonts w:ascii="Calibri" w:hAnsi="Calibri"/>
          <w:sz w:val="19"/>
        </w:rPr>
        <w:t>Gawde, P., Busch, C., Busch, M., &amp; Roy, S. S. (2021). Explainable predictive maintenance of rotating machines using LIME, SHAP, PDP, ICE. In 2021 IEEE International Conference on Big Data (Big Data) (pp. 3122–3131). IEEE. https://doi.org/10.1109/BigData52589.2021.9671607</w:t>
      </w:r>
    </w:p>
    <w:p>
      <w:pPr>
        <w:ind w:left="720" w:hanging="720"/>
      </w:pPr>
      <w:r>
        <w:rPr>
          <w:rFonts w:ascii="Calibri" w:hAnsi="Calibri"/>
          <w:sz w:val="19"/>
        </w:rPr>
        <w:t>Lundberg, S. M., Erion, G., Chen, H., DeGrave, A., Prutkin, J. M., Nair, B., Katz, R., Himmelfarb, J., Bansal, N., &amp; Lee, S.-I. (2020). From local explanations to global understanding with explainable AI for trees. Nature Machine Intelligence, 2(1), 56–67. https://doi.org/10.1038/s42256-019-0138-9</w:t>
      </w:r>
    </w:p>
    <w:p>
      <w:pPr>
        <w:ind w:left="720" w:hanging="720"/>
      </w:pPr>
      <w:r>
        <w:rPr>
          <w:rFonts w:ascii="Calibri" w:hAnsi="Calibri"/>
          <w:sz w:val="19"/>
        </w:rPr>
        <w:t>Lundberg, S. M., &amp; Lee, S.-I. (2017). A unified approach to interpreting model predictions. In Advances in Neural Information Processing Systems (NeurIPS 2017) (Vol. 30, pp. 4765–4774).</w:t>
      </w:r>
    </w:p>
    <w:p>
      <w:pPr>
        <w:ind w:left="720" w:hanging="720"/>
      </w:pPr>
      <w:r>
        <w:rPr>
          <w:rFonts w:ascii="Calibri" w:hAnsi="Calibri"/>
          <w:sz w:val="19"/>
        </w:rPr>
        <w:t>Matzka, S. (2020). Explainable artificial intelligence for predictive maintenance applications. In 2020 Third International Conference on Artificial Intelligence for Industries (AI4I) (pp. 69–74). IEEE. https://doi.org/10.1109/AI4I49448.2020.00023</w:t>
      </w:r>
    </w:p>
    <w:p>
      <w:pPr>
        <w:ind w:left="720" w:hanging="720"/>
      </w:pPr>
      <w:r>
        <w:rPr>
          <w:rFonts w:ascii="Calibri" w:hAnsi="Calibri"/>
          <w:sz w:val="19"/>
        </w:rPr>
        <w:t>Ribeiro, M. T., Singh, S., &amp; Guestrin, C. (2016). "Why should I trust you?": Explaining the predictions of any classifier. In Proceedings of the 22nd ACM SIGKDD International Conference on Knowledge Discovery and Data Mining (pp. 1135–1144). ACM. https://doi.org/10.1145/2939672.2939778</w:t>
      </w:r>
    </w:p>
    <w:p>
      <w:pPr>
        <w:ind w:left="720" w:hanging="720"/>
      </w:pPr>
      <w:r>
        <w:rPr>
          <w:rFonts w:ascii="Calibri" w:hAnsi="Calibri"/>
          <w:sz w:val="19"/>
        </w:rPr>
        <w:t>Steurtewagen, E., &amp; Van den Poel, D. (2021). Adding interpretability to predictive maintenance by machine learning on sensor data. Computers &amp; Industrial Engineering, 152, Article 107047. https://doi.org/10.1016/j.cie.2020.107047</w:t>
      </w:r>
    </w:p>
    <w:p>
      <w:pPr>
        <w:ind w:left="720" w:hanging="720"/>
      </w:pPr>
      <w:r>
        <w:rPr>
          <w:rFonts w:ascii="Calibri" w:hAnsi="Calibri"/>
          <w:sz w:val="19"/>
        </w:rPr>
        <w:t>Zonta, T., da Costa, C. A., da Rosa Righi, R., de Oliveira, M. J., &amp; Vázquez-Salceda, J. (2020). Predictive maintenance in the Industry 4.0: A systematic literature review. Computers &amp; Industrial Engineering, 150, Article 106889. https://doi.org/10.1016/j.cie.2020.106889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