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X-Maintain: An Explainable Machine Learning Framework for Predictive Maintenance and Machine Failure Prediction</w:t>
      </w:r>
    </w:p>
    <w:p>
      <w:pPr>
        <w:jc w:val="center"/>
      </w:pPr>
      <w:r>
        <w:rPr>
          <w:rFonts w:ascii="Times New Roman" w:hAnsi="Times New Roman"/>
          <w:b/>
          <w:sz w:val="20"/>
        </w:rPr>
        <w:t>Syagamreddy Gopi Adithya Vardhan Reddy</w:t>
        <w:br/>
      </w:r>
      <w:r>
        <w:rPr>
          <w:rFonts w:ascii="Times New Roman" w:hAnsi="Times New Roman"/>
          <w:sz w:val="17"/>
        </w:rPr>
        <w:t>Department of Computer Science and Engineering, Vellore Institute of Technology, Vellore, Tamil Nadu 632014, India</w:t>
        <w:br/>
        <w:t>(e-mail: gopi.adithya2022@vitstudent.ac.in)</w:t>
      </w:r>
    </w:p>
    <w:p>
      <w:pPr>
        <w:jc w:val="both"/>
      </w:pPr>
      <w:r>
        <w:rPr>
          <w:rFonts w:ascii="Times New Roman" w:hAnsi="Times New Roman"/>
          <w:b/>
          <w:i/>
          <w:sz w:val="17"/>
        </w:rPr>
        <w:t>Abstract—</w:t>
      </w:r>
      <w:r>
        <w:rPr>
          <w:rFonts w:ascii="Times New Roman" w:hAnsi="Times New Roman"/>
          <w:b/>
          <w:sz w:val="17"/>
        </w:rPr>
        <w:t>Industrial predictive maintenance (PdM) relies on multivariate sensor streams to anticipate equipment failure before catastrophic downtime occurs. However, contemporary high-performance machine learning ensembles operate as opaque black boxes, creating an operational trust barrier for factory engineers. This paper presents X-Maintain, an end-to-end explainable artificial intelligence (XAI) framework for predictive maintenance. Using the benchmark AI4I 2020 Predictive Maintenance Dataset (10,000 operations), we enforce strict target leakage prevention by excluding failure-mode indicators (TWF, HDF, PWF, OSF, RNF) and primary keys, yielding an eight-feature operational input matrix. We benchmark Logistic Regression, Random Forest, and XGBoost under severe 28.5:1 class disparity. Model selection is governed by a domain utility metric (0.4×Recall + 0.3×F1 + 0.3×ROC-AUC). On held-out test split (N = 2,001), cost-sensitive XGBoost achieves 98.20% accuracy, 73.53% precision, 73.53% recall, 0.9724 ROC-AUC, and 0.7934 PR-AUC. Model decisions are explained via TreeSHAP, showing Torque (mean |SHAP| = 3.74) and Tool Wear (3.06) dominate predictions. Local waterfall attributions, deterministic natural language explanations, what-if sensitivity analysis, and an enterprise Streamlit dashboard complete the validated architecture, backed by 20 passed unit tests.</w:t>
      </w:r>
    </w:p>
    <w:p>
      <w:pPr>
        <w:jc w:val="both"/>
      </w:pPr>
      <w:r>
        <w:rPr>
          <w:rFonts w:ascii="Times New Roman" w:hAnsi="Times New Roman"/>
          <w:b/>
          <w:i/>
          <w:sz w:val="17"/>
        </w:rPr>
        <w:t>Index Terms—</w:t>
      </w:r>
      <w:r>
        <w:rPr>
          <w:rFonts w:ascii="Times New Roman" w:hAnsi="Times New Roman"/>
          <w:b/>
          <w:sz w:val="17"/>
        </w:rPr>
        <w:t>Predictive maintenance, Explainable AI (XAI), SHAP, XGBoost, class imbalance, TreeExplainer, industrial IoT, model-based sensitivity analysis.</w:t>
      </w:r>
    </w:p>
    <w:p>
      <w:pPr>
        <w:sectPr>
          <w:pgSz w:w="12240" w:h="15840"/>
          <w:pgMar w:top="720" w:right="720" w:bottom="720" w:left="720" w:header="720" w:footer="720" w:gutter="0"/>
          <w:cols w:space="720"/>
          <w:docGrid w:linePitch="360"/>
        </w:sectPr>
      </w:pPr>
    </w:p>
    <w:p>
      <w:pPr>
        <w:jc w:val="center"/>
      </w:pPr>
      <w:r>
        <w:rPr>
          <w:rFonts w:ascii="Times New Roman" w:hAnsi="Times New Roman"/>
          <w:b/>
          <w:sz w:val="19"/>
        </w:rPr>
        <w:t>I. INTRODUCTION</w:t>
      </w:r>
    </w:p>
    <w:p>
      <w:pPr>
        <w:ind w:firstLine="259"/>
        <w:jc w:val="both"/>
      </w:pPr>
      <w:r>
        <w:rPr>
          <w:rFonts w:ascii="Times New Roman" w:hAnsi="Times New Roman"/>
          <w:sz w:val="17"/>
        </w:rPr>
        <w:t>Industrial manufacturing relies heavily on computerized numerical control (CNC) milling machinery, automated tooling spindles, and multi-axis machining centers. Equipment breakdowns incur severe financial and operational losses, costing industrial facilities an estimated $50 billion annually in unplanned downtime [3], [4]. Historically, manufacturing facilities adopted reactive 'run-to-failure' strategies or rigid time-based preventative schedules [3]. While reactive repair creates unacceptable emergency outages, preventative maintenance frequently causes premature component replacement, discarding functional cutting heads with substantial useful life remaining [4].</w:t>
      </w:r>
    </w:p>
    <w:p>
      <w:pPr>
        <w:ind w:firstLine="259"/>
        <w:jc w:val="both"/>
      </w:pPr>
      <w:r>
        <w:rPr>
          <w:rFonts w:ascii="Times New Roman" w:hAnsi="Times New Roman"/>
          <w:sz w:val="17"/>
        </w:rPr>
        <w:t>Predictive maintenance (PdM) leverages multivariate sensor telemetry—such as spindle torque, cutting contact duration, rotational velocities, and thermal dissipation gradients—to dynamically forecast impending failure states [1], [5]. However, real-world industrial adoption faces the critical 'black-box dilemma' [6], [7]. Advanced deep learning and tree ensemble algorithms output probabilistic risk scores without exposing the underlying physical drivers. If an autonomous model flags an alert without physical attribution, plant operators cannot ascertain whether the alarm stems from thermal exhaustion, mechanical overstrain, or electrical fluctuation [7]. Under high-stakes operational pressure, uninterpretable alerts lead to either costly unnecessary line halts or dangerous alarm dismissal.</w:t>
      </w:r>
    </w:p>
    <w:p>
      <w:pPr>
        <w:ind w:firstLine="259"/>
        <w:jc w:val="both"/>
      </w:pPr>
      <w:r>
        <w:rPr>
          <w:rFonts w:ascii="Times New Roman" w:hAnsi="Times New Roman"/>
          <w:sz w:val="17"/>
        </w:rPr>
        <w:t>Furthermore, predictive maintenance is governed by profound misclassification cost asymmetry. Missing an actual machine failure (False Negative) leads to catastrophic spindle destruction, ruined workpieces, and collateral assembly line stoppage, with remediation costs often exceeding $10,000 to $100,000 [3]. Conversely, a false warning (False Positive) incurs only a brief 10-minute diagnostic inspection ($100–$500). Consequently, standard classification accuracy is an inappropriate metric under severe minority failure distributions, demanding optimization focused heavily on Failure Recall [6].</w:t>
      </w:r>
    </w:p>
    <w:p>
      <w:pPr>
        <w:ind w:firstLine="259"/>
        <w:jc w:val="both"/>
      </w:pPr>
      <w:r>
        <w:rPr>
          <w:rFonts w:ascii="Times New Roman" w:hAnsi="Times New Roman"/>
          <w:sz w:val="17"/>
        </w:rPr>
        <w:t>To address these challenges, we present X-Maintain, an Explainable AI predictive maintenance framework pairing high-recall gradient boosting with exact game-theoretic Shapley attributions (TreeSHAP) [2], [12].</w:t>
      </w:r>
    </w:p>
    <w:p>
      <w:pPr>
        <w:jc w:val="center"/>
      </w:pPr>
      <w:r>
        <w:rPr>
          <w:rFonts w:ascii="Times New Roman" w:hAnsi="Times New Roman"/>
          <w:b/>
          <w:sz w:val="19"/>
        </w:rPr>
        <w:t>II. LITERATURE REVIEW</w:t>
      </w:r>
    </w:p>
    <w:p>
      <w:r>
        <w:rPr>
          <w:rFonts w:ascii="Times New Roman" w:hAnsi="Times New Roman"/>
          <w:b/>
          <w:i/>
          <w:sz w:val="18"/>
        </w:rPr>
        <w:t>A. Predictive Maintenance in Industry 4.0</w:t>
      </w:r>
    </w:p>
    <w:p>
      <w:pPr>
        <w:ind w:firstLine="259"/>
        <w:jc w:val="both"/>
      </w:pPr>
      <w:r>
        <w:rPr>
          <w:rFonts w:ascii="Times New Roman" w:hAnsi="Times New Roman"/>
          <w:sz w:val="17"/>
        </w:rPr>
        <w:t>Predictive maintenance has transitioned from offline vibration spectral analysis toward real-time IoT telemetry analytics [3], [4]. Zonta et al. [4] reviewed over 100 industrial implementations, finding condition monitoring reduces unexpected outages by up to 45% and lowers maintenance costs by 25%. However, Dalzochio et al. [5] highlighted that industrial telemetry is frequently beset by severe class imbalance, where healthy states represent over 95% of recorded instances. In milling, failure mechanisms are governed by physical interactions: tool wear obeys Taylor's tool life model, power consumption relates to torque and angular velocity, and thermal dissipation governs heat transfer between workpiece and tool [1], [3].</w:t>
      </w:r>
    </w:p>
    <w:p>
      <w:r>
        <w:rPr>
          <w:rFonts w:ascii="Times New Roman" w:hAnsi="Times New Roman"/>
          <w:b/>
          <w:i/>
          <w:sz w:val="18"/>
        </w:rPr>
        <w:t>B. Machine Learning Algorithms for PdM</w:t>
      </w:r>
    </w:p>
    <w:p>
      <w:pPr>
        <w:ind w:firstLine="259"/>
        <w:jc w:val="both"/>
      </w:pPr>
      <w:r>
        <w:rPr>
          <w:rFonts w:ascii="Times New Roman" w:hAnsi="Times New Roman"/>
          <w:sz w:val="17"/>
        </w:rPr>
        <w:t>Ensemble learning consistently demonstrates superiority over standard linear and kernel classifiers on industrial tabular datasets [3]. Chen and Guestrin [8] established Extreme Gradient Boosting (XGBoost), employing second-order Taylor loss expansions and column subsampling. Breiman [9] formulated Random Forests, leveraging bootstrap aggregation to mitigate variance. Carvalho et al. [3] documented that tree ensembles achieve superior F1 scores on mechanical telemetry compared to support vector machines and neural networks, primarily because decision trees naturally capture step-function thresholds inherent to physical safety boundaries.</w:t>
      </w:r>
    </w:p>
    <w:p>
      <w:r>
        <w:rPr>
          <w:rFonts w:ascii="Times New Roman" w:hAnsi="Times New Roman"/>
          <w:b/>
          <w:i/>
          <w:sz w:val="18"/>
        </w:rPr>
        <w:t>C. Class Imbalance Mitigation Strategies</w:t>
      </w:r>
    </w:p>
    <w:p>
      <w:pPr>
        <w:ind w:firstLine="259"/>
        <w:jc w:val="both"/>
      </w:pPr>
      <w:r>
        <w:rPr>
          <w:rFonts w:ascii="Times New Roman" w:hAnsi="Times New Roman"/>
          <w:sz w:val="17"/>
        </w:rPr>
        <w:t>Under severe class imbalance, unweighted empirical risk minimization biases classifiers toward the majority class [10]. Chawla et al. [10] developed SMOTE, synthesizing minority points along k-nearest neighbors. However, synthetic interpolation in physical thermodynamic spaces risks producing unphysical sensor combinations. In contrast, cost-sensitive learning adjusts loss penalties via positive class weighting, penalizing minority false negatives without distorting feature geometry [8]. Post-hoc threshold tuning optimizes the classification boundary along the validation Precision-Recall curve.</w:t>
      </w:r>
    </w:p>
    <w:p>
      <w:r>
        <w:rPr>
          <w:rFonts w:ascii="Times New Roman" w:hAnsi="Times New Roman"/>
          <w:b/>
          <w:i/>
          <w:sz w:val="18"/>
        </w:rPr>
        <w:t>D. Explainable AI and Shapley Attributions</w:t>
      </w:r>
    </w:p>
    <w:p>
      <w:pPr>
        <w:ind w:firstLine="259"/>
        <w:jc w:val="both"/>
      </w:pPr>
      <w:r>
        <w:rPr>
          <w:rFonts w:ascii="Times New Roman" w:hAnsi="Times New Roman"/>
          <w:sz w:val="17"/>
        </w:rPr>
        <w:t>Ribeiro et al. [11] proposed LIME, using local surrogate linear approximations. However, LIME lacks mathematical consistency and exhibits high sampling variance across identical inputs. Lundberg and Lee [2] formulated SHAP, grounded in cooperative game theory [2]. Lundberg et al. [12] introduced TreeSHAP, enabling polynomial-time exact computation of Shapley values for decision trees. Steurtewagen and Van den Poel [6] and Gawde et al. [7] demonstrated that SHAP reveals critical degradation thresholds in rotating machinery, bridging the trust gap for operations personnel.</w:t>
      </w:r>
    </w:p>
    <w:p>
      <w:pPr>
        <w:jc w:val="center"/>
      </w:pPr>
      <w:r>
        <w:rPr>
          <w:rFonts w:ascii="Times New Roman" w:hAnsi="Times New Roman"/>
          <w:b/>
          <w:sz w:val="19"/>
        </w:rPr>
        <w:t>III. DATASET AND PROBLEM FORMULATION</w:t>
      </w:r>
    </w:p>
    <w:p>
      <w:r>
        <w:rPr>
          <w:rFonts w:ascii="Times New Roman" w:hAnsi="Times New Roman"/>
          <w:b/>
          <w:i/>
          <w:sz w:val="18"/>
        </w:rPr>
        <w:t>A. Dataset Overview and Synthetic Origin</w:t>
      </w:r>
    </w:p>
    <w:p>
      <w:pPr>
        <w:ind w:firstLine="259"/>
        <w:jc w:val="both"/>
      </w:pPr>
      <w:r>
        <w:rPr>
          <w:rFonts w:ascii="Times New Roman" w:hAnsi="Times New Roman"/>
          <w:sz w:val="17"/>
        </w:rPr>
        <w:t>We utilize the AI4I 2020 Predictive Maintenance Dataset [1], hosted by the UCI Machine Learning Repository. The dataset contains 10,000 operational records reflecting synthetic milling machine telemetry generated from physical simulation models [1]. AI4I 2020 is a synthetic benchmark designed to mirror industrial cutting dynamics without sensor dropouts. Each record describes an individual machining process cycle for a tool workpiece.</w:t>
      </w:r>
    </w:p>
    <w:p>
      <w:r>
        <w:rPr>
          <w:rFonts w:ascii="Times New Roman" w:hAnsi="Times New Roman"/>
          <w:b/>
          <w:i/>
          <w:sz w:val="18"/>
        </w:rPr>
        <w:t>B. Physical Failure Modes</w:t>
      </w:r>
    </w:p>
    <w:p>
      <w:pPr>
        <w:ind w:firstLine="259"/>
        <w:jc w:val="both"/>
      </w:pPr>
      <w:r>
        <w:rPr>
          <w:rFonts w:ascii="Times New Roman" w:hAnsi="Times New Roman"/>
          <w:sz w:val="17"/>
        </w:rPr>
        <w:t>The simulation encodes five distinct physical failure mechanisms [1]: 1) Tool Wear Failure (TWF): cutter wear exceeding 200–240 minutes; 2) Heat Dissipation Failure (HDF): temperature difference Delta T &lt; 8.6 K with spindle speed &lt; 1,380 rpm; 3) Power Failure (PWF): mechanical power P = tau * omega outside 3,500 W to 9,000 W; 4) Overstrain Failure (OSF): torque times tool wear exceeding variant thresholds (11,000 to 13,000 min*Nm); 5) Random Failure (RNF): 0.1% background defects.</w:t>
      </w:r>
    </w:p>
    <w:p>
      <w:r>
        <w:rPr>
          <w:rFonts w:ascii="Times New Roman" w:hAnsi="Times New Roman"/>
          <w:b/>
          <w:i/>
          <w:sz w:val="18"/>
        </w:rPr>
        <w:t>C. Target Leakage Prevention</w:t>
      </w:r>
    </w:p>
    <w:p>
      <w:pPr>
        <w:ind w:firstLine="259"/>
        <w:jc w:val="both"/>
      </w:pPr>
      <w:r>
        <w:rPr>
          <w:rFonts w:ascii="Times New Roman" w:hAnsi="Times New Roman"/>
          <w:sz w:val="17"/>
        </w:rPr>
        <w:t>The raw dataset records the five failure-mode indicators (TWF, HDF, PWF, OSF, RNF). Crucially, the target variable is a logical union of these modes: Machine failure = TWF or HDF or PWF or OSF or RNF. Retaining any failure-mode column provides the model with direct target leakage, trivially inflating accuracy to 99.9% while rendering the model useless for proactive forecasting. X-Maintain strictly purges all five failure mode columns as well as arbitrary primary identifiers (UDI, Product ID).</w:t>
      </w:r>
    </w:p>
    <w:p>
      <w:pPr>
        <w:jc w:val="center"/>
      </w:pPr>
      <w:r>
        <w:rPr>
          <w:rFonts w:ascii="Times New Roman" w:hAnsi="Times New Roman"/>
          <w:b/>
          <w:sz w:val="19"/>
        </w:rPr>
        <w:t>IV. PROPOSED X-MAINTAIN FRAMEWORK</w:t>
      </w:r>
    </w:p>
    <w:p>
      <w:pPr>
        <w:ind w:firstLine="259"/>
        <w:jc w:val="both"/>
      </w:pPr>
      <w:r>
        <w:rPr>
          <w:rFonts w:ascii="Times New Roman" w:hAnsi="Times New Roman"/>
          <w:sz w:val="17"/>
        </w:rPr>
        <w:t>The X-Maintain framework comprises five modular layers: 1) Ingestion and Leakage Purge, 2) Stratified Preprocessing Pipeline, 3) Cost-Sensitive Multi-Model Training, 4) Game-Theoretic TreeSHAP Attribution, and 5) Interactive Streamlit Deployment with What-If Sensitivity Simulation. Preprocessing enforces stratified 70/10/20 partitioning (6,999 train, 1,000 val, 2,001 test). StandardScaler is fitted exclusively on training numerical features. The categorical Type variable is one-hot encoded into three binary indicators.</w:t>
      </w:r>
    </w:p>
    <w:p>
      <w:pPr>
        <w:jc w:val="center"/>
      </w:pPr>
      <w:r>
        <w:rPr>
          <w:rFonts w:ascii="Times New Roman" w:hAnsi="Times New Roman"/>
          <w:b/>
          <w:sz w:val="19"/>
        </w:rPr>
        <w:t>V. MACHINE LEARNING MODELS</w:t>
      </w:r>
    </w:p>
    <w:p>
      <w:pPr>
        <w:ind w:firstLine="259"/>
        <w:jc w:val="both"/>
      </w:pPr>
      <w:r>
        <w:rPr>
          <w:rFonts w:ascii="Times New Roman" w:hAnsi="Times New Roman"/>
          <w:sz w:val="17"/>
        </w:rPr>
        <w:t>Three models are formulated: 1) Balanced Logistic Regression establishing linear baseline; 2) Balanced Random Forest (200 trees); 3) Cost-Sensitive XGBoost configured with scale_pos_weight = 28.53 (6,762 negative / 237 positive training instances). Model selection is governed by a domain utility metric: Utility = 0.4*Recall + 0.3*F1 + 0.3*ROC-AUC.</w:t>
      </w:r>
    </w:p>
    <w:p>
      <w:pPr>
        <w:jc w:val="center"/>
      </w:pPr>
      <w:r>
        <w:rPr>
          <w:rFonts w:ascii="Times New Roman" w:hAnsi="Times New Roman"/>
          <w:b/>
          <w:sz w:val="19"/>
        </w:rPr>
        <w:t>VI. EXPERIMENTAL RESULTS AND BENCHMARK</w:t>
      </w:r>
    </w:p>
    <w:p>
      <w:pPr>
        <w:ind w:firstLine="259"/>
        <w:jc w:val="both"/>
      </w:pPr>
      <w:r>
        <w:rPr>
          <w:rFonts w:ascii="Times New Roman" w:hAnsi="Times New Roman"/>
          <w:sz w:val="17"/>
        </w:rPr>
        <w:t>On the held-out test split (N = 2,001, 68 true breakdowns), XGBoost achieves the top selection score (0.8064), balancing 73.53% Recall (50/68 failures captured) with 73.53% Precision (only 18 false alarms), 98.20% accuracy, 0.9724 ROC-AUC, and 0.7934 PR-AUC. In comparison, Logistic Regression achieves 79.41% recall but precision collapses to 14.67% (314 false alarms). Random Forest achieves 87.10% precision but misses over 60% of true failure events (Recall = 39.71%, 41 missed failures).</w:t>
      </w:r>
    </w:p>
    <w:p>
      <w:pPr>
        <w:jc w:val="center"/>
      </w:pPr>
      <w:r>
        <w:rPr>
          <w:rFonts w:ascii="Times New Roman" w:hAnsi="Times New Roman"/>
          <w:b/>
          <w:sz w:val="19"/>
        </w:rPr>
        <w:t>VII. SHAP EXPLAINABILITY AND SENSITIVITY ENGINE</w:t>
      </w:r>
    </w:p>
    <w:p>
      <w:pPr>
        <w:ind w:firstLine="259"/>
        <w:jc w:val="both"/>
      </w:pPr>
      <w:r>
        <w:rPr>
          <w:rFonts w:ascii="Times New Roman" w:hAnsi="Times New Roman"/>
          <w:sz w:val="17"/>
        </w:rPr>
        <w:t>TreeSHAP analysis confirms Torque (mean |SHAP| = 3.74) and Tool Wear (3.06) dominate failure predictions, followed by Rotational Speed (2.07) and Air Temperature (2.01). Beeswarm and dependence plots show non-linear inflection: torque above 50 Nm and tool wear above 200 min sharply escalate failure log-odds. Local waterfall attributions for breakdown instance #11 decompose log-odds from -3.76 base expectation to +11.49 prediction, with Torque (+7.37) and Tool Wear (+4.19) as dominant drivers.</w:t>
      </w:r>
    </w:p>
    <w:p>
      <w:pPr>
        <w:jc w:val="center"/>
      </w:pPr>
      <w:r>
        <w:rPr>
          <w:rFonts w:ascii="Times New Roman" w:hAnsi="Times New Roman"/>
          <w:b/>
          <w:sz w:val="19"/>
        </w:rPr>
        <w:t>VIII. SOFTWARE VALIDATION AND TESTING</w:t>
      </w:r>
    </w:p>
    <w:p>
      <w:pPr>
        <w:ind w:firstLine="259"/>
        <w:jc w:val="both"/>
      </w:pPr>
      <w:r>
        <w:rPr>
          <w:rFonts w:ascii="Times New Roman" w:hAnsi="Times New Roman"/>
          <w:sz w:val="17"/>
        </w:rPr>
        <w:t>The system is verified through an automated 20-test Pytest suite covering preprocessing integrity, prediction shape and probability bounds [0, 1], and TreeExplainer tensor operations, passing 20/20 tests in 3.21 seconds.</w:t>
      </w:r>
    </w:p>
    <w:p>
      <w:pPr>
        <w:jc w:val="center"/>
      </w:pPr>
      <w:r>
        <w:rPr>
          <w:rFonts w:ascii="Times New Roman" w:hAnsi="Times New Roman"/>
          <w:b/>
          <w:sz w:val="19"/>
        </w:rPr>
        <w:t>IX. CONCLUSION</w:t>
      </w:r>
    </w:p>
    <w:p>
      <w:pPr>
        <w:ind w:firstLine="259"/>
        <w:jc w:val="both"/>
      </w:pPr>
      <w:r>
        <w:rPr>
          <w:rFonts w:ascii="Times New Roman" w:hAnsi="Times New Roman"/>
          <w:sz w:val="17"/>
        </w:rPr>
        <w:t>X-Maintain demonstrates that combining leakage-free preprocessing, cost-sensitive gradient boosting, and exact TreeSHAP attribution produces a dependable, interpretable predictive maintenance framework suitable for high-stakes industrial deployments.</w:t>
      </w:r>
    </w:p>
    <w:p>
      <w:pPr>
        <w:jc w:val="center"/>
      </w:pPr>
      <w:r>
        <w:rPr>
          <w:rFonts w:ascii="Times New Roman" w:hAnsi="Times New Roman"/>
          <w:b/>
          <w:sz w:val="19"/>
        </w:rPr>
        <w:t>REFERENCES</w:t>
      </w:r>
    </w:p>
    <w:p>
      <w:pPr>
        <w:jc w:val="both"/>
      </w:pPr>
      <w:r>
        <w:rPr>
          <w:rFonts w:ascii="Times New Roman" w:hAnsi="Times New Roman"/>
          <w:sz w:val="15"/>
        </w:rPr>
        <w:t>[1] S. Matzka, "Explainable Artificial Intelligence for Predictive Maintenance Applications," in Proc. IEEE AI4I, 2020, pp. 69–74.</w:t>
      </w:r>
    </w:p>
    <w:p>
      <w:pPr>
        <w:jc w:val="both"/>
      </w:pPr>
      <w:r>
        <w:rPr>
          <w:rFonts w:ascii="Times New Roman" w:hAnsi="Times New Roman"/>
          <w:sz w:val="15"/>
        </w:rPr>
        <w:t>[2] S. M. Lundberg and S.-I. Lee, "A Unified Approach to Interpreting Model Predictions," in Proc. NeurIPS, 2017, pp. 4765–4774.</w:t>
      </w:r>
    </w:p>
    <w:p>
      <w:pPr>
        <w:jc w:val="both"/>
      </w:pPr>
      <w:r>
        <w:rPr>
          <w:rFonts w:ascii="Times New Roman" w:hAnsi="Times New Roman"/>
          <w:sz w:val="15"/>
        </w:rPr>
        <w:t>[3] T. P. Carvalho et al., "A systematic literature review of machine learning methods applied to predictive maintenance," Comput. Ind. Eng., vol. 137, p. 106024, 2019.</w:t>
      </w:r>
    </w:p>
    <w:p>
      <w:pPr>
        <w:jc w:val="both"/>
      </w:pPr>
      <w:r>
        <w:rPr>
          <w:rFonts w:ascii="Times New Roman" w:hAnsi="Times New Roman"/>
          <w:sz w:val="15"/>
        </w:rPr>
        <w:t>[4] T. Zonta et al., "Predictive maintenance in the Industry 4.0: A systematic literature review," Comput. Ind. Eng., vol. 150, p. 106889, 2020.</w:t>
      </w:r>
    </w:p>
    <w:p>
      <w:pPr>
        <w:jc w:val="both"/>
      </w:pPr>
      <w:r>
        <w:rPr>
          <w:rFonts w:ascii="Times New Roman" w:hAnsi="Times New Roman"/>
          <w:sz w:val="15"/>
        </w:rPr>
        <w:t>[5] J. Dalzochio et al., "Machine learning and reasoning for predictive maintenance in Industry 4.0: Current status and challenges," Comput. Ind., vol. 123, p. 103298, 2020.</w:t>
      </w:r>
    </w:p>
    <w:p>
      <w:pPr>
        <w:jc w:val="both"/>
      </w:pPr>
      <w:r>
        <w:rPr>
          <w:rFonts w:ascii="Times New Roman" w:hAnsi="Times New Roman"/>
          <w:sz w:val="15"/>
        </w:rPr>
        <w:t>[6] E. Steurtewagen and D. Van den Poel, "Adding interpretability to predictive maintenance by machine learning on sensor data," Comput. Ind. Eng., vol. 152, p. 107047, 2021.</w:t>
      </w:r>
    </w:p>
    <w:p>
      <w:pPr>
        <w:jc w:val="both"/>
      </w:pPr>
      <w:r>
        <w:rPr>
          <w:rFonts w:ascii="Times New Roman" w:hAnsi="Times New Roman"/>
          <w:sz w:val="15"/>
        </w:rPr>
        <w:t>[7] P. Gawde et al., "Explainable Predictive Maintenance of Rotating Machines Using LIME, SHAP, PDP, ICE," in Proc. IEEE BigData, 2021, pp. 3122–3131.</w:t>
      </w:r>
    </w:p>
    <w:p>
      <w:pPr>
        <w:jc w:val="both"/>
      </w:pPr>
      <w:r>
        <w:rPr>
          <w:rFonts w:ascii="Times New Roman" w:hAnsi="Times New Roman"/>
          <w:sz w:val="15"/>
        </w:rPr>
        <w:t>[8] T. Chen and C. Guestrin, "XGBoost: A Scalable Tree Boosting System," in Proc. ACM KDD, 2016, pp. 785–794.</w:t>
      </w:r>
    </w:p>
    <w:p>
      <w:pPr>
        <w:jc w:val="both"/>
      </w:pPr>
      <w:r>
        <w:rPr>
          <w:rFonts w:ascii="Times New Roman" w:hAnsi="Times New Roman"/>
          <w:sz w:val="15"/>
        </w:rPr>
        <w:t>[9] L. Breiman, "Random Forests," Mach. Learn., vol. 45, no. 1, pp. 5–32, 2001.</w:t>
      </w:r>
    </w:p>
    <w:p>
      <w:pPr>
        <w:jc w:val="both"/>
      </w:pPr>
      <w:r>
        <w:rPr>
          <w:rFonts w:ascii="Times New Roman" w:hAnsi="Times New Roman"/>
          <w:sz w:val="15"/>
        </w:rPr>
        <w:t>[10] N. V. Chawla et al., "SMOTE: Synthetic Minority Over-sampling Technique," J. Artif. Intell. Res., vol. 16, pp. 321–357, 2002.</w:t>
      </w:r>
    </w:p>
    <w:p>
      <w:pPr>
        <w:jc w:val="both"/>
      </w:pPr>
      <w:r>
        <w:rPr>
          <w:rFonts w:ascii="Times New Roman" w:hAnsi="Times New Roman"/>
          <w:sz w:val="15"/>
        </w:rPr>
        <w:t>[11] M. T. Ribeiro et al., "Why Should I Trust You?: Explaining the Predictions of Any Classifier," in Proc. ACM KDD, 2016, pp. 1135–1144.</w:t>
      </w:r>
    </w:p>
    <w:p>
      <w:pPr>
        <w:jc w:val="both"/>
      </w:pPr>
      <w:r>
        <w:rPr>
          <w:rFonts w:ascii="Times New Roman" w:hAnsi="Times New Roman"/>
          <w:sz w:val="15"/>
        </w:rPr>
        <w:t>[12] S. M. Lundberg et al., "From local explanations to global understanding with explainable AI for trees," Nat. Mach. Intell., vol. 2, pp. 56–67, 2020.</w:t>
      </w:r>
    </w:p>
    <w:sectPr w:rsidR="00FC693F" w:rsidRPr="0006063C" w:rsidSect="00034616">
      <w:pgSz w:w="12240" w:h="15840"/>
      <w:pgMar w:top="720" w:right="720" w:bottom="720" w:left="72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