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Lab Report: Evaluating Synthetic Data Quality using Bivariate Analysis</w:t>
      </w:r>
    </w:p>
    <w:p>
      <w:r>
        <w:t>Student Name: [Your Name]</w:t>
      </w:r>
    </w:p>
    <w:p>
      <w:r>
        <w:t>Course / Module: Data Science / Machine Learning</w:t>
      </w:r>
    </w:p>
    <w:p>
      <w:r>
        <w:t>Topic: Synthetic Data Quality Assessment — Bivariate Analysis</w:t>
      </w:r>
    </w:p>
    <w:p>
      <w:r>
        <w:t>Dataset: Wisconsin Breast Cancer Dataset</w:t>
      </w:r>
    </w:p>
    <w:p>
      <w:pPr>
        <w:pStyle w:val="Heading2"/>
      </w:pPr>
      <w:r>
        <w:t>1. Objective</w:t>
      </w:r>
    </w:p>
    <w:p>
      <w:r>
        <w:t>The objective of this experiment is to evaluate the quality and realism of synthetic data generated from the Wisconsin Breast Cancer dataset using bivariate statistical analysis. Unlike univariate methods, which assess individual feature distributions, bivariate analysis examines relationships between feature pairs — ensuring that synthetic data preserves structural and diagnostic relationships present in real data.</w:t>
      </w:r>
    </w:p>
    <w:p>
      <w:pPr>
        <w:pStyle w:val="Heading2"/>
      </w:pPr>
      <w:r>
        <w:t>2. Background Theory</w:t>
      </w:r>
    </w:p>
    <w:p>
      <w:pPr>
        <w:pStyle w:val="Heading3"/>
      </w:pPr>
      <w:r>
        <w:t>Synthetic Data</w:t>
      </w:r>
    </w:p>
    <w:p>
      <w:r>
        <w:t>Synthetic data are artificially generated samples that imitate real data patterns without directly exposing sensitive information. In healthcare, they enable model development while maintaining privacy.</w:t>
      </w:r>
    </w:p>
    <w:p>
      <w:pPr>
        <w:pStyle w:val="Heading3"/>
      </w:pPr>
      <w:r>
        <w:t>Univariate vs. Bivariate Evaluation</w:t>
      </w:r>
    </w:p>
    <w:p>
      <w:r>
        <w:t>Univariate analysis assesses each feature’s individual distribution (e.g., means, histograms). Bivariate analysis tests whether the relationships between variables — correlations or class-conditional structures — are preserved. If synthetic data distort these relationships, downstream models will behave inconsistently with the real data.</w:t>
      </w:r>
    </w:p>
    <w:p>
      <w:pPr>
        <w:pStyle w:val="Heading2"/>
      </w:pPr>
      <w:r>
        <w:t>3. Metrics Used</w:t>
      </w:r>
    </w:p>
    <w:tbl>
      <w:tblPr>
        <w:tblW w:type="auto" w:w="0"/>
        <w:tblLook w:firstColumn="1" w:firstRow="1" w:lastColumn="0" w:lastRow="0" w:noHBand="0" w:noVBand="1" w:val="04A0"/>
      </w:tblPr>
      <w:tblGrid>
        <w:gridCol w:w="2880"/>
        <w:gridCol w:w="2880"/>
        <w:gridCol w:w="2880"/>
      </w:tblGrid>
      <w:tr>
        <w:tc>
          <w:tcPr>
            <w:tcW w:type="dxa" w:w="2880"/>
          </w:tcPr>
          <w:p>
            <w:r>
              <w:t>Relationship Type</w:t>
            </w:r>
          </w:p>
        </w:tc>
        <w:tc>
          <w:tcPr>
            <w:tcW w:type="dxa" w:w="2880"/>
          </w:tcPr>
          <w:p>
            <w:r>
              <w:t>Metric</w:t>
            </w:r>
          </w:p>
        </w:tc>
        <w:tc>
          <w:tcPr>
            <w:tcW w:type="dxa" w:w="2880"/>
          </w:tcPr>
          <w:p>
            <w:r>
              <w:t>Description</w:t>
            </w:r>
          </w:p>
        </w:tc>
      </w:tr>
      <w:tr>
        <w:tc>
          <w:tcPr>
            <w:tcW w:type="dxa" w:w="2880"/>
          </w:tcPr>
          <w:p>
            <w:r>
              <w:t>Numeric ↔ Numeric</w:t>
            </w:r>
          </w:p>
        </w:tc>
        <w:tc>
          <w:tcPr>
            <w:tcW w:type="dxa" w:w="2880"/>
          </w:tcPr>
          <w:p>
            <w:r>
              <w:t>Δρ (Delta Correlation)</w:t>
            </w:r>
          </w:p>
        </w:tc>
        <w:tc>
          <w:tcPr>
            <w:tcW w:type="dxa" w:w="2880"/>
          </w:tcPr>
          <w:p>
            <w:r>
              <w:t>Absolute difference in Pearson correlations between real and synthetic data for each feature pair.</w:t>
            </w:r>
          </w:p>
        </w:tc>
      </w:tr>
      <w:tr>
        <w:tc>
          <w:tcPr>
            <w:tcW w:type="dxa" w:w="2880"/>
          </w:tcPr>
          <w:p>
            <w:r>
              <w:t>Numeric ↔ Categorical</w:t>
            </w:r>
          </w:p>
        </w:tc>
        <w:tc>
          <w:tcPr>
            <w:tcW w:type="dxa" w:w="2880"/>
          </w:tcPr>
          <w:p>
            <w:r>
              <w:t>ΔW (Delta Wasserstein Distance)</w:t>
            </w:r>
          </w:p>
        </w:tc>
        <w:tc>
          <w:tcPr>
            <w:tcW w:type="dxa" w:w="2880"/>
          </w:tcPr>
          <w:p>
            <w:r>
              <w:t>Difference in class-separation strength (malignant vs benign) between real and synthetic distributions.</w:t>
            </w:r>
          </w:p>
        </w:tc>
      </w:tr>
    </w:tbl>
    <w:p>
      <w:r>
        <w:t>High |Δρ| or |ΔW| values indicate a loss of structural or diagnostic fidelity.</w:t>
      </w:r>
    </w:p>
    <w:p>
      <w:pPr>
        <w:pStyle w:val="Heading2"/>
      </w:pPr>
      <w:r>
        <w:t>4. Methodology</w:t>
      </w:r>
    </w:p>
    <w:p>
      <w:r>
        <w:t xml:space="preserve">1. Dataset Preparation: Both the real and synthetic datasets were aligned to have identical feature columns. The 'diagnosis' column was treated as categorical (M = malignant, B = benign). </w:t>
        <w:br/>
        <w:t xml:space="preserve">2. Metric Computation: For numeric–numeric pairs: Pearson correlation matrices were computed, and |Δρ| calculated. For numeric–categorical relationships: class-conditional Wasserstein distances were computed and their absolute difference |ΔW| recorded. </w:t>
        <w:br/>
        <w:t>3. Ranking and Visualization: Feature pairs were ranked by |Δρ| and individual features by |ΔW|. KDE and scatter plots were used for interpretability.</w:t>
      </w:r>
    </w:p>
    <w:p>
      <w:pPr>
        <w:pStyle w:val="Heading2"/>
      </w:pPr>
      <w:r>
        <w:t>5. Results</w:t>
      </w:r>
    </w:p>
    <w:p>
      <w:pPr>
        <w:pStyle w:val="Heading3"/>
      </w:pPr>
      <w:r>
        <w:t>(a) Correlation Structure (Numeric ↔ Numeric)</w:t>
      </w:r>
    </w:p>
    <w:p>
      <w:r>
        <w:t>Large |Δρ| values (&gt;0.9) indicate that correlation patterns among tumor size features (radius, area, perimeter) were not preserved in the synthetic data. In real data, these features exhibit strong positive correlations, while the synthetic data failed to replicate these relationships accurately.</w:t>
      </w:r>
    </w:p>
    <w:p>
      <w:pPr>
        <w:pStyle w:val="Heading3"/>
      </w:pPr>
      <w:r>
        <w:t>(b) Diagnosis Separation (Numeric ↔ Categorical)</w:t>
      </w:r>
    </w:p>
    <w:p>
      <w:r>
        <w:t>The features with the highest ΔW (area and perimeter measures) show that the difference between malignant and benign distributions in the synthetic dataset deviates substantially from the real data. In particular, 'area_worst' and 'area_mean' — both key diagnostic indicators — lost much of their real-world separation, explaining the extremely high ΔW values.</w:t>
      </w:r>
    </w:p>
    <w:p>
      <w:pPr>
        <w:pStyle w:val="Heading2"/>
      </w:pPr>
      <w:r>
        <w:t>6. Visualization Highlights</w:t>
      </w:r>
    </w:p>
    <w:p>
      <w:r>
        <w:t>- Correlation Heatmaps: Showed strong, consistent correlations among geometric features in real data but irregular or weaker ones in synthetic data.</w:t>
        <w:br/>
        <w:t>- Scatter Plots: Example: perimeter_mean vs area_mean — the real dataset showed a near-linear trend, while the synthetic dataset displayed greater dispersion.</w:t>
        <w:br/>
        <w:t>- KDE Plots (Class-Conditional): The distributions of malignant and benign samples overlapped significantly in the synthetic data, confirming diagnostic drift.</w:t>
      </w:r>
    </w:p>
    <w:p>
      <w:pPr>
        <w:pStyle w:val="Heading2"/>
      </w:pPr>
      <w:r>
        <w:t>7. Discussion</w:t>
      </w:r>
    </w:p>
    <w:p>
      <w:r>
        <w:t>The results reveal that the synthetic dataset replicates individual feature distributions reasonably well but fails to preserve pairwise dependencies and class separations critical for diagnostic accuracy. Features related to tumor size and shape were the most affected, leading to high Δρ and ΔW values. This suggests that the synthetic generator lacked conditional awareness — producing data that appear realistic but are structurally inconsistent.</w:t>
      </w:r>
    </w:p>
    <w:p>
      <w:pPr>
        <w:pStyle w:val="Heading2"/>
      </w:pPr>
      <w:r>
        <w:t>8. Recommendations</w:t>
      </w:r>
    </w:p>
    <w:p>
      <w:r>
        <w:t>1. Conditional Synthesis: Train the generator conditioned on diagnosis to maintain class-dependent feature structures.</w:t>
        <w:br/>
        <w:t>2. Correlation-Aware Models: Implement copula-based or correlation-constrained synthesis (e.g., CopulaGAN, CTGAN).</w:t>
        <w:br/>
        <w:t>3. Post-Generation Calibration: Adjust the synthetic correlation matrix to better align with real-world relationships.</w:t>
        <w:br/>
        <w:t>4. Extended Validation: Incorporate multivariate fidelity checks and TSTR experiments to assess model behavior.</w:t>
      </w:r>
    </w:p>
    <w:p>
      <w:pPr>
        <w:pStyle w:val="Heading2"/>
      </w:pPr>
      <w:r>
        <w:t>9. Conclusion</w:t>
      </w:r>
    </w:p>
    <w:p>
      <w:r>
        <w:t>Bivariate analysis demonstrates that while the synthetic dataset maintains reasonable univariate fidelity, it fails to preserve pairwise and class-conditional relationships. The loss of correlation among tumor geometry features and the collapse of diagnostic separation highlight a limitation in current synthesis quality. Further refinement is required before the synthetic dataset can serve as a reliable proxy for diagnostic modeling.</w:t>
      </w:r>
    </w:p>
    <w:p>
      <w:pPr>
        <w:pStyle w:val="Heading2"/>
      </w:pPr>
      <w:r>
        <w:t>10. Key Takeaways</w:t>
      </w:r>
    </w:p>
    <w:tbl>
      <w:tblPr>
        <w:tblW w:type="auto" w:w="0"/>
        <w:tblLook w:firstColumn="1" w:firstRow="1" w:lastColumn="0" w:lastRow="0" w:noHBand="0" w:noVBand="1" w:val="04A0"/>
      </w:tblPr>
      <w:tblGrid>
        <w:gridCol w:w="4320"/>
        <w:gridCol w:w="4320"/>
      </w:tblGrid>
      <w:tr>
        <w:tc>
          <w:tcPr>
            <w:tcW w:type="dxa" w:w="4320"/>
          </w:tcPr>
          <w:p>
            <w:r>
              <w:t>Concept</w:t>
            </w:r>
          </w:p>
        </w:tc>
        <w:tc>
          <w:tcPr>
            <w:tcW w:type="dxa" w:w="4320"/>
          </w:tcPr>
          <w:p>
            <w:r>
              <w:t>Description</w:t>
            </w:r>
          </w:p>
        </w:tc>
      </w:tr>
      <w:tr>
        <w:tc>
          <w:tcPr>
            <w:tcW w:type="dxa" w:w="4320"/>
          </w:tcPr>
          <w:p>
            <w:r>
              <w:t>Δρ (Delta Correlation)</w:t>
            </w:r>
          </w:p>
        </w:tc>
        <w:tc>
          <w:tcPr>
            <w:tcW w:type="dxa" w:w="4320"/>
          </w:tcPr>
          <w:p>
            <w:r>
              <w:t>Measures loss of relationship strength between numeric features.</w:t>
            </w:r>
          </w:p>
        </w:tc>
      </w:tr>
      <w:tr>
        <w:tc>
          <w:tcPr>
            <w:tcW w:type="dxa" w:w="4320"/>
          </w:tcPr>
          <w:p>
            <w:r>
              <w:t>ΔW (Delta Wasserstein)</w:t>
            </w:r>
          </w:p>
        </w:tc>
        <w:tc>
          <w:tcPr>
            <w:tcW w:type="dxa" w:w="4320"/>
          </w:tcPr>
          <w:p>
            <w:r>
              <w:t>Measures change in malignant–benign class separation for each feature.</w:t>
            </w:r>
          </w:p>
        </w:tc>
      </w:tr>
      <w:tr>
        <w:tc>
          <w:tcPr>
            <w:tcW w:type="dxa" w:w="4320"/>
          </w:tcPr>
          <w:p>
            <w:r>
              <w:t>High Δρ / ΔW</w:t>
            </w:r>
          </w:p>
        </w:tc>
        <w:tc>
          <w:tcPr>
            <w:tcW w:type="dxa" w:w="4320"/>
          </w:tcPr>
          <w:p>
            <w:r>
              <w:t>Indicates structural or diagnostic drift in synthetic data.</w:t>
            </w:r>
          </w:p>
        </w:tc>
      </w:tr>
      <w:tr>
        <w:tc>
          <w:tcPr>
            <w:tcW w:type="dxa" w:w="4320"/>
          </w:tcPr>
          <w:p>
            <w:r>
              <w:t>Goal</w:t>
            </w:r>
          </w:p>
        </w:tc>
        <w:tc>
          <w:tcPr>
            <w:tcW w:type="dxa" w:w="4320"/>
          </w:tcPr>
          <w:p>
            <w:r>
              <w:t>Achieve low Δρ and ΔW to preserve both realism and relational integrity.</w:t>
            </w:r>
          </w:p>
        </w:tc>
      </w:tr>
    </w:tbl>
    <w:p>
      <w:pPr>
        <w:pStyle w:val="Heading2"/>
      </w:pPr>
      <w:r>
        <w:t>Appendix A — How ΔWasserstein is Calculated</w:t>
      </w:r>
    </w:p>
    <w:p>
      <w:r>
        <w:t>For each numeric feature (e.g., area_worst):</w:t>
        <w:br/>
        <w:t>1. Separate real data into two classes (malignant, benign).</w:t>
        <w:br/>
        <w:t>2. Compute Wasserstein distance between the two class distributions in the real data.</w:t>
        <w:br/>
        <w:t>3. Compute the same distance in the synthetic data.</w:t>
        <w:br/>
        <w:t>4. Calculate the absolute difference ΔW = |W_real - W_synthetic|.</w:t>
        <w:br/>
        <w:t>5. The result (e.g., 661.37 for area_worst) represents how much the class separation changed between real and synthetic datasets.</w:t>
      </w:r>
    </w:p>
    <w:p>
      <w:pPr>
        <w:pStyle w:val="Heading2"/>
      </w:pPr>
      <w:r>
        <w:t>Appendix B — Figure Interpretation</w:t>
      </w:r>
    </w:p>
    <w:p>
      <w:r>
        <w:t>Figure: area_mean by Diagnosis — Real vs Synthetic</w:t>
        <w:br/>
        <w:t>The solid curves represent real data, while dashed curves represent synthetic data. Blue curves correspond to one diagnosis group (benign) and orange curves to the other (malignant). In the real dataset, the two distributions are clearly separated — benign tumors have smaller mean areas, and malignant tumors have larger mean areas. In the synthetic dataset, both curves overlap heavily, indicating that the model failed to replicate diagnostic separation. This overlap explains the large ΔWasserstein value (338.02), reflecting a loss of clinical signal fidelity in the synthetic feature distribution.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