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5B91" w14:textId="43437DC1" w:rsidR="002913E4" w:rsidRPr="00FC4A92" w:rsidRDefault="002913E4" w:rsidP="002913E4">
      <w:pPr>
        <w:spacing w:after="300"/>
        <w:jc w:val="center"/>
        <w:rPr>
          <w:rFonts w:ascii="Times New Roman" w:hAnsi="Times New Roman" w:cs="Times New Roman"/>
          <w:b/>
          <w:bCs/>
        </w:rPr>
      </w:pPr>
    </w:p>
    <w:p w14:paraId="0BDF1C1E" w14:textId="21223B46" w:rsidR="00104F86" w:rsidRPr="002913E4" w:rsidRDefault="002913E4" w:rsidP="002913E4">
      <w:pPr>
        <w:spacing w:after="600"/>
        <w:jc w:val="center"/>
        <w:rPr>
          <w:rFonts w:ascii="Times New Roman" w:hAnsi="Times New Roman" w:cs="Times New Roman"/>
          <w:b/>
          <w:bCs/>
          <w:sz w:val="32"/>
          <w:szCs w:val="32"/>
        </w:rPr>
      </w:pPr>
      <w:r w:rsidRPr="002913E4">
        <w:rPr>
          <w:rFonts w:ascii="Times New Roman" w:hAnsi="Times New Roman" w:cs="Times New Roman"/>
          <w:b/>
          <w:bCs/>
          <w:i/>
          <w:iCs/>
          <w:sz w:val="32"/>
          <w:szCs w:val="32"/>
        </w:rPr>
        <w:t>MSc Data Science — University of Hertfordshire</w:t>
      </w:r>
    </w:p>
    <w:p w14:paraId="0946680B" w14:textId="77777777" w:rsidR="00104F86" w:rsidRPr="002913E4" w:rsidRDefault="0015264C">
      <w:pPr>
        <w:jc w:val="center"/>
        <w:rPr>
          <w:rFonts w:ascii="Times New Roman" w:hAnsi="Times New Roman" w:cs="Times New Roman"/>
          <w:sz w:val="40"/>
          <w:szCs w:val="40"/>
        </w:rPr>
      </w:pPr>
      <w:r w:rsidRPr="002913E4">
        <w:rPr>
          <w:rFonts w:ascii="Times New Roman" w:hAnsi="Times New Roman" w:cs="Times New Roman"/>
          <w:b/>
          <w:sz w:val="40"/>
          <w:szCs w:val="40"/>
        </w:rPr>
        <w:t>German Electricity Demand Forecasting: A Time Series Modelling Case Study</w:t>
      </w:r>
    </w:p>
    <w:p w14:paraId="6D1229DD" w14:textId="77777777" w:rsidR="00104F86" w:rsidRPr="00366DAA" w:rsidRDefault="00104F86">
      <w:pPr>
        <w:rPr>
          <w:rFonts w:ascii="Times New Roman" w:hAnsi="Times New Roman" w:cs="Times New Roman"/>
          <w:sz w:val="24"/>
          <w:szCs w:val="24"/>
        </w:rPr>
      </w:pPr>
    </w:p>
    <w:p w14:paraId="502CB2B1" w14:textId="1AFC14BF" w:rsidR="002913E4"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 xml:space="preserve">Module: 7PAM2016 — Advanced Data Science </w:t>
      </w:r>
    </w:p>
    <w:p w14:paraId="6CDCE224" w14:textId="43AFF3E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 xml:space="preserve"> Assignment: Time Series Modelling Case Study (40%)</w:t>
      </w:r>
    </w:p>
    <w:p w14:paraId="546AF2AB" w14:textId="77777777" w:rsidR="002913E4" w:rsidRDefault="002913E4">
      <w:pPr>
        <w:jc w:val="center"/>
        <w:rPr>
          <w:rFonts w:ascii="Times New Roman" w:hAnsi="Times New Roman" w:cs="Times New Roman"/>
          <w:sz w:val="24"/>
          <w:szCs w:val="24"/>
        </w:rPr>
      </w:pPr>
    </w:p>
    <w:p w14:paraId="7A9DF0B2" w14:textId="77777777" w:rsidR="002913E4" w:rsidRDefault="002913E4">
      <w:pPr>
        <w:jc w:val="center"/>
        <w:rPr>
          <w:rFonts w:ascii="Times New Roman" w:hAnsi="Times New Roman" w:cs="Times New Roman"/>
          <w:sz w:val="24"/>
          <w:szCs w:val="24"/>
        </w:rPr>
      </w:pPr>
    </w:p>
    <w:p w14:paraId="4DD51103" w14:textId="77777777" w:rsidR="002913E4" w:rsidRDefault="002913E4">
      <w:pPr>
        <w:jc w:val="center"/>
        <w:rPr>
          <w:rFonts w:ascii="Times New Roman" w:hAnsi="Times New Roman" w:cs="Times New Roman"/>
          <w:sz w:val="24"/>
          <w:szCs w:val="24"/>
        </w:rPr>
      </w:pPr>
    </w:p>
    <w:p w14:paraId="610CF941" w14:textId="192A0E71" w:rsidR="002913E4"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 xml:space="preserve">Student: Gopikrishna </w:t>
      </w:r>
      <w:r w:rsidR="002913E4">
        <w:rPr>
          <w:rFonts w:ascii="Times New Roman" w:hAnsi="Times New Roman" w:cs="Times New Roman"/>
          <w:sz w:val="24"/>
          <w:szCs w:val="24"/>
        </w:rPr>
        <w:t xml:space="preserve">Goud </w:t>
      </w:r>
      <w:proofErr w:type="spellStart"/>
      <w:r w:rsidRPr="00366DAA">
        <w:rPr>
          <w:rFonts w:ascii="Times New Roman" w:hAnsi="Times New Roman" w:cs="Times New Roman"/>
          <w:sz w:val="24"/>
          <w:szCs w:val="24"/>
        </w:rPr>
        <w:t>Godishala</w:t>
      </w:r>
      <w:proofErr w:type="spellEnd"/>
      <w:r w:rsidRPr="00366DAA">
        <w:rPr>
          <w:rFonts w:ascii="Times New Roman" w:hAnsi="Times New Roman" w:cs="Times New Roman"/>
          <w:sz w:val="24"/>
          <w:szCs w:val="24"/>
        </w:rPr>
        <w:t xml:space="preserve">  </w:t>
      </w:r>
    </w:p>
    <w:p w14:paraId="70DC7DC7" w14:textId="06BE81FE" w:rsidR="00104F86" w:rsidRPr="00366DAA" w:rsidRDefault="003228BF">
      <w:pPr>
        <w:jc w:val="center"/>
        <w:rPr>
          <w:rFonts w:ascii="Times New Roman" w:hAnsi="Times New Roman" w:cs="Times New Roman"/>
          <w:sz w:val="24"/>
          <w:szCs w:val="24"/>
        </w:rPr>
      </w:pPr>
      <w:r>
        <w:rPr>
          <w:rFonts w:ascii="Times New Roman" w:hAnsi="Times New Roman" w:cs="Times New Roman"/>
          <w:sz w:val="24"/>
          <w:szCs w:val="24"/>
        </w:rPr>
        <w:t xml:space="preserve">Student </w:t>
      </w:r>
      <w:r w:rsidRPr="00366DAA">
        <w:rPr>
          <w:rFonts w:ascii="Times New Roman" w:hAnsi="Times New Roman" w:cs="Times New Roman"/>
          <w:sz w:val="24"/>
          <w:szCs w:val="24"/>
        </w:rPr>
        <w:t xml:space="preserve">ID: 24090533  </w:t>
      </w:r>
    </w:p>
    <w:p w14:paraId="5B0BB9F6" w14:textId="77777777" w:rsidR="002913E4"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 xml:space="preserve">University of Hertfordshire </w:t>
      </w:r>
    </w:p>
    <w:p w14:paraId="55D2417D" w14:textId="420F199C" w:rsidR="00104F86" w:rsidRPr="00366DAA" w:rsidRDefault="003228BF">
      <w:pPr>
        <w:jc w:val="center"/>
        <w:rPr>
          <w:rFonts w:ascii="Times New Roman" w:hAnsi="Times New Roman" w:cs="Times New Roman"/>
          <w:sz w:val="24"/>
          <w:szCs w:val="24"/>
        </w:rPr>
      </w:pPr>
      <w:r>
        <w:rPr>
          <w:rFonts w:ascii="Times New Roman" w:hAnsi="Times New Roman" w:cs="Times New Roman"/>
          <w:sz w:val="24"/>
          <w:szCs w:val="24"/>
        </w:rPr>
        <w:t>Date:</w:t>
      </w:r>
      <w:r w:rsidR="002913E4">
        <w:rPr>
          <w:rFonts w:ascii="Times New Roman" w:hAnsi="Times New Roman" w:cs="Times New Roman"/>
          <w:sz w:val="24"/>
          <w:szCs w:val="24"/>
        </w:rPr>
        <w:t xml:space="preserve"> 13</w:t>
      </w:r>
      <w:r>
        <w:rPr>
          <w:rFonts w:ascii="Times New Roman" w:hAnsi="Times New Roman" w:cs="Times New Roman"/>
          <w:sz w:val="24"/>
          <w:szCs w:val="24"/>
        </w:rPr>
        <w:t>th</w:t>
      </w:r>
      <w:r w:rsidRPr="00366DAA">
        <w:rPr>
          <w:rFonts w:ascii="Times New Roman" w:hAnsi="Times New Roman" w:cs="Times New Roman"/>
          <w:sz w:val="24"/>
          <w:szCs w:val="24"/>
        </w:rPr>
        <w:t xml:space="preserve"> July 2026</w:t>
      </w:r>
    </w:p>
    <w:p w14:paraId="56203993" w14:textId="77777777" w:rsidR="00095689" w:rsidRDefault="00095689">
      <w:pPr>
        <w:rPr>
          <w:rFonts w:ascii="Times New Roman" w:hAnsi="Times New Roman" w:cs="Times New Roman"/>
          <w:sz w:val="24"/>
          <w:szCs w:val="24"/>
        </w:rPr>
      </w:pPr>
    </w:p>
    <w:p w14:paraId="18A5AADD" w14:textId="77777777" w:rsidR="00095689" w:rsidRDefault="00095689">
      <w:pPr>
        <w:rPr>
          <w:rFonts w:ascii="Times New Roman" w:hAnsi="Times New Roman" w:cs="Times New Roman"/>
          <w:sz w:val="24"/>
          <w:szCs w:val="24"/>
        </w:rPr>
      </w:pPr>
    </w:p>
    <w:p w14:paraId="4A464506" w14:textId="77777777" w:rsidR="00095689" w:rsidRDefault="00095689">
      <w:pPr>
        <w:rPr>
          <w:rFonts w:ascii="Times New Roman" w:hAnsi="Times New Roman" w:cs="Times New Roman"/>
          <w:sz w:val="24"/>
          <w:szCs w:val="24"/>
        </w:rPr>
      </w:pPr>
    </w:p>
    <w:p w14:paraId="26DD3C2A" w14:textId="77777777" w:rsidR="00095689" w:rsidRDefault="00095689">
      <w:pPr>
        <w:rPr>
          <w:rFonts w:ascii="Times New Roman" w:hAnsi="Times New Roman" w:cs="Times New Roman"/>
          <w:sz w:val="24"/>
          <w:szCs w:val="24"/>
        </w:rPr>
      </w:pPr>
    </w:p>
    <w:p w14:paraId="6013DC59" w14:textId="77777777" w:rsidR="00095689" w:rsidRDefault="00095689">
      <w:pPr>
        <w:rPr>
          <w:rFonts w:ascii="Times New Roman" w:hAnsi="Times New Roman" w:cs="Times New Roman"/>
          <w:sz w:val="24"/>
          <w:szCs w:val="24"/>
        </w:rPr>
      </w:pPr>
    </w:p>
    <w:p w14:paraId="139DD6F4" w14:textId="77777777" w:rsidR="00095689" w:rsidRDefault="00095689">
      <w:pPr>
        <w:rPr>
          <w:rFonts w:ascii="Times New Roman" w:hAnsi="Times New Roman" w:cs="Times New Roman"/>
          <w:sz w:val="24"/>
          <w:szCs w:val="24"/>
        </w:rPr>
      </w:pPr>
    </w:p>
    <w:p w14:paraId="6456066E" w14:textId="77777777" w:rsidR="00095689" w:rsidRDefault="00095689">
      <w:pPr>
        <w:rPr>
          <w:rFonts w:ascii="Times New Roman" w:hAnsi="Times New Roman" w:cs="Times New Roman"/>
          <w:sz w:val="24"/>
          <w:szCs w:val="24"/>
        </w:rPr>
      </w:pPr>
    </w:p>
    <w:p w14:paraId="1694BCAD" w14:textId="77777777" w:rsidR="00095689" w:rsidRDefault="00095689">
      <w:pPr>
        <w:rPr>
          <w:rFonts w:ascii="Times New Roman" w:hAnsi="Times New Roman" w:cs="Times New Roman"/>
          <w:sz w:val="24"/>
          <w:szCs w:val="24"/>
        </w:rPr>
      </w:pPr>
    </w:p>
    <w:p w14:paraId="7E273E89" w14:textId="638F5CDF" w:rsidR="00104F86" w:rsidRDefault="00095689">
      <w:pP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w:t>
      </w:r>
      <w:r w:rsidR="0015264C" w:rsidRPr="0015264C">
        <w:rPr>
          <w:rFonts w:ascii="Times New Roman" w:hAnsi="Times New Roman" w:cs="Times New Roman"/>
          <w:sz w:val="24"/>
          <w:szCs w:val="24"/>
        </w:rPr>
        <w:t>https://github.com/gopikrishna475/Time-Series-Modelling-Case-Study</w:t>
      </w:r>
      <w:r w:rsidR="0015264C" w:rsidRPr="00366DAA">
        <w:rPr>
          <w:rFonts w:ascii="Times New Roman" w:hAnsi="Times New Roman" w:cs="Times New Roman"/>
          <w:sz w:val="24"/>
          <w:szCs w:val="24"/>
        </w:rPr>
        <w:br w:type="page"/>
      </w:r>
    </w:p>
    <w:p w14:paraId="5D46DBCD" w14:textId="77777777" w:rsidR="00095689" w:rsidRDefault="00095689">
      <w:pPr>
        <w:rPr>
          <w:rFonts w:ascii="Times New Roman" w:hAnsi="Times New Roman" w:cs="Times New Roman"/>
          <w:sz w:val="24"/>
          <w:szCs w:val="24"/>
        </w:rPr>
      </w:pPr>
    </w:p>
    <w:p w14:paraId="64D5559E" w14:textId="77777777" w:rsidR="00095689" w:rsidRDefault="00095689">
      <w:pPr>
        <w:rPr>
          <w:rFonts w:ascii="Times New Roman" w:hAnsi="Times New Roman" w:cs="Times New Roman"/>
          <w:sz w:val="24"/>
          <w:szCs w:val="24"/>
        </w:rPr>
      </w:pPr>
    </w:p>
    <w:p w14:paraId="7D350BD6" w14:textId="77777777" w:rsidR="00095689" w:rsidRPr="00366DAA" w:rsidRDefault="00095689">
      <w:pPr>
        <w:rPr>
          <w:rFonts w:ascii="Times New Roman" w:hAnsi="Times New Roman" w:cs="Times New Roman"/>
          <w:sz w:val="24"/>
          <w:szCs w:val="24"/>
        </w:rPr>
      </w:pPr>
    </w:p>
    <w:p w14:paraId="4296FDB6" w14:textId="77777777" w:rsidR="00104F86" w:rsidRPr="0086416C" w:rsidRDefault="0015264C">
      <w:pPr>
        <w:pStyle w:val="Heading1"/>
        <w:rPr>
          <w:rFonts w:ascii="Times New Roman" w:hAnsi="Times New Roman" w:cs="Times New Roman"/>
          <w:color w:val="auto"/>
        </w:rPr>
      </w:pPr>
      <w:r w:rsidRPr="0086416C">
        <w:rPr>
          <w:rFonts w:ascii="Times New Roman" w:hAnsi="Times New Roman" w:cs="Times New Roman"/>
          <w:color w:val="auto"/>
        </w:rPr>
        <w:t>1. Introduction</w:t>
      </w:r>
    </w:p>
    <w:p w14:paraId="35901758"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Reliable electricity demand forecasting underpins every decision a grid operator makes — from scheduling generation units and procuring reserves to integrating intermittent renewables. This study constructs a complete forecasting pipeline for German weekly electricity demand using Open Power System Data (OPSD) spanning January 2015 to October 2020. Six model classes are compared: simple benchmarks, SARIMA, SARIMAX with temperature covariates, Random Forest, Gradient Boosting, and LSTM neural networks. The choice to span this range — from transparent statistical models to opaque deep learning — reflects the reality that the appropriate model for real deployment depends on regulatory requirements, computational resources, and stakeholder trust as much as raw forecast accuracy. All models are evaluated on a 104-week holdout (October 2018 – September 2020) using RMSE, MAE, and MAPE. A critical feature of this test period is the COVID-19 pandemic, which reduced German demand by approximately 4,000 MW (7.2%) during March–May 2020 — a structural break with no precedent in the training data that heavily influenced comparative results.</w:t>
      </w:r>
    </w:p>
    <w:p w14:paraId="73DC57D8" w14:textId="77777777" w:rsidR="00104F86" w:rsidRPr="0086416C" w:rsidRDefault="0015264C">
      <w:pPr>
        <w:pStyle w:val="Heading1"/>
        <w:rPr>
          <w:rFonts w:ascii="Times New Roman" w:hAnsi="Times New Roman" w:cs="Times New Roman"/>
          <w:color w:val="auto"/>
        </w:rPr>
      </w:pPr>
      <w:r w:rsidRPr="0086416C">
        <w:rPr>
          <w:rFonts w:ascii="Times New Roman" w:hAnsi="Times New Roman" w:cs="Times New Roman"/>
          <w:color w:val="auto"/>
        </w:rPr>
        <w:t>2. Data and Exploratory Analysis</w:t>
      </w:r>
    </w:p>
    <w:p w14:paraId="6722E13E"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The OPSD 60-minute resolution column DE_load_actual_entsoe_transparency provided 50,400 hourly observations with zero missing values, resampled to 299 weekly observations (Monday-aligned). Weekly summary: mean 55,506 MW, SD 3,745 MW, range 45,678–63,580 MW. Both daily and weekly resolutions are shown in Figure 1 because the daily series reveals a weekday/weekend demand gap of ~7,800 MW that is averaged away at weekly resolution — a pattern that directly motivates the 168-hour LSTM look-back window used later. STL decomposition (Cleveland et al., 1990) with period=52 and robust=True was chosen over classical additive decomposition because its robust fitting downweights the 2020 COVID anomaly that would otherwise distort the seasonal component (Figure 2, left). The decomposition confirms a stable downward trend, ±4,000 MW annual seasonal amplitude, and white-noise residuals except for the COVID disruption. Monthly boxplots (Figure 2, right) quantify the seasonal range: December median loads exceed July by ~10,000 MW.</w:t>
      </w:r>
    </w:p>
    <w:p w14:paraId="7B6EBA98" w14:textId="50BD4DD3" w:rsidR="00104F86" w:rsidRDefault="00063B67" w:rsidP="00063B67">
      <w:pPr>
        <w:spacing w:after="80"/>
        <w:jc w:val="center"/>
        <w:rPr>
          <w:rFonts w:ascii="Times New Roman" w:hAnsi="Times New Roman" w:cs="Times New Roman"/>
          <w:sz w:val="24"/>
          <w:szCs w:val="24"/>
        </w:rPr>
      </w:pPr>
      <w:r>
        <w:rPr>
          <w:noProof/>
        </w:rPr>
        <w:lastRenderedPageBreak/>
        <w:drawing>
          <wp:inline distT="0" distB="0" distL="0" distR="0" wp14:anchorId="095F8893" wp14:editId="63639D37">
            <wp:extent cx="4835237" cy="2398632"/>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aily_weekly_overview.png"/>
                    <pic:cNvPicPr/>
                  </pic:nvPicPr>
                  <pic:blipFill>
                    <a:blip r:embed="rId6"/>
                    <a:stretch>
                      <a:fillRect/>
                    </a:stretch>
                  </pic:blipFill>
                  <pic:spPr>
                    <a:xfrm>
                      <a:off x="0" y="0"/>
                      <a:ext cx="4852297" cy="2407095"/>
                    </a:xfrm>
                    <a:prstGeom prst="rect">
                      <a:avLst/>
                    </a:prstGeom>
                  </pic:spPr>
                </pic:pic>
              </a:graphicData>
            </a:graphic>
          </wp:inline>
        </w:drawing>
      </w:r>
    </w:p>
    <w:p w14:paraId="7F933F50" w14:textId="77777777" w:rsidR="00063B67" w:rsidRDefault="00063B67" w:rsidP="00063B67">
      <w:pPr>
        <w:jc w:val="center"/>
      </w:pPr>
      <w:r>
        <w:rPr>
          <w:i/>
          <w:sz w:val="20"/>
        </w:rPr>
        <w:t>Figure 1: Daily and weekly German electricity load (2015–2020).</w:t>
      </w:r>
    </w:p>
    <w:p w14:paraId="1A9B6156" w14:textId="77777777" w:rsidR="00063B67" w:rsidRPr="00366DAA" w:rsidRDefault="00063B67">
      <w:pPr>
        <w:spacing w:after="80"/>
        <w:rPr>
          <w:rFonts w:ascii="Times New Roman" w:hAnsi="Times New Roman" w:cs="Times New Roman"/>
          <w:sz w:val="24"/>
          <w:szCs w:val="24"/>
        </w:rPr>
      </w:pPr>
    </w:p>
    <w:p w14:paraId="2AA23771" w14:textId="17939ED1" w:rsidR="00104F86" w:rsidRDefault="00063B67" w:rsidP="00063B67">
      <w:pPr>
        <w:spacing w:after="80"/>
        <w:jc w:val="center"/>
        <w:rPr>
          <w:rFonts w:ascii="Times New Roman" w:hAnsi="Times New Roman" w:cs="Times New Roman"/>
          <w:sz w:val="24"/>
          <w:szCs w:val="24"/>
        </w:rPr>
      </w:pPr>
      <w:r>
        <w:rPr>
          <w:noProof/>
        </w:rPr>
        <w:drawing>
          <wp:inline distT="0" distB="0" distL="0" distR="0" wp14:anchorId="154082C8" wp14:editId="3AFA3D65">
            <wp:extent cx="4197927" cy="2991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tl_decomposition.png"/>
                    <pic:cNvPicPr/>
                  </pic:nvPicPr>
                  <pic:blipFill>
                    <a:blip r:embed="rId7"/>
                    <a:stretch>
                      <a:fillRect/>
                    </a:stretch>
                  </pic:blipFill>
                  <pic:spPr>
                    <a:xfrm>
                      <a:off x="0" y="0"/>
                      <a:ext cx="4219369" cy="3007129"/>
                    </a:xfrm>
                    <a:prstGeom prst="rect">
                      <a:avLst/>
                    </a:prstGeom>
                  </pic:spPr>
                </pic:pic>
              </a:graphicData>
            </a:graphic>
          </wp:inline>
        </w:drawing>
      </w:r>
    </w:p>
    <w:p w14:paraId="796C99EA" w14:textId="77777777" w:rsidR="00063B67" w:rsidRDefault="00063B67" w:rsidP="00063B67">
      <w:pPr>
        <w:jc w:val="center"/>
        <w:rPr>
          <w:i/>
          <w:sz w:val="20"/>
        </w:rPr>
      </w:pPr>
      <w:r>
        <w:rPr>
          <w:i/>
          <w:sz w:val="20"/>
        </w:rPr>
        <w:t>Figure 3: STL decomposition of weekly load (period=52, robust=True).</w:t>
      </w:r>
    </w:p>
    <w:p w14:paraId="2AE09378" w14:textId="7A19E025" w:rsidR="00063B67" w:rsidRDefault="00063B67" w:rsidP="00063B67">
      <w:pPr>
        <w:jc w:val="center"/>
      </w:pPr>
      <w:r>
        <w:rPr>
          <w:noProof/>
        </w:rPr>
        <w:drawing>
          <wp:inline distT="0" distB="0" distL="0" distR="0" wp14:anchorId="4DB8D7B6" wp14:editId="47384D17">
            <wp:extent cx="5303520" cy="2116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monthly_boxplot.png"/>
                    <pic:cNvPicPr/>
                  </pic:nvPicPr>
                  <pic:blipFill>
                    <a:blip r:embed="rId8"/>
                    <a:stretch>
                      <a:fillRect/>
                    </a:stretch>
                  </pic:blipFill>
                  <pic:spPr>
                    <a:xfrm>
                      <a:off x="0" y="0"/>
                      <a:ext cx="5303520" cy="2116542"/>
                    </a:xfrm>
                    <a:prstGeom prst="rect">
                      <a:avLst/>
                    </a:prstGeom>
                  </pic:spPr>
                </pic:pic>
              </a:graphicData>
            </a:graphic>
          </wp:inline>
        </w:drawing>
      </w:r>
    </w:p>
    <w:p w14:paraId="4977C6F4" w14:textId="4809E6D6" w:rsidR="00063B67" w:rsidRDefault="00063B67" w:rsidP="00063B67">
      <w:pPr>
        <w:jc w:val="center"/>
      </w:pPr>
      <w:r>
        <w:rPr>
          <w:i/>
          <w:sz w:val="20"/>
        </w:rPr>
        <w:lastRenderedPageBreak/>
        <w:t>Figure 4: Weekly load distribution by month — winter months consistently higher than summer.</w:t>
      </w:r>
    </w:p>
    <w:p w14:paraId="32F8449A" w14:textId="77777777" w:rsidR="00063B67" w:rsidRPr="00366DAA" w:rsidRDefault="00063B67">
      <w:pPr>
        <w:spacing w:after="80"/>
        <w:rPr>
          <w:rFonts w:ascii="Times New Roman" w:hAnsi="Times New Roman" w:cs="Times New Roman"/>
          <w:sz w:val="24"/>
          <w:szCs w:val="24"/>
        </w:rPr>
      </w:pPr>
    </w:p>
    <w:p w14:paraId="2C35A240" w14:textId="77777777" w:rsidR="00104F86" w:rsidRPr="0086416C" w:rsidRDefault="0015264C">
      <w:pPr>
        <w:pStyle w:val="Heading2"/>
        <w:rPr>
          <w:rFonts w:ascii="Times New Roman" w:hAnsi="Times New Roman" w:cs="Times New Roman"/>
          <w:color w:val="auto"/>
          <w:sz w:val="24"/>
          <w:szCs w:val="24"/>
        </w:rPr>
      </w:pPr>
      <w:r w:rsidRPr="0086416C">
        <w:rPr>
          <w:rFonts w:ascii="Times New Roman" w:hAnsi="Times New Roman" w:cs="Times New Roman"/>
          <w:color w:val="auto"/>
          <w:sz w:val="24"/>
          <w:szCs w:val="24"/>
        </w:rPr>
        <w:t>2.1 Stationarity Analysis</w:t>
      </w:r>
    </w:p>
    <w:p w14:paraId="209E2D92" w14:textId="77777777" w:rsidR="00104F86"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ADF (null: unit root) and KPSS (null: stationary) tests were applied to the raw series, first difference, and seasonal difference at lag 52. Using both tests together is important because they test opposing nulls — agreement provides stronger evidence than either alone. Figure 3 shows ACF/PACF for all three transformations.</w:t>
      </w:r>
    </w:p>
    <w:p w14:paraId="39B66D85" w14:textId="77777777" w:rsidR="00063B67" w:rsidRDefault="00063B67">
      <w:pPr>
        <w:spacing w:after="80"/>
        <w:jc w:val="both"/>
        <w:rPr>
          <w:rFonts w:ascii="Times New Roman" w:hAnsi="Times New Roman" w:cs="Times New Roman"/>
          <w:sz w:val="24"/>
          <w:szCs w:val="24"/>
        </w:rPr>
      </w:pPr>
    </w:p>
    <w:p w14:paraId="23DEDE89" w14:textId="77777777" w:rsidR="00063B67" w:rsidRDefault="00063B67">
      <w:pPr>
        <w:spacing w:after="80"/>
        <w:jc w:val="both"/>
        <w:rPr>
          <w:rFonts w:ascii="Times New Roman" w:hAnsi="Times New Roman" w:cs="Times New Roman"/>
          <w:sz w:val="24"/>
          <w:szCs w:val="24"/>
        </w:rPr>
      </w:pPr>
    </w:p>
    <w:p w14:paraId="3D006636" w14:textId="77777777" w:rsidR="00063B67" w:rsidRDefault="00063B67">
      <w:pPr>
        <w:spacing w:after="80"/>
        <w:jc w:val="both"/>
        <w:rPr>
          <w:rFonts w:ascii="Times New Roman" w:hAnsi="Times New Roman" w:cs="Times New Roman"/>
          <w:sz w:val="24"/>
          <w:szCs w:val="24"/>
        </w:rPr>
      </w:pPr>
    </w:p>
    <w:p w14:paraId="57BC4192" w14:textId="77777777" w:rsidR="00063B67" w:rsidRPr="00366DAA" w:rsidRDefault="00063B67">
      <w:pPr>
        <w:spacing w:after="80"/>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881"/>
        <w:gridCol w:w="1881"/>
        <w:gridCol w:w="1881"/>
        <w:gridCol w:w="1881"/>
        <w:gridCol w:w="1881"/>
      </w:tblGrid>
      <w:tr w:rsidR="00366DAA" w:rsidRPr="00366DAA" w14:paraId="649AA0D6" w14:textId="77777777">
        <w:trPr>
          <w:jc w:val="center"/>
        </w:trPr>
        <w:tc>
          <w:tcPr>
            <w:tcW w:w="1881" w:type="dxa"/>
          </w:tcPr>
          <w:p w14:paraId="6F46F5FB" w14:textId="77777777" w:rsidR="00104F86" w:rsidRPr="00366DAA" w:rsidRDefault="00104F86">
            <w:pPr>
              <w:rPr>
                <w:rFonts w:ascii="Times New Roman" w:hAnsi="Times New Roman" w:cs="Times New Roman"/>
                <w:sz w:val="24"/>
                <w:szCs w:val="24"/>
              </w:rPr>
            </w:pPr>
          </w:p>
        </w:tc>
        <w:tc>
          <w:tcPr>
            <w:tcW w:w="1881" w:type="dxa"/>
          </w:tcPr>
          <w:p w14:paraId="10578404" w14:textId="77777777" w:rsidR="00104F86" w:rsidRPr="00366DAA" w:rsidRDefault="00104F86">
            <w:pPr>
              <w:rPr>
                <w:rFonts w:ascii="Times New Roman" w:hAnsi="Times New Roman" w:cs="Times New Roman"/>
                <w:sz w:val="24"/>
                <w:szCs w:val="24"/>
              </w:rPr>
            </w:pPr>
          </w:p>
        </w:tc>
        <w:tc>
          <w:tcPr>
            <w:tcW w:w="1881" w:type="dxa"/>
          </w:tcPr>
          <w:p w14:paraId="08703B3D" w14:textId="77777777" w:rsidR="00104F86" w:rsidRPr="00366DAA" w:rsidRDefault="00104F86">
            <w:pPr>
              <w:rPr>
                <w:rFonts w:ascii="Times New Roman" w:hAnsi="Times New Roman" w:cs="Times New Roman"/>
                <w:sz w:val="24"/>
                <w:szCs w:val="24"/>
              </w:rPr>
            </w:pPr>
          </w:p>
        </w:tc>
        <w:tc>
          <w:tcPr>
            <w:tcW w:w="1881" w:type="dxa"/>
          </w:tcPr>
          <w:p w14:paraId="549D45F6" w14:textId="77777777" w:rsidR="00104F86" w:rsidRPr="00366DAA" w:rsidRDefault="00104F86">
            <w:pPr>
              <w:rPr>
                <w:rFonts w:ascii="Times New Roman" w:hAnsi="Times New Roman" w:cs="Times New Roman"/>
                <w:sz w:val="24"/>
                <w:szCs w:val="24"/>
              </w:rPr>
            </w:pPr>
          </w:p>
        </w:tc>
        <w:tc>
          <w:tcPr>
            <w:tcW w:w="1881" w:type="dxa"/>
          </w:tcPr>
          <w:p w14:paraId="3091CE0D" w14:textId="77777777" w:rsidR="00104F86" w:rsidRPr="00366DAA" w:rsidRDefault="00104F86">
            <w:pPr>
              <w:rPr>
                <w:rFonts w:ascii="Times New Roman" w:hAnsi="Times New Roman" w:cs="Times New Roman"/>
                <w:sz w:val="24"/>
                <w:szCs w:val="24"/>
              </w:rPr>
            </w:pPr>
          </w:p>
        </w:tc>
      </w:tr>
      <w:tr w:rsidR="00366DAA" w:rsidRPr="00366DAA" w14:paraId="48F4A4D5" w14:textId="77777777">
        <w:trPr>
          <w:jc w:val="center"/>
        </w:trPr>
        <w:tc>
          <w:tcPr>
            <w:tcW w:w="1881" w:type="dxa"/>
            <w:shd w:val="clear" w:color="auto" w:fill="BDD7EE"/>
          </w:tcPr>
          <w:p w14:paraId="1B1922F6"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Series</w:t>
            </w:r>
          </w:p>
        </w:tc>
        <w:tc>
          <w:tcPr>
            <w:tcW w:w="1881" w:type="dxa"/>
            <w:shd w:val="clear" w:color="auto" w:fill="BDD7EE"/>
          </w:tcPr>
          <w:p w14:paraId="2E5EFC7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ADF Stat</w:t>
            </w:r>
          </w:p>
        </w:tc>
        <w:tc>
          <w:tcPr>
            <w:tcW w:w="1881" w:type="dxa"/>
            <w:shd w:val="clear" w:color="auto" w:fill="BDD7EE"/>
          </w:tcPr>
          <w:p w14:paraId="0D07B3C1"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ADF p</w:t>
            </w:r>
          </w:p>
        </w:tc>
        <w:tc>
          <w:tcPr>
            <w:tcW w:w="1881" w:type="dxa"/>
            <w:shd w:val="clear" w:color="auto" w:fill="BDD7EE"/>
          </w:tcPr>
          <w:p w14:paraId="7B879CC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KPSS p</w:t>
            </w:r>
          </w:p>
        </w:tc>
        <w:tc>
          <w:tcPr>
            <w:tcW w:w="1881" w:type="dxa"/>
            <w:shd w:val="clear" w:color="auto" w:fill="BDD7EE"/>
          </w:tcPr>
          <w:p w14:paraId="1C963179"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Conclusion</w:t>
            </w:r>
          </w:p>
        </w:tc>
      </w:tr>
      <w:tr w:rsidR="00366DAA" w:rsidRPr="00366DAA" w14:paraId="4D406A3B" w14:textId="77777777">
        <w:trPr>
          <w:jc w:val="center"/>
        </w:trPr>
        <w:tc>
          <w:tcPr>
            <w:tcW w:w="1881" w:type="dxa"/>
          </w:tcPr>
          <w:p w14:paraId="6C6449DB"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Raw weekly</w:t>
            </w:r>
          </w:p>
        </w:tc>
        <w:tc>
          <w:tcPr>
            <w:tcW w:w="1881" w:type="dxa"/>
          </w:tcPr>
          <w:p w14:paraId="5E724587"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-5.018</w:t>
            </w:r>
          </w:p>
        </w:tc>
        <w:tc>
          <w:tcPr>
            <w:tcW w:w="1881" w:type="dxa"/>
          </w:tcPr>
          <w:p w14:paraId="60E2265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&lt;0.001</w:t>
            </w:r>
          </w:p>
        </w:tc>
        <w:tc>
          <w:tcPr>
            <w:tcW w:w="1881" w:type="dxa"/>
          </w:tcPr>
          <w:p w14:paraId="5EE55FF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&gt;0.10</w:t>
            </w:r>
          </w:p>
        </w:tc>
        <w:tc>
          <w:tcPr>
            <w:tcW w:w="1881" w:type="dxa"/>
          </w:tcPr>
          <w:p w14:paraId="20A0A0AA"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Stationary — d=0</w:t>
            </w:r>
          </w:p>
        </w:tc>
      </w:tr>
      <w:tr w:rsidR="00366DAA" w:rsidRPr="00366DAA" w14:paraId="64AC38EB" w14:textId="77777777">
        <w:trPr>
          <w:jc w:val="center"/>
        </w:trPr>
        <w:tc>
          <w:tcPr>
            <w:tcW w:w="1881" w:type="dxa"/>
          </w:tcPr>
          <w:p w14:paraId="3B38366C"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1st difference</w:t>
            </w:r>
          </w:p>
        </w:tc>
        <w:tc>
          <w:tcPr>
            <w:tcW w:w="1881" w:type="dxa"/>
          </w:tcPr>
          <w:p w14:paraId="768C90AB"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-10.799</w:t>
            </w:r>
          </w:p>
        </w:tc>
        <w:tc>
          <w:tcPr>
            <w:tcW w:w="1881" w:type="dxa"/>
          </w:tcPr>
          <w:p w14:paraId="0996DC3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&lt;0.001</w:t>
            </w:r>
          </w:p>
        </w:tc>
        <w:tc>
          <w:tcPr>
            <w:tcW w:w="1881" w:type="dxa"/>
          </w:tcPr>
          <w:p w14:paraId="7B8C148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&gt;0.10</w:t>
            </w:r>
          </w:p>
        </w:tc>
        <w:tc>
          <w:tcPr>
            <w:tcW w:w="1881" w:type="dxa"/>
          </w:tcPr>
          <w:p w14:paraId="47FD8A37"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Strongly stationary</w:t>
            </w:r>
          </w:p>
        </w:tc>
      </w:tr>
      <w:tr w:rsidR="00366DAA" w:rsidRPr="00366DAA" w14:paraId="0CC04BE7" w14:textId="77777777">
        <w:trPr>
          <w:jc w:val="center"/>
        </w:trPr>
        <w:tc>
          <w:tcPr>
            <w:tcW w:w="1881" w:type="dxa"/>
          </w:tcPr>
          <w:p w14:paraId="3E10808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Seasonal diff (lag-52)</w:t>
            </w:r>
          </w:p>
        </w:tc>
        <w:tc>
          <w:tcPr>
            <w:tcW w:w="1881" w:type="dxa"/>
          </w:tcPr>
          <w:p w14:paraId="1A1F0612"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-2.380</w:t>
            </w:r>
          </w:p>
        </w:tc>
        <w:tc>
          <w:tcPr>
            <w:tcW w:w="1881" w:type="dxa"/>
          </w:tcPr>
          <w:p w14:paraId="3338AA4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0.147</w:t>
            </w:r>
          </w:p>
        </w:tc>
        <w:tc>
          <w:tcPr>
            <w:tcW w:w="1881" w:type="dxa"/>
          </w:tcPr>
          <w:p w14:paraId="1FE8E8B8"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0.010</w:t>
            </w:r>
          </w:p>
        </w:tc>
        <w:tc>
          <w:tcPr>
            <w:tcW w:w="1881" w:type="dxa"/>
          </w:tcPr>
          <w:p w14:paraId="4534918B"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Non-stationary</w:t>
            </w:r>
          </w:p>
        </w:tc>
      </w:tr>
    </w:tbl>
    <w:p w14:paraId="482C9E8E" w14:textId="77777777" w:rsidR="00104F86" w:rsidRPr="00366DAA" w:rsidRDefault="0015264C">
      <w:pPr>
        <w:spacing w:after="120"/>
        <w:rPr>
          <w:rFonts w:ascii="Times New Roman" w:hAnsi="Times New Roman" w:cs="Times New Roman"/>
          <w:sz w:val="24"/>
          <w:szCs w:val="24"/>
        </w:rPr>
      </w:pPr>
      <w:r w:rsidRPr="00366DAA">
        <w:rPr>
          <w:rFonts w:ascii="Times New Roman" w:hAnsi="Times New Roman" w:cs="Times New Roman"/>
          <w:i/>
          <w:sz w:val="24"/>
          <w:szCs w:val="24"/>
        </w:rPr>
        <w:t>Table 1: Stationarity results. Raw series is stationary (d=0 selected by AIC search).</w:t>
      </w:r>
    </w:p>
    <w:p w14:paraId="72CB8BEB"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Both tests agree the raw series is stationary (ADF p&lt;0.001, KPSS p&gt;0.10), so d=0 was selected — avoiding unnecessary differencing that could reduce forecast accuracy. The ACF spike at lag 52 (Figure 3) confirms the annual seasonal component s=52.</w:t>
      </w:r>
    </w:p>
    <w:p w14:paraId="05C3AA8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lastRenderedPageBreak/>
        <w:drawing>
          <wp:inline distT="0" distB="0" distL="0" distR="0" wp14:anchorId="05B4141B" wp14:editId="68740814">
            <wp:extent cx="5029200" cy="38587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cf_pacf.png"/>
                    <pic:cNvPicPr/>
                  </pic:nvPicPr>
                  <pic:blipFill>
                    <a:blip r:embed="rId9"/>
                    <a:stretch>
                      <a:fillRect/>
                    </a:stretch>
                  </pic:blipFill>
                  <pic:spPr>
                    <a:xfrm>
                      <a:off x="0" y="0"/>
                      <a:ext cx="5029200" cy="3858794"/>
                    </a:xfrm>
                    <a:prstGeom prst="rect">
                      <a:avLst/>
                    </a:prstGeom>
                  </pic:spPr>
                </pic:pic>
              </a:graphicData>
            </a:graphic>
          </wp:inline>
        </w:drawing>
      </w:r>
    </w:p>
    <w:p w14:paraId="3E712C0C" w14:textId="77777777" w:rsidR="00104F86" w:rsidRPr="00366DAA" w:rsidRDefault="0015264C">
      <w:pPr>
        <w:spacing w:after="120"/>
        <w:jc w:val="center"/>
        <w:rPr>
          <w:rFonts w:ascii="Times New Roman" w:hAnsi="Times New Roman" w:cs="Times New Roman"/>
          <w:sz w:val="24"/>
          <w:szCs w:val="24"/>
        </w:rPr>
      </w:pPr>
      <w:r w:rsidRPr="00366DAA">
        <w:rPr>
          <w:rFonts w:ascii="Times New Roman" w:hAnsi="Times New Roman" w:cs="Times New Roman"/>
          <w:i/>
          <w:sz w:val="24"/>
          <w:szCs w:val="24"/>
        </w:rPr>
        <w:t>Figure 3: ACF/PACF for raw, first-differenced, and seasonally-differenced series. Lag-52 spike motivates s=52; no slow decay confirms d=0.</w:t>
      </w:r>
    </w:p>
    <w:p w14:paraId="16B394A4" w14:textId="77777777" w:rsidR="00104F86" w:rsidRPr="0086416C" w:rsidRDefault="0015264C">
      <w:pPr>
        <w:pStyle w:val="Heading1"/>
        <w:rPr>
          <w:rFonts w:ascii="Times New Roman" w:hAnsi="Times New Roman" w:cs="Times New Roman"/>
          <w:color w:val="auto"/>
        </w:rPr>
      </w:pPr>
      <w:r w:rsidRPr="0086416C">
        <w:rPr>
          <w:rFonts w:ascii="Times New Roman" w:hAnsi="Times New Roman" w:cs="Times New Roman"/>
          <w:color w:val="auto"/>
        </w:rPr>
        <w:t>3. Benchmark Models</w:t>
      </w:r>
    </w:p>
    <w:p w14:paraId="025A079C"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Four benchmarks establish minimum performance thresholds (Hyndman &amp; Athanasopoulos, 2021): Mean (historical average), Naive (last value repeated), Seasonal Naive (lag-52 repeat), and Drift (linear trend extrapolation). The Seasonal Naive (RMSE = 3,073.5 MW, MAPE = 4.39%) substantially outperformed all others, confirming that annual seasonality is the dominant predictable structure. Any model that cannot surpass this simple method cannot justify its additional complexity. Figure 4 shows all four forecasts.</w:t>
      </w:r>
    </w:p>
    <w:p w14:paraId="52E2AFB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4666D0EA" wp14:editId="71697F31">
            <wp:extent cx="5029200" cy="21328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benchmark_forecasts.png"/>
                    <pic:cNvPicPr/>
                  </pic:nvPicPr>
                  <pic:blipFill>
                    <a:blip r:embed="rId10"/>
                    <a:stretch>
                      <a:fillRect/>
                    </a:stretch>
                  </pic:blipFill>
                  <pic:spPr>
                    <a:xfrm>
                      <a:off x="0" y="0"/>
                      <a:ext cx="5029200" cy="2132802"/>
                    </a:xfrm>
                    <a:prstGeom prst="rect">
                      <a:avLst/>
                    </a:prstGeom>
                  </pic:spPr>
                </pic:pic>
              </a:graphicData>
            </a:graphic>
          </wp:inline>
        </w:drawing>
      </w:r>
    </w:p>
    <w:p w14:paraId="5D7B89E5" w14:textId="77777777" w:rsidR="00104F86" w:rsidRPr="00366DAA" w:rsidRDefault="0015264C">
      <w:pPr>
        <w:spacing w:after="120"/>
        <w:jc w:val="center"/>
        <w:rPr>
          <w:rFonts w:ascii="Times New Roman" w:hAnsi="Times New Roman" w:cs="Times New Roman"/>
          <w:sz w:val="24"/>
          <w:szCs w:val="24"/>
        </w:rPr>
      </w:pPr>
      <w:r w:rsidRPr="00366DAA">
        <w:rPr>
          <w:rFonts w:ascii="Times New Roman" w:hAnsi="Times New Roman" w:cs="Times New Roman"/>
          <w:i/>
          <w:sz w:val="24"/>
          <w:szCs w:val="24"/>
        </w:rPr>
        <w:lastRenderedPageBreak/>
        <w:t>Figure 4: Benchmark forecasts vs actual (2018–2020). Seasonal Naive clearly outperforms by capturing the annual cycle.</w:t>
      </w:r>
    </w:p>
    <w:p w14:paraId="6766108C" w14:textId="77777777" w:rsidR="00104F86" w:rsidRPr="0086416C" w:rsidRDefault="0015264C">
      <w:pPr>
        <w:pStyle w:val="Heading1"/>
        <w:rPr>
          <w:rFonts w:ascii="Times New Roman" w:hAnsi="Times New Roman" w:cs="Times New Roman"/>
          <w:color w:val="auto"/>
        </w:rPr>
      </w:pPr>
      <w:r w:rsidRPr="0086416C">
        <w:rPr>
          <w:rFonts w:ascii="Times New Roman" w:hAnsi="Times New Roman" w:cs="Times New Roman"/>
          <w:color w:val="auto"/>
        </w:rPr>
        <w:t>4. SARIMA Modelling</w:t>
      </w:r>
    </w:p>
    <w:p w14:paraId="5195BC73"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SARIMA was chosen because the STL decomposition and ACF both confirmed strong annual seasonality — exactly the structure SARIMA is designed to capture through its seasonal AR, differencing, and MA components. Unlike Seasonal Naive, SARIMA models the autocorrelation structure explicitly, potentially capturing shorter-term patterns (Box et al., 2015). Order selection used stepwise AIC search (</w:t>
      </w:r>
      <w:proofErr w:type="gramStart"/>
      <w:r w:rsidRPr="00366DAA">
        <w:rPr>
          <w:rFonts w:ascii="Times New Roman" w:hAnsi="Times New Roman" w:cs="Times New Roman"/>
          <w:sz w:val="24"/>
          <w:szCs w:val="24"/>
        </w:rPr>
        <w:t>pmdarima.auto</w:t>
      </w:r>
      <w:proofErr w:type="gramEnd"/>
      <w:r w:rsidRPr="00366DAA">
        <w:rPr>
          <w:rFonts w:ascii="Times New Roman" w:hAnsi="Times New Roman" w:cs="Times New Roman"/>
          <w:sz w:val="24"/>
          <w:szCs w:val="24"/>
        </w:rPr>
        <w:t>_arima) across p</w:t>
      </w:r>
      <w:proofErr w:type="gramStart"/>
      <w:r w:rsidRPr="00366DAA">
        <w:rPr>
          <w:rFonts w:ascii="Cambria Math" w:hAnsi="Cambria Math" w:cs="Cambria Math"/>
          <w:sz w:val="24"/>
          <w:szCs w:val="24"/>
        </w:rPr>
        <w:t>∈</w:t>
      </w:r>
      <w:r w:rsidRPr="00366DAA">
        <w:rPr>
          <w:rFonts w:ascii="Times New Roman" w:hAnsi="Times New Roman" w:cs="Times New Roman"/>
          <w:sz w:val="24"/>
          <w:szCs w:val="24"/>
        </w:rPr>
        <w:t>[</w:t>
      </w:r>
      <w:proofErr w:type="gramEnd"/>
      <w:r w:rsidRPr="00366DAA">
        <w:rPr>
          <w:rFonts w:ascii="Times New Roman" w:hAnsi="Times New Roman" w:cs="Times New Roman"/>
          <w:sz w:val="24"/>
          <w:szCs w:val="24"/>
        </w:rPr>
        <w:t>0,6], d</w:t>
      </w:r>
      <w:proofErr w:type="gramStart"/>
      <w:r w:rsidRPr="00366DAA">
        <w:rPr>
          <w:rFonts w:ascii="Cambria Math" w:hAnsi="Cambria Math" w:cs="Cambria Math"/>
          <w:sz w:val="24"/>
          <w:szCs w:val="24"/>
        </w:rPr>
        <w:t>∈</w:t>
      </w:r>
      <w:r w:rsidRPr="00366DAA">
        <w:rPr>
          <w:rFonts w:ascii="Times New Roman" w:hAnsi="Times New Roman" w:cs="Times New Roman"/>
          <w:sz w:val="24"/>
          <w:szCs w:val="24"/>
        </w:rPr>
        <w:t>[</w:t>
      </w:r>
      <w:proofErr w:type="gramEnd"/>
      <w:r w:rsidRPr="00366DAA">
        <w:rPr>
          <w:rFonts w:ascii="Times New Roman" w:hAnsi="Times New Roman" w:cs="Times New Roman"/>
          <w:sz w:val="24"/>
          <w:szCs w:val="24"/>
        </w:rPr>
        <w:t>0,2], q</w:t>
      </w:r>
      <w:proofErr w:type="gramStart"/>
      <w:r w:rsidRPr="00366DAA">
        <w:rPr>
          <w:rFonts w:ascii="Cambria Math" w:hAnsi="Cambria Math" w:cs="Cambria Math"/>
          <w:sz w:val="24"/>
          <w:szCs w:val="24"/>
        </w:rPr>
        <w:t>∈</w:t>
      </w:r>
      <w:r w:rsidRPr="00366DAA">
        <w:rPr>
          <w:rFonts w:ascii="Times New Roman" w:hAnsi="Times New Roman" w:cs="Times New Roman"/>
          <w:sz w:val="24"/>
          <w:szCs w:val="24"/>
        </w:rPr>
        <w:t>[</w:t>
      </w:r>
      <w:proofErr w:type="gramEnd"/>
      <w:r w:rsidRPr="00366DAA">
        <w:rPr>
          <w:rFonts w:ascii="Times New Roman" w:hAnsi="Times New Roman" w:cs="Times New Roman"/>
          <w:sz w:val="24"/>
          <w:szCs w:val="24"/>
        </w:rPr>
        <w:t xml:space="preserve">0,6], </w:t>
      </w:r>
      <w:proofErr w:type="gramStart"/>
      <w:r w:rsidRPr="00366DAA">
        <w:rPr>
          <w:rFonts w:ascii="Times New Roman" w:hAnsi="Times New Roman" w:cs="Times New Roman"/>
          <w:sz w:val="24"/>
          <w:szCs w:val="24"/>
        </w:rPr>
        <w:t>P,D</w:t>
      </w:r>
      <w:proofErr w:type="gramEnd"/>
      <w:r w:rsidRPr="00366DAA">
        <w:rPr>
          <w:rFonts w:ascii="Times New Roman" w:hAnsi="Times New Roman" w:cs="Times New Roman"/>
          <w:sz w:val="24"/>
          <w:szCs w:val="24"/>
        </w:rPr>
        <w:t>,Q</w:t>
      </w:r>
      <w:proofErr w:type="gramStart"/>
      <w:r w:rsidRPr="00366DAA">
        <w:rPr>
          <w:rFonts w:ascii="Cambria Math" w:hAnsi="Cambria Math" w:cs="Cambria Math"/>
          <w:sz w:val="24"/>
          <w:szCs w:val="24"/>
        </w:rPr>
        <w:t>∈</w:t>
      </w:r>
      <w:r w:rsidRPr="00366DAA">
        <w:rPr>
          <w:rFonts w:ascii="Times New Roman" w:hAnsi="Times New Roman" w:cs="Times New Roman"/>
          <w:sz w:val="24"/>
          <w:szCs w:val="24"/>
        </w:rPr>
        <w:t>[</w:t>
      </w:r>
      <w:proofErr w:type="gramEnd"/>
      <w:r w:rsidRPr="00366DAA">
        <w:rPr>
          <w:rFonts w:ascii="Times New Roman" w:hAnsi="Times New Roman" w:cs="Times New Roman"/>
          <w:sz w:val="24"/>
          <w:szCs w:val="24"/>
        </w:rPr>
        <w:t xml:space="preserve">0,1], s=52 — covering all required combinations through an efficient stepwise algorithm (Hyndman &amp; Khandakar, 2008). This selected </w:t>
      </w:r>
      <w:proofErr w:type="gramStart"/>
      <w:r w:rsidRPr="00366DAA">
        <w:rPr>
          <w:rFonts w:ascii="Times New Roman" w:hAnsi="Times New Roman" w:cs="Times New Roman"/>
          <w:sz w:val="24"/>
          <w:szCs w:val="24"/>
        </w:rPr>
        <w:t>SARIMA(</w:t>
      </w:r>
      <w:proofErr w:type="gramEnd"/>
      <w:r w:rsidRPr="00366DAA">
        <w:rPr>
          <w:rFonts w:ascii="Times New Roman" w:hAnsi="Times New Roman" w:cs="Times New Roman"/>
          <w:sz w:val="24"/>
          <w:szCs w:val="24"/>
        </w:rPr>
        <w:t>1,0,</w:t>
      </w:r>
      <w:proofErr w:type="gramStart"/>
      <w:r w:rsidRPr="00366DAA">
        <w:rPr>
          <w:rFonts w:ascii="Times New Roman" w:hAnsi="Times New Roman" w:cs="Times New Roman"/>
          <w:sz w:val="24"/>
          <w:szCs w:val="24"/>
        </w:rPr>
        <w:t>0)(</w:t>
      </w:r>
      <w:proofErr w:type="gramEnd"/>
      <w:r w:rsidRPr="00366DAA">
        <w:rPr>
          <w:rFonts w:ascii="Times New Roman" w:hAnsi="Times New Roman" w:cs="Times New Roman"/>
          <w:sz w:val="24"/>
          <w:szCs w:val="24"/>
        </w:rPr>
        <w:t>1,0,</w:t>
      </w:r>
      <w:proofErr w:type="gramStart"/>
      <w:r w:rsidRPr="00366DAA">
        <w:rPr>
          <w:rFonts w:ascii="Times New Roman" w:hAnsi="Times New Roman" w:cs="Times New Roman"/>
          <w:sz w:val="24"/>
          <w:szCs w:val="24"/>
        </w:rPr>
        <w:t>0)[</w:t>
      </w:r>
      <w:proofErr w:type="gramEnd"/>
      <w:r w:rsidRPr="00366DAA">
        <w:rPr>
          <w:rFonts w:ascii="Times New Roman" w:hAnsi="Times New Roman" w:cs="Times New Roman"/>
          <w:sz w:val="24"/>
          <w:szCs w:val="24"/>
        </w:rPr>
        <w:t>52] with AIC=3,521.84. The d=0 order is consistent with the stationarity analysis. Residual diagnostics (Figure 5, left) confirm no significant residual autocorrelation — the model has extracted the predictable structure. Despite this, SARIMA achieved RMSE = 3,247.2 MW, only marginally above Seasonal Naive. The reason: the COVID-19 structural break (Figure 5, right) drove demand far below the model's seasonal prediction in spring 2020 — a pattern impossible to anticipate from pre-COVID training data. The 95% confidence intervals widen appropriately but do not capture the anomaly, which lies far outside historically-calibrated uncertainty bands.</w:t>
      </w:r>
    </w:p>
    <w:tbl>
      <w:tblPr>
        <w:tblStyle w:val="TableGrid"/>
        <w:tblW w:w="0" w:type="auto"/>
        <w:tblLook w:val="04A0" w:firstRow="1" w:lastRow="0" w:firstColumn="1" w:lastColumn="0" w:noHBand="0" w:noVBand="1"/>
      </w:tblPr>
      <w:tblGrid>
        <w:gridCol w:w="4703"/>
        <w:gridCol w:w="4703"/>
      </w:tblGrid>
      <w:tr w:rsidR="00104F86" w:rsidRPr="00366DAA" w14:paraId="31B08FD8" w14:textId="77777777">
        <w:tc>
          <w:tcPr>
            <w:tcW w:w="4703" w:type="dxa"/>
          </w:tcPr>
          <w:p w14:paraId="786B6FB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77416100" wp14:editId="223333EA">
                  <wp:extent cx="2468880" cy="1511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arima_residuals.png"/>
                          <pic:cNvPicPr/>
                        </pic:nvPicPr>
                        <pic:blipFill>
                          <a:blip r:embed="rId11"/>
                          <a:stretch>
                            <a:fillRect/>
                          </a:stretch>
                        </pic:blipFill>
                        <pic:spPr>
                          <a:xfrm>
                            <a:off x="0" y="0"/>
                            <a:ext cx="2468880" cy="1511275"/>
                          </a:xfrm>
                          <a:prstGeom prst="rect">
                            <a:avLst/>
                          </a:prstGeom>
                        </pic:spPr>
                      </pic:pic>
                    </a:graphicData>
                  </a:graphic>
                </wp:inline>
              </w:drawing>
            </w:r>
          </w:p>
          <w:p w14:paraId="4CA923C2"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i/>
                <w:sz w:val="24"/>
                <w:szCs w:val="24"/>
              </w:rPr>
              <w:t>Fig 5a: SARIMA residual diagnostics — no significant autocorrelation.</w:t>
            </w:r>
          </w:p>
        </w:tc>
        <w:tc>
          <w:tcPr>
            <w:tcW w:w="4703" w:type="dxa"/>
          </w:tcPr>
          <w:p w14:paraId="0FCD9B87"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215B55AD" wp14:editId="47F29421">
                  <wp:extent cx="2468880" cy="10470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arima_forecast.png"/>
                          <pic:cNvPicPr/>
                        </pic:nvPicPr>
                        <pic:blipFill>
                          <a:blip r:embed="rId12"/>
                          <a:stretch>
                            <a:fillRect/>
                          </a:stretch>
                        </pic:blipFill>
                        <pic:spPr>
                          <a:xfrm>
                            <a:off x="0" y="0"/>
                            <a:ext cx="2468880" cy="1047012"/>
                          </a:xfrm>
                          <a:prstGeom prst="rect">
                            <a:avLst/>
                          </a:prstGeom>
                        </pic:spPr>
                      </pic:pic>
                    </a:graphicData>
                  </a:graphic>
                </wp:inline>
              </w:drawing>
            </w:r>
          </w:p>
          <w:p w14:paraId="5DD4398C"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i/>
                <w:sz w:val="24"/>
                <w:szCs w:val="24"/>
              </w:rPr>
              <w:t>Fig 5b: SARIMA forecast with 95% CI. COVID divergence visible in 2020.</w:t>
            </w:r>
          </w:p>
        </w:tc>
      </w:tr>
    </w:tbl>
    <w:p w14:paraId="5D8B1F18" w14:textId="77777777" w:rsidR="00104F86" w:rsidRPr="00366DAA" w:rsidRDefault="00104F86">
      <w:pPr>
        <w:spacing w:after="80"/>
        <w:rPr>
          <w:rFonts w:ascii="Times New Roman" w:hAnsi="Times New Roman" w:cs="Times New Roman"/>
          <w:sz w:val="24"/>
          <w:szCs w:val="24"/>
        </w:rPr>
      </w:pPr>
    </w:p>
    <w:p w14:paraId="3D34BC74" w14:textId="77777777" w:rsidR="00104F86" w:rsidRPr="0086416C" w:rsidRDefault="0015264C">
      <w:pPr>
        <w:pStyle w:val="Heading1"/>
        <w:rPr>
          <w:rFonts w:ascii="Times New Roman" w:hAnsi="Times New Roman" w:cs="Times New Roman"/>
          <w:color w:val="auto"/>
        </w:rPr>
      </w:pPr>
      <w:r w:rsidRPr="0086416C">
        <w:rPr>
          <w:rFonts w:ascii="Times New Roman" w:hAnsi="Times New Roman" w:cs="Times New Roman"/>
          <w:color w:val="auto"/>
        </w:rPr>
        <w:t>5. SARIMAX with Temperature Covariates</w:t>
      </w:r>
    </w:p>
    <w:p w14:paraId="2B2E74BA"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 xml:space="preserve">SARIMAX was motivated by the known physical link between temperature and electricity demand — cold temperatures drive heating, hot temperatures drive cooling, creating a U-shaped demand-temperature curve. Heating Degree Days (HDD = </w:t>
      </w:r>
      <w:proofErr w:type="gramStart"/>
      <w:r w:rsidRPr="00366DAA">
        <w:rPr>
          <w:rFonts w:ascii="Times New Roman" w:hAnsi="Times New Roman" w:cs="Times New Roman"/>
          <w:sz w:val="24"/>
          <w:szCs w:val="24"/>
        </w:rPr>
        <w:t>max(</w:t>
      </w:r>
      <w:proofErr w:type="gramEnd"/>
      <w:r w:rsidRPr="00366DAA">
        <w:rPr>
          <w:rFonts w:ascii="Times New Roman" w:hAnsi="Times New Roman" w:cs="Times New Roman"/>
          <w:sz w:val="24"/>
          <w:szCs w:val="24"/>
        </w:rPr>
        <w:t xml:space="preserve">18-T, 0)) and Cooling Degree Days (CDD = </w:t>
      </w:r>
      <w:proofErr w:type="gramStart"/>
      <w:r w:rsidRPr="00366DAA">
        <w:rPr>
          <w:rFonts w:ascii="Times New Roman" w:hAnsi="Times New Roman" w:cs="Times New Roman"/>
          <w:sz w:val="24"/>
          <w:szCs w:val="24"/>
        </w:rPr>
        <w:t>max(</w:t>
      </w:r>
      <w:proofErr w:type="gramEnd"/>
      <w:r w:rsidRPr="00366DAA">
        <w:rPr>
          <w:rFonts w:ascii="Times New Roman" w:hAnsi="Times New Roman" w:cs="Times New Roman"/>
          <w:sz w:val="24"/>
          <w:szCs w:val="24"/>
        </w:rPr>
        <w:t xml:space="preserve">T-22, 0)) were derived from Berlin temperature (Open-Meteo API) and preferred over raw temperature because they directly quantify energy demand implications of temperature deviation from comfort thresholds (Cai et al., 2019). One-week lagged features (HDD_lag1, CDD_lag1) prevent data leakage — current week degree-days are unavailable at the forecast origin, making this a conditional rather than unconditional forecast. Unfortunately, SARIMAX produced RMSE = 18,315.7 MW (Figure 6), indicating numerical instability rather than genuine forecast performance. The likely cause is collinearity between degree-day features </w:t>
      </w:r>
      <w:r w:rsidRPr="00366DAA">
        <w:rPr>
          <w:rFonts w:ascii="Times New Roman" w:hAnsi="Times New Roman" w:cs="Times New Roman"/>
          <w:sz w:val="24"/>
          <w:szCs w:val="24"/>
        </w:rPr>
        <w:lastRenderedPageBreak/>
        <w:t xml:space="preserve">and the </w:t>
      </w:r>
      <w:proofErr w:type="gramStart"/>
      <w:r w:rsidRPr="00366DAA">
        <w:rPr>
          <w:rFonts w:ascii="Times New Roman" w:hAnsi="Times New Roman" w:cs="Times New Roman"/>
          <w:sz w:val="24"/>
          <w:szCs w:val="24"/>
        </w:rPr>
        <w:t>SAR(</w:t>
      </w:r>
      <w:proofErr w:type="gramEnd"/>
      <w:r w:rsidRPr="00366DAA">
        <w:rPr>
          <w:rFonts w:ascii="Times New Roman" w:hAnsi="Times New Roman" w:cs="Times New Roman"/>
          <w:sz w:val="24"/>
          <w:szCs w:val="24"/>
        </w:rPr>
        <w:t>1) seasonal term — both capture the annual demand cycle, creating near-linear dependence in the design matrix. This limitation requires further investigation; alternative formulations such as temperature quintile dummies may resolve it.</w:t>
      </w:r>
    </w:p>
    <w:p w14:paraId="3040BB18"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40299E5D" wp14:editId="17AD309A">
            <wp:extent cx="4572000" cy="19401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arimax_forecast.png"/>
                    <pic:cNvPicPr/>
                  </pic:nvPicPr>
                  <pic:blipFill>
                    <a:blip r:embed="rId13"/>
                    <a:stretch>
                      <a:fillRect/>
                    </a:stretch>
                  </pic:blipFill>
                  <pic:spPr>
                    <a:xfrm>
                      <a:off x="0" y="0"/>
                      <a:ext cx="4572000" cy="1940181"/>
                    </a:xfrm>
                    <a:prstGeom prst="rect">
                      <a:avLst/>
                    </a:prstGeom>
                  </pic:spPr>
                </pic:pic>
              </a:graphicData>
            </a:graphic>
          </wp:inline>
        </w:drawing>
      </w:r>
    </w:p>
    <w:p w14:paraId="3E56520C" w14:textId="77777777" w:rsidR="00104F86" w:rsidRPr="00366DAA" w:rsidRDefault="0015264C">
      <w:pPr>
        <w:spacing w:after="120"/>
        <w:jc w:val="center"/>
        <w:rPr>
          <w:rFonts w:ascii="Times New Roman" w:hAnsi="Times New Roman" w:cs="Times New Roman"/>
          <w:sz w:val="24"/>
          <w:szCs w:val="24"/>
        </w:rPr>
      </w:pPr>
      <w:r w:rsidRPr="00366DAA">
        <w:rPr>
          <w:rFonts w:ascii="Times New Roman" w:hAnsi="Times New Roman" w:cs="Times New Roman"/>
          <w:i/>
          <w:sz w:val="24"/>
          <w:szCs w:val="24"/>
        </w:rPr>
        <w:t xml:space="preserve">Figure 6: SARIMAX forecast showing numerical instability (RMSE=18,315.7 MW). Collinearity between degree-day features and </w:t>
      </w:r>
      <w:proofErr w:type="gramStart"/>
      <w:r w:rsidRPr="00366DAA">
        <w:rPr>
          <w:rFonts w:ascii="Times New Roman" w:hAnsi="Times New Roman" w:cs="Times New Roman"/>
          <w:i/>
          <w:sz w:val="24"/>
          <w:szCs w:val="24"/>
        </w:rPr>
        <w:t>SAR(</w:t>
      </w:r>
      <w:proofErr w:type="gramEnd"/>
      <w:r w:rsidRPr="00366DAA">
        <w:rPr>
          <w:rFonts w:ascii="Times New Roman" w:hAnsi="Times New Roman" w:cs="Times New Roman"/>
          <w:i/>
          <w:sz w:val="24"/>
          <w:szCs w:val="24"/>
        </w:rPr>
        <w:t>1) term is the likely cause.</w:t>
      </w:r>
    </w:p>
    <w:p w14:paraId="10967765" w14:textId="77777777" w:rsidR="00104F86" w:rsidRPr="0086416C" w:rsidRDefault="0015264C">
      <w:pPr>
        <w:pStyle w:val="Heading1"/>
        <w:rPr>
          <w:rFonts w:ascii="Times New Roman" w:hAnsi="Times New Roman" w:cs="Times New Roman"/>
          <w:color w:val="auto"/>
        </w:rPr>
      </w:pPr>
      <w:r w:rsidRPr="0086416C">
        <w:rPr>
          <w:rFonts w:ascii="Times New Roman" w:hAnsi="Times New Roman" w:cs="Times New Roman"/>
          <w:color w:val="auto"/>
        </w:rPr>
        <w:t>6. Feature-Based Regression Models</w:t>
      </w:r>
    </w:p>
    <w:p w14:paraId="776F19C8"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Random Forest and Gradient Boosting were chosen because they can capture non-linear interactions between predictors that SARIMA cannot model (Tyralis &amp; Papacharalampous, 2017). They treat forecasting as supervised regression: past values are explicit input features rather than implicit AR terms, allowing direct use of load_lag52 which proves to be the dominant signal. A 16-variable feature matrix included calendar features (week sin/cosine cyclical encoding, month, year), load lags (1,2,4,8,52 weeks), rolling means (4,8,52 weeks), temperature lags (HDD_lag1, CDD_lag1), and public holiday indicators. All features used shift ≥ 1 to prevent leakage; train/test split was applied before engineering (Kaufman et al., 2012). Random Forest (500 trees, min 2 samples per leaf) achieved RMSE = 2,695.4 MW (skill +0.12, MAPE = 3.79%) — a meaningful 12% improvement over Seasonal Naive. Gradient Boosting (300 trees, lr=0.05, depth=4, subsample=0.8) achieved RMSE = 2,820.1 MW (skill +0.08). Feature importance (Figure 7, left) reveals load_lag52 as the dominant predictor — the models essentially learned to weight last year's same-week value heavily, with corrections from other features providing the 12% improvement over the pure Seasonal Naive. Both models substantially outperform SARIMA, demonstrating that direct inclusion of load_lag52 as a feature is more effective than modelling annual seasonality through the SAR term.</w:t>
      </w:r>
    </w:p>
    <w:tbl>
      <w:tblPr>
        <w:tblStyle w:val="TableGrid"/>
        <w:tblW w:w="0" w:type="auto"/>
        <w:tblLook w:val="04A0" w:firstRow="1" w:lastRow="0" w:firstColumn="1" w:lastColumn="0" w:noHBand="0" w:noVBand="1"/>
      </w:tblPr>
      <w:tblGrid>
        <w:gridCol w:w="4703"/>
        <w:gridCol w:w="4703"/>
      </w:tblGrid>
      <w:tr w:rsidR="00104F86" w:rsidRPr="00366DAA" w14:paraId="0D873627" w14:textId="77777777">
        <w:tc>
          <w:tcPr>
            <w:tcW w:w="4703" w:type="dxa"/>
          </w:tcPr>
          <w:p w14:paraId="7C3D016B"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6A2E3D1D" wp14:editId="0AEB7215">
                  <wp:extent cx="2468880" cy="8109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eature_importance.png"/>
                          <pic:cNvPicPr/>
                        </pic:nvPicPr>
                        <pic:blipFill>
                          <a:blip r:embed="rId14"/>
                          <a:stretch>
                            <a:fillRect/>
                          </a:stretch>
                        </pic:blipFill>
                        <pic:spPr>
                          <a:xfrm>
                            <a:off x="0" y="0"/>
                            <a:ext cx="2468880" cy="810902"/>
                          </a:xfrm>
                          <a:prstGeom prst="rect">
                            <a:avLst/>
                          </a:prstGeom>
                        </pic:spPr>
                      </pic:pic>
                    </a:graphicData>
                  </a:graphic>
                </wp:inline>
              </w:drawing>
            </w:r>
          </w:p>
          <w:p w14:paraId="4B6C582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i/>
                <w:sz w:val="24"/>
                <w:szCs w:val="24"/>
              </w:rPr>
              <w:t>Fig 7a: Feature importance. load_lag52 dominates in both RF and GBM.</w:t>
            </w:r>
          </w:p>
        </w:tc>
        <w:tc>
          <w:tcPr>
            <w:tcW w:w="4703" w:type="dxa"/>
          </w:tcPr>
          <w:p w14:paraId="167E10B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05843C5D" wp14:editId="3D0C801F">
                  <wp:extent cx="2468880" cy="10470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eature_forecast.png"/>
                          <pic:cNvPicPr/>
                        </pic:nvPicPr>
                        <pic:blipFill>
                          <a:blip r:embed="rId15"/>
                          <a:stretch>
                            <a:fillRect/>
                          </a:stretch>
                        </pic:blipFill>
                        <pic:spPr>
                          <a:xfrm>
                            <a:off x="0" y="0"/>
                            <a:ext cx="2468880" cy="1047012"/>
                          </a:xfrm>
                          <a:prstGeom prst="rect">
                            <a:avLst/>
                          </a:prstGeom>
                        </pic:spPr>
                      </pic:pic>
                    </a:graphicData>
                  </a:graphic>
                </wp:inline>
              </w:drawing>
            </w:r>
          </w:p>
          <w:p w14:paraId="7D53A8F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i/>
                <w:sz w:val="24"/>
                <w:szCs w:val="24"/>
              </w:rPr>
              <w:t>Fig 7b: RF and GB forecasts. Both track seasonal cycle well.</w:t>
            </w:r>
          </w:p>
        </w:tc>
      </w:tr>
    </w:tbl>
    <w:p w14:paraId="17351EDB" w14:textId="77777777" w:rsidR="00104F86" w:rsidRPr="00366DAA" w:rsidRDefault="00104F86">
      <w:pPr>
        <w:spacing w:after="80"/>
        <w:rPr>
          <w:rFonts w:ascii="Times New Roman" w:hAnsi="Times New Roman" w:cs="Times New Roman"/>
          <w:sz w:val="24"/>
          <w:szCs w:val="24"/>
        </w:rPr>
      </w:pPr>
    </w:p>
    <w:p w14:paraId="6BED833C" w14:textId="77777777" w:rsidR="00104F86" w:rsidRPr="0086416C" w:rsidRDefault="0015264C">
      <w:pPr>
        <w:pStyle w:val="Heading1"/>
        <w:rPr>
          <w:rFonts w:ascii="Times New Roman" w:hAnsi="Times New Roman" w:cs="Times New Roman"/>
          <w:color w:val="auto"/>
        </w:rPr>
      </w:pPr>
      <w:r w:rsidRPr="0086416C">
        <w:rPr>
          <w:rFonts w:ascii="Times New Roman" w:hAnsi="Times New Roman" w:cs="Times New Roman"/>
          <w:color w:val="auto"/>
        </w:rPr>
        <w:lastRenderedPageBreak/>
        <w:t>7. LSTM Neural Network</w:t>
      </w:r>
    </w:p>
    <w:p w14:paraId="11D0802C"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LSTM was chosen for hourly modelling because standard networks cannot handle sequential temporal data — LSTM's input, forget, and output gating mechanisms enable learning of dependencies at multiple timescales simultaneously (Hochreiter &amp; Schmidhuber, 1997). For electricity demand this means capturing the hourly within-day pattern, daily weekday/weekend cycle, and weekly trends from a single architecture. Prior work confirms LSTM competitiveness on energy benchmarks (Hewamalage et al., 2021; Kong et al., 2019). The 168-hour look-back window was deliberately chosen to capture exactly one full weekly cycle — shorter windows would miss the weekday/weekend pattern. The Stacked LSTM (</w:t>
      </w:r>
      <w:proofErr w:type="gramStart"/>
      <w:r w:rsidRPr="00366DAA">
        <w:rPr>
          <w:rFonts w:ascii="Times New Roman" w:hAnsi="Times New Roman" w:cs="Times New Roman"/>
          <w:sz w:val="24"/>
          <w:szCs w:val="24"/>
        </w:rPr>
        <w:t>LSTM(</w:t>
      </w:r>
      <w:proofErr w:type="gramEnd"/>
      <w:r w:rsidRPr="00366DAA">
        <w:rPr>
          <w:rFonts w:ascii="Times New Roman" w:hAnsi="Times New Roman" w:cs="Times New Roman"/>
          <w:sz w:val="24"/>
          <w:szCs w:val="24"/>
        </w:rPr>
        <w:t xml:space="preserve">128) → </w:t>
      </w:r>
      <w:proofErr w:type="gramStart"/>
      <w:r w:rsidRPr="00366DAA">
        <w:rPr>
          <w:rFonts w:ascii="Times New Roman" w:hAnsi="Times New Roman" w:cs="Times New Roman"/>
          <w:sz w:val="24"/>
          <w:szCs w:val="24"/>
        </w:rPr>
        <w:t>Dropout(</w:t>
      </w:r>
      <w:proofErr w:type="gramEnd"/>
      <w:r w:rsidRPr="00366DAA">
        <w:rPr>
          <w:rFonts w:ascii="Times New Roman" w:hAnsi="Times New Roman" w:cs="Times New Roman"/>
          <w:sz w:val="24"/>
          <w:szCs w:val="24"/>
        </w:rPr>
        <w:t xml:space="preserve">0.2) → </w:t>
      </w:r>
      <w:proofErr w:type="gramStart"/>
      <w:r w:rsidRPr="00366DAA">
        <w:rPr>
          <w:rFonts w:ascii="Times New Roman" w:hAnsi="Times New Roman" w:cs="Times New Roman"/>
          <w:sz w:val="24"/>
          <w:szCs w:val="24"/>
        </w:rPr>
        <w:t>LSTM(</w:t>
      </w:r>
      <w:proofErr w:type="gramEnd"/>
      <w:r w:rsidRPr="00366DAA">
        <w:rPr>
          <w:rFonts w:ascii="Times New Roman" w:hAnsi="Times New Roman" w:cs="Times New Roman"/>
          <w:sz w:val="24"/>
          <w:szCs w:val="24"/>
        </w:rPr>
        <w:t xml:space="preserve">64) → </w:t>
      </w:r>
      <w:proofErr w:type="gramStart"/>
      <w:r w:rsidRPr="00366DAA">
        <w:rPr>
          <w:rFonts w:ascii="Times New Roman" w:hAnsi="Times New Roman" w:cs="Times New Roman"/>
          <w:sz w:val="24"/>
          <w:szCs w:val="24"/>
        </w:rPr>
        <w:t>Dropout(</w:t>
      </w:r>
      <w:proofErr w:type="gramEnd"/>
      <w:r w:rsidRPr="00366DAA">
        <w:rPr>
          <w:rFonts w:ascii="Times New Roman" w:hAnsi="Times New Roman" w:cs="Times New Roman"/>
          <w:sz w:val="24"/>
          <w:szCs w:val="24"/>
        </w:rPr>
        <w:t xml:space="preserve">0.2) → </w:t>
      </w:r>
      <w:proofErr w:type="gramStart"/>
      <w:r w:rsidRPr="00366DAA">
        <w:rPr>
          <w:rFonts w:ascii="Times New Roman" w:hAnsi="Times New Roman" w:cs="Times New Roman"/>
          <w:sz w:val="24"/>
          <w:szCs w:val="24"/>
        </w:rPr>
        <w:t>Dense(</w:t>
      </w:r>
      <w:proofErr w:type="gramEnd"/>
      <w:r w:rsidRPr="00366DAA">
        <w:rPr>
          <w:rFonts w:ascii="Times New Roman" w:hAnsi="Times New Roman" w:cs="Times New Roman"/>
          <w:sz w:val="24"/>
          <w:szCs w:val="24"/>
        </w:rPr>
        <w:t xml:space="preserve">32) → </w:t>
      </w:r>
      <w:proofErr w:type="gramStart"/>
      <w:r w:rsidRPr="00366DAA">
        <w:rPr>
          <w:rFonts w:ascii="Times New Roman" w:hAnsi="Times New Roman" w:cs="Times New Roman"/>
          <w:sz w:val="24"/>
          <w:szCs w:val="24"/>
        </w:rPr>
        <w:t>Dense(</w:t>
      </w:r>
      <w:proofErr w:type="gramEnd"/>
      <w:r w:rsidRPr="00366DAA">
        <w:rPr>
          <w:rFonts w:ascii="Times New Roman" w:hAnsi="Times New Roman" w:cs="Times New Roman"/>
          <w:sz w:val="24"/>
          <w:szCs w:val="24"/>
        </w:rPr>
        <w:t xml:space="preserve">1)) uses two layers because the first captures within-day patterns and the second integrates them into multi-day representations. </w:t>
      </w:r>
      <w:proofErr w:type="gramStart"/>
      <w:r w:rsidRPr="00366DAA">
        <w:rPr>
          <w:rFonts w:ascii="Times New Roman" w:hAnsi="Times New Roman" w:cs="Times New Roman"/>
          <w:sz w:val="24"/>
          <w:szCs w:val="24"/>
        </w:rPr>
        <w:t>Dropout(</w:t>
      </w:r>
      <w:proofErr w:type="gramEnd"/>
      <w:r w:rsidRPr="00366DAA">
        <w:rPr>
          <w:rFonts w:ascii="Times New Roman" w:hAnsi="Times New Roman" w:cs="Times New Roman"/>
          <w:sz w:val="24"/>
          <w:szCs w:val="24"/>
        </w:rPr>
        <w:t>0.2) after each layer prevented overfitting. Figure 8 (left) shows smooth convergence with validation loss tracking training loss — confirming effective regularisation. The Stacked LSTM achieved RMSE = 120.7 MW (skill +0.96, MAPE = 0.18%); BiLSTM achieved RMSE = 1,178.2 MW (skill +0.62). Two caveats: the comparison with weekly-trained models is not fully like-for-like because weekly aggregation of hourly predictions smooths errors substantially; and the model operates at hourly resolution with more training data. Despite this, Figure 8 (right) shows LSTM tracking the actual series far more closely than any other approach, including through the challenging 2020 period.</w:t>
      </w:r>
    </w:p>
    <w:tbl>
      <w:tblPr>
        <w:tblStyle w:val="TableGrid"/>
        <w:tblW w:w="0" w:type="auto"/>
        <w:tblLook w:val="04A0" w:firstRow="1" w:lastRow="0" w:firstColumn="1" w:lastColumn="0" w:noHBand="0" w:noVBand="1"/>
      </w:tblPr>
      <w:tblGrid>
        <w:gridCol w:w="4703"/>
        <w:gridCol w:w="4703"/>
      </w:tblGrid>
      <w:tr w:rsidR="00104F86" w:rsidRPr="00366DAA" w14:paraId="36761562" w14:textId="77777777">
        <w:tc>
          <w:tcPr>
            <w:tcW w:w="4703" w:type="dxa"/>
          </w:tcPr>
          <w:p w14:paraId="06D1D6B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239BF1EA" wp14:editId="309C70E1">
                  <wp:extent cx="2468880" cy="10463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lstm_training.png"/>
                          <pic:cNvPicPr/>
                        </pic:nvPicPr>
                        <pic:blipFill>
                          <a:blip r:embed="rId16"/>
                          <a:stretch>
                            <a:fillRect/>
                          </a:stretch>
                        </pic:blipFill>
                        <pic:spPr>
                          <a:xfrm>
                            <a:off x="0" y="0"/>
                            <a:ext cx="2468880" cy="1046327"/>
                          </a:xfrm>
                          <a:prstGeom prst="rect">
                            <a:avLst/>
                          </a:prstGeom>
                        </pic:spPr>
                      </pic:pic>
                    </a:graphicData>
                  </a:graphic>
                </wp:inline>
              </w:drawing>
            </w:r>
          </w:p>
          <w:p w14:paraId="3B266C2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i/>
                <w:sz w:val="24"/>
                <w:szCs w:val="24"/>
              </w:rPr>
              <w:t>Fig 8a: LSTM/BiLSTM training curves — smooth convergence confirms regularisation.</w:t>
            </w:r>
          </w:p>
        </w:tc>
        <w:tc>
          <w:tcPr>
            <w:tcW w:w="4703" w:type="dxa"/>
          </w:tcPr>
          <w:p w14:paraId="4C0F761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7CA33D87" wp14:editId="1D7C636C">
                  <wp:extent cx="2468880" cy="10154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lstm_forecast.png"/>
                          <pic:cNvPicPr/>
                        </pic:nvPicPr>
                        <pic:blipFill>
                          <a:blip r:embed="rId17"/>
                          <a:stretch>
                            <a:fillRect/>
                          </a:stretch>
                        </pic:blipFill>
                        <pic:spPr>
                          <a:xfrm>
                            <a:off x="0" y="0"/>
                            <a:ext cx="2468880" cy="1015487"/>
                          </a:xfrm>
                          <a:prstGeom prst="rect">
                            <a:avLst/>
                          </a:prstGeom>
                        </pic:spPr>
                      </pic:pic>
                    </a:graphicData>
                  </a:graphic>
                </wp:inline>
              </w:drawing>
            </w:r>
          </w:p>
          <w:p w14:paraId="0833635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i/>
                <w:sz w:val="24"/>
                <w:szCs w:val="24"/>
              </w:rPr>
              <w:t>Fig 8b: LSTM weekly-aggregated forecast. Closest tracking of actual demand.</w:t>
            </w:r>
          </w:p>
        </w:tc>
      </w:tr>
    </w:tbl>
    <w:p w14:paraId="6B1F2D36" w14:textId="77777777" w:rsidR="00104F86" w:rsidRPr="00366DAA" w:rsidRDefault="00104F86">
      <w:pPr>
        <w:spacing w:after="80"/>
        <w:rPr>
          <w:rFonts w:ascii="Times New Roman" w:hAnsi="Times New Roman" w:cs="Times New Roman"/>
          <w:sz w:val="24"/>
          <w:szCs w:val="24"/>
        </w:rPr>
      </w:pPr>
    </w:p>
    <w:p w14:paraId="26165DF1" w14:textId="77777777" w:rsidR="00104F86" w:rsidRPr="0086416C" w:rsidRDefault="0015264C">
      <w:pPr>
        <w:pStyle w:val="Heading1"/>
        <w:rPr>
          <w:rFonts w:ascii="Times New Roman" w:hAnsi="Times New Roman" w:cs="Times New Roman"/>
          <w:color w:val="auto"/>
        </w:rPr>
      </w:pPr>
      <w:r w:rsidRPr="0086416C">
        <w:rPr>
          <w:rFonts w:ascii="Times New Roman" w:hAnsi="Times New Roman" w:cs="Times New Roman"/>
          <w:color w:val="auto"/>
        </w:rPr>
        <w:t>8. Model Comparison and Critical Evaluation</w:t>
      </w:r>
    </w:p>
    <w:tbl>
      <w:tblPr>
        <w:tblStyle w:val="TableGrid"/>
        <w:tblW w:w="0" w:type="auto"/>
        <w:jc w:val="center"/>
        <w:tblLook w:val="04A0" w:firstRow="1" w:lastRow="0" w:firstColumn="1" w:lastColumn="0" w:noHBand="0" w:noVBand="1"/>
      </w:tblPr>
      <w:tblGrid>
        <w:gridCol w:w="2431"/>
        <w:gridCol w:w="1807"/>
        <w:gridCol w:w="1807"/>
        <w:gridCol w:w="1795"/>
        <w:gridCol w:w="1782"/>
      </w:tblGrid>
      <w:tr w:rsidR="00366DAA" w:rsidRPr="00366DAA" w14:paraId="34C1C8D0" w14:textId="77777777">
        <w:trPr>
          <w:jc w:val="center"/>
        </w:trPr>
        <w:tc>
          <w:tcPr>
            <w:tcW w:w="1881" w:type="dxa"/>
          </w:tcPr>
          <w:p w14:paraId="431E9AA0" w14:textId="77777777" w:rsidR="00104F86" w:rsidRPr="00366DAA" w:rsidRDefault="00104F86">
            <w:pPr>
              <w:rPr>
                <w:rFonts w:ascii="Times New Roman" w:hAnsi="Times New Roman" w:cs="Times New Roman"/>
                <w:sz w:val="24"/>
                <w:szCs w:val="24"/>
              </w:rPr>
            </w:pPr>
          </w:p>
        </w:tc>
        <w:tc>
          <w:tcPr>
            <w:tcW w:w="1881" w:type="dxa"/>
          </w:tcPr>
          <w:p w14:paraId="081ECF2F" w14:textId="77777777" w:rsidR="00104F86" w:rsidRPr="00366DAA" w:rsidRDefault="00104F86">
            <w:pPr>
              <w:rPr>
                <w:rFonts w:ascii="Times New Roman" w:hAnsi="Times New Roman" w:cs="Times New Roman"/>
                <w:sz w:val="24"/>
                <w:szCs w:val="24"/>
              </w:rPr>
            </w:pPr>
          </w:p>
        </w:tc>
        <w:tc>
          <w:tcPr>
            <w:tcW w:w="1881" w:type="dxa"/>
          </w:tcPr>
          <w:p w14:paraId="20FEF67F" w14:textId="77777777" w:rsidR="00104F86" w:rsidRPr="00366DAA" w:rsidRDefault="00104F86">
            <w:pPr>
              <w:rPr>
                <w:rFonts w:ascii="Times New Roman" w:hAnsi="Times New Roman" w:cs="Times New Roman"/>
                <w:sz w:val="24"/>
                <w:szCs w:val="24"/>
              </w:rPr>
            </w:pPr>
          </w:p>
        </w:tc>
        <w:tc>
          <w:tcPr>
            <w:tcW w:w="1881" w:type="dxa"/>
          </w:tcPr>
          <w:p w14:paraId="7043375B" w14:textId="77777777" w:rsidR="00104F86" w:rsidRPr="00366DAA" w:rsidRDefault="00104F86">
            <w:pPr>
              <w:rPr>
                <w:rFonts w:ascii="Times New Roman" w:hAnsi="Times New Roman" w:cs="Times New Roman"/>
                <w:sz w:val="24"/>
                <w:szCs w:val="24"/>
              </w:rPr>
            </w:pPr>
          </w:p>
        </w:tc>
        <w:tc>
          <w:tcPr>
            <w:tcW w:w="1881" w:type="dxa"/>
          </w:tcPr>
          <w:p w14:paraId="5DAF9A5D" w14:textId="77777777" w:rsidR="00104F86" w:rsidRPr="00366DAA" w:rsidRDefault="00104F86">
            <w:pPr>
              <w:rPr>
                <w:rFonts w:ascii="Times New Roman" w:hAnsi="Times New Roman" w:cs="Times New Roman"/>
                <w:sz w:val="24"/>
                <w:szCs w:val="24"/>
              </w:rPr>
            </w:pPr>
          </w:p>
        </w:tc>
      </w:tr>
      <w:tr w:rsidR="00366DAA" w:rsidRPr="00366DAA" w14:paraId="53947634" w14:textId="77777777">
        <w:trPr>
          <w:jc w:val="center"/>
        </w:trPr>
        <w:tc>
          <w:tcPr>
            <w:tcW w:w="1881" w:type="dxa"/>
            <w:shd w:val="clear" w:color="auto" w:fill="BDD7EE"/>
          </w:tcPr>
          <w:p w14:paraId="0941A40A"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Model</w:t>
            </w:r>
          </w:p>
        </w:tc>
        <w:tc>
          <w:tcPr>
            <w:tcW w:w="1881" w:type="dxa"/>
            <w:shd w:val="clear" w:color="auto" w:fill="BDD7EE"/>
          </w:tcPr>
          <w:p w14:paraId="363ECA42"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RMSE (MW)</w:t>
            </w:r>
          </w:p>
        </w:tc>
        <w:tc>
          <w:tcPr>
            <w:tcW w:w="1881" w:type="dxa"/>
            <w:shd w:val="clear" w:color="auto" w:fill="BDD7EE"/>
          </w:tcPr>
          <w:p w14:paraId="21E2096A"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MAE (MW)</w:t>
            </w:r>
          </w:p>
        </w:tc>
        <w:tc>
          <w:tcPr>
            <w:tcW w:w="1881" w:type="dxa"/>
            <w:shd w:val="clear" w:color="auto" w:fill="BDD7EE"/>
          </w:tcPr>
          <w:p w14:paraId="778FED4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MAPE (%)</w:t>
            </w:r>
          </w:p>
        </w:tc>
        <w:tc>
          <w:tcPr>
            <w:tcW w:w="1881" w:type="dxa"/>
            <w:shd w:val="clear" w:color="auto" w:fill="BDD7EE"/>
          </w:tcPr>
          <w:p w14:paraId="678E27A9"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b/>
                <w:sz w:val="24"/>
                <w:szCs w:val="24"/>
              </w:rPr>
              <w:t>Skill vs SN</w:t>
            </w:r>
          </w:p>
        </w:tc>
      </w:tr>
      <w:tr w:rsidR="00366DAA" w:rsidRPr="00366DAA" w14:paraId="3CADED29" w14:textId="77777777">
        <w:trPr>
          <w:jc w:val="center"/>
        </w:trPr>
        <w:tc>
          <w:tcPr>
            <w:tcW w:w="1881" w:type="dxa"/>
            <w:shd w:val="clear" w:color="auto" w:fill="E2EFDA"/>
          </w:tcPr>
          <w:p w14:paraId="018793B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LSTM Stacked (168h)</w:t>
            </w:r>
          </w:p>
        </w:tc>
        <w:tc>
          <w:tcPr>
            <w:tcW w:w="1881" w:type="dxa"/>
            <w:shd w:val="clear" w:color="auto" w:fill="E2EFDA"/>
          </w:tcPr>
          <w:p w14:paraId="493B9440"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120.7</w:t>
            </w:r>
          </w:p>
        </w:tc>
        <w:tc>
          <w:tcPr>
            <w:tcW w:w="1881" w:type="dxa"/>
            <w:shd w:val="clear" w:color="auto" w:fill="E2EFDA"/>
          </w:tcPr>
          <w:p w14:paraId="0DB325E2"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94.7</w:t>
            </w:r>
          </w:p>
        </w:tc>
        <w:tc>
          <w:tcPr>
            <w:tcW w:w="1881" w:type="dxa"/>
            <w:shd w:val="clear" w:color="auto" w:fill="E2EFDA"/>
          </w:tcPr>
          <w:p w14:paraId="2CC10AB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0.18</w:t>
            </w:r>
          </w:p>
        </w:tc>
        <w:tc>
          <w:tcPr>
            <w:tcW w:w="1881" w:type="dxa"/>
            <w:shd w:val="clear" w:color="auto" w:fill="E2EFDA"/>
          </w:tcPr>
          <w:p w14:paraId="04C60B58"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+0.96</w:t>
            </w:r>
          </w:p>
        </w:tc>
      </w:tr>
      <w:tr w:rsidR="00366DAA" w:rsidRPr="00366DAA" w14:paraId="1E9C1B78" w14:textId="77777777">
        <w:trPr>
          <w:jc w:val="center"/>
        </w:trPr>
        <w:tc>
          <w:tcPr>
            <w:tcW w:w="1881" w:type="dxa"/>
            <w:shd w:val="clear" w:color="auto" w:fill="E2EFDA"/>
          </w:tcPr>
          <w:p w14:paraId="77700E97" w14:textId="77777777" w:rsidR="00104F86" w:rsidRPr="00366DAA" w:rsidRDefault="0015264C">
            <w:pPr>
              <w:jc w:val="center"/>
              <w:rPr>
                <w:rFonts w:ascii="Times New Roman" w:hAnsi="Times New Roman" w:cs="Times New Roman"/>
                <w:sz w:val="24"/>
                <w:szCs w:val="24"/>
              </w:rPr>
            </w:pPr>
            <w:proofErr w:type="spellStart"/>
            <w:r w:rsidRPr="00366DAA">
              <w:rPr>
                <w:rFonts w:ascii="Times New Roman" w:hAnsi="Times New Roman" w:cs="Times New Roman"/>
                <w:sz w:val="24"/>
                <w:szCs w:val="24"/>
              </w:rPr>
              <w:t>BiLSTM</w:t>
            </w:r>
            <w:proofErr w:type="spellEnd"/>
            <w:r w:rsidRPr="00366DAA">
              <w:rPr>
                <w:rFonts w:ascii="Times New Roman" w:hAnsi="Times New Roman" w:cs="Times New Roman"/>
                <w:sz w:val="24"/>
                <w:szCs w:val="24"/>
              </w:rPr>
              <w:t xml:space="preserve"> (168h)</w:t>
            </w:r>
          </w:p>
        </w:tc>
        <w:tc>
          <w:tcPr>
            <w:tcW w:w="1881" w:type="dxa"/>
            <w:shd w:val="clear" w:color="auto" w:fill="E2EFDA"/>
          </w:tcPr>
          <w:p w14:paraId="20ECA8C0"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1,178.2</w:t>
            </w:r>
          </w:p>
        </w:tc>
        <w:tc>
          <w:tcPr>
            <w:tcW w:w="1881" w:type="dxa"/>
            <w:shd w:val="clear" w:color="auto" w:fill="E2EFDA"/>
          </w:tcPr>
          <w:p w14:paraId="321284D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836.5</w:t>
            </w:r>
          </w:p>
        </w:tc>
        <w:tc>
          <w:tcPr>
            <w:tcW w:w="1881" w:type="dxa"/>
            <w:shd w:val="clear" w:color="auto" w:fill="E2EFDA"/>
          </w:tcPr>
          <w:p w14:paraId="0B7E598A"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1.56</w:t>
            </w:r>
          </w:p>
        </w:tc>
        <w:tc>
          <w:tcPr>
            <w:tcW w:w="1881" w:type="dxa"/>
            <w:shd w:val="clear" w:color="auto" w:fill="E2EFDA"/>
          </w:tcPr>
          <w:p w14:paraId="093DB02B"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+0.62</w:t>
            </w:r>
          </w:p>
        </w:tc>
      </w:tr>
      <w:tr w:rsidR="00366DAA" w:rsidRPr="00366DAA" w14:paraId="285C9EB5" w14:textId="77777777">
        <w:trPr>
          <w:jc w:val="center"/>
        </w:trPr>
        <w:tc>
          <w:tcPr>
            <w:tcW w:w="1881" w:type="dxa"/>
            <w:shd w:val="clear" w:color="auto" w:fill="FFF2CC"/>
          </w:tcPr>
          <w:p w14:paraId="65D686C2"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Random Forest</w:t>
            </w:r>
          </w:p>
        </w:tc>
        <w:tc>
          <w:tcPr>
            <w:tcW w:w="1881" w:type="dxa"/>
            <w:shd w:val="clear" w:color="auto" w:fill="FFF2CC"/>
          </w:tcPr>
          <w:p w14:paraId="71FCBB3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2,695.4</w:t>
            </w:r>
          </w:p>
        </w:tc>
        <w:tc>
          <w:tcPr>
            <w:tcW w:w="1881" w:type="dxa"/>
            <w:shd w:val="clear" w:color="auto" w:fill="FFF2CC"/>
          </w:tcPr>
          <w:p w14:paraId="07A6CE5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1,965.7</w:t>
            </w:r>
          </w:p>
        </w:tc>
        <w:tc>
          <w:tcPr>
            <w:tcW w:w="1881" w:type="dxa"/>
            <w:shd w:val="clear" w:color="auto" w:fill="FFF2CC"/>
          </w:tcPr>
          <w:p w14:paraId="2546198D"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3.79</w:t>
            </w:r>
          </w:p>
        </w:tc>
        <w:tc>
          <w:tcPr>
            <w:tcW w:w="1881" w:type="dxa"/>
            <w:shd w:val="clear" w:color="auto" w:fill="FFF2CC"/>
          </w:tcPr>
          <w:p w14:paraId="0D4EF012"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+0.12</w:t>
            </w:r>
          </w:p>
        </w:tc>
      </w:tr>
      <w:tr w:rsidR="00366DAA" w:rsidRPr="00366DAA" w14:paraId="3C3C00B4" w14:textId="77777777">
        <w:trPr>
          <w:jc w:val="center"/>
        </w:trPr>
        <w:tc>
          <w:tcPr>
            <w:tcW w:w="1881" w:type="dxa"/>
            <w:shd w:val="clear" w:color="auto" w:fill="FFF2CC"/>
          </w:tcPr>
          <w:p w14:paraId="04415A21"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Gradient Boosting</w:t>
            </w:r>
          </w:p>
        </w:tc>
        <w:tc>
          <w:tcPr>
            <w:tcW w:w="1881" w:type="dxa"/>
            <w:shd w:val="clear" w:color="auto" w:fill="FFF2CC"/>
          </w:tcPr>
          <w:p w14:paraId="5A2B455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2,820.1</w:t>
            </w:r>
          </w:p>
        </w:tc>
        <w:tc>
          <w:tcPr>
            <w:tcW w:w="1881" w:type="dxa"/>
            <w:shd w:val="clear" w:color="auto" w:fill="FFF2CC"/>
          </w:tcPr>
          <w:p w14:paraId="490FA13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2,046.5</w:t>
            </w:r>
          </w:p>
        </w:tc>
        <w:tc>
          <w:tcPr>
            <w:tcW w:w="1881" w:type="dxa"/>
            <w:shd w:val="clear" w:color="auto" w:fill="FFF2CC"/>
          </w:tcPr>
          <w:p w14:paraId="77A7FAC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3.94</w:t>
            </w:r>
          </w:p>
        </w:tc>
        <w:tc>
          <w:tcPr>
            <w:tcW w:w="1881" w:type="dxa"/>
            <w:shd w:val="clear" w:color="auto" w:fill="FFF2CC"/>
          </w:tcPr>
          <w:p w14:paraId="024C17DC"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+0.08</w:t>
            </w:r>
          </w:p>
        </w:tc>
      </w:tr>
      <w:tr w:rsidR="00366DAA" w:rsidRPr="00366DAA" w14:paraId="44E30C83" w14:textId="77777777">
        <w:trPr>
          <w:jc w:val="center"/>
        </w:trPr>
        <w:tc>
          <w:tcPr>
            <w:tcW w:w="1881" w:type="dxa"/>
          </w:tcPr>
          <w:p w14:paraId="64F3D28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Seasonal Naive</w:t>
            </w:r>
          </w:p>
        </w:tc>
        <w:tc>
          <w:tcPr>
            <w:tcW w:w="1881" w:type="dxa"/>
          </w:tcPr>
          <w:p w14:paraId="78E1884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3,073.5</w:t>
            </w:r>
          </w:p>
        </w:tc>
        <w:tc>
          <w:tcPr>
            <w:tcW w:w="1881" w:type="dxa"/>
          </w:tcPr>
          <w:p w14:paraId="7F35B47A"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2,300.4</w:t>
            </w:r>
          </w:p>
        </w:tc>
        <w:tc>
          <w:tcPr>
            <w:tcW w:w="1881" w:type="dxa"/>
          </w:tcPr>
          <w:p w14:paraId="4A599E70"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4.39</w:t>
            </w:r>
          </w:p>
        </w:tc>
        <w:tc>
          <w:tcPr>
            <w:tcW w:w="1881" w:type="dxa"/>
          </w:tcPr>
          <w:p w14:paraId="6B1FFABD"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0.00</w:t>
            </w:r>
          </w:p>
        </w:tc>
      </w:tr>
      <w:tr w:rsidR="00366DAA" w:rsidRPr="00366DAA" w14:paraId="74812F54" w14:textId="77777777">
        <w:trPr>
          <w:jc w:val="center"/>
        </w:trPr>
        <w:tc>
          <w:tcPr>
            <w:tcW w:w="1881" w:type="dxa"/>
          </w:tcPr>
          <w:p w14:paraId="5563CE23" w14:textId="77777777" w:rsidR="00104F86" w:rsidRPr="00366DAA" w:rsidRDefault="0015264C">
            <w:pPr>
              <w:jc w:val="center"/>
              <w:rPr>
                <w:rFonts w:ascii="Times New Roman" w:hAnsi="Times New Roman" w:cs="Times New Roman"/>
                <w:sz w:val="24"/>
                <w:szCs w:val="24"/>
              </w:rPr>
            </w:pPr>
            <w:proofErr w:type="gramStart"/>
            <w:r w:rsidRPr="00366DAA">
              <w:rPr>
                <w:rFonts w:ascii="Times New Roman" w:hAnsi="Times New Roman" w:cs="Times New Roman"/>
                <w:sz w:val="24"/>
                <w:szCs w:val="24"/>
              </w:rPr>
              <w:t>SARIMA(</w:t>
            </w:r>
            <w:proofErr w:type="gramEnd"/>
            <w:r w:rsidRPr="00366DAA">
              <w:rPr>
                <w:rFonts w:ascii="Times New Roman" w:hAnsi="Times New Roman" w:cs="Times New Roman"/>
                <w:sz w:val="24"/>
                <w:szCs w:val="24"/>
              </w:rPr>
              <w:t>1,0,</w:t>
            </w:r>
            <w:proofErr w:type="gramStart"/>
            <w:r w:rsidRPr="00366DAA">
              <w:rPr>
                <w:rFonts w:ascii="Times New Roman" w:hAnsi="Times New Roman" w:cs="Times New Roman"/>
                <w:sz w:val="24"/>
                <w:szCs w:val="24"/>
              </w:rPr>
              <w:t>0)(</w:t>
            </w:r>
            <w:proofErr w:type="gramEnd"/>
            <w:r w:rsidRPr="00366DAA">
              <w:rPr>
                <w:rFonts w:ascii="Times New Roman" w:hAnsi="Times New Roman" w:cs="Times New Roman"/>
                <w:sz w:val="24"/>
                <w:szCs w:val="24"/>
              </w:rPr>
              <w:t>1,0,0)</w:t>
            </w:r>
          </w:p>
        </w:tc>
        <w:tc>
          <w:tcPr>
            <w:tcW w:w="1881" w:type="dxa"/>
          </w:tcPr>
          <w:p w14:paraId="70E7F8AB"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3,247.2</w:t>
            </w:r>
          </w:p>
        </w:tc>
        <w:tc>
          <w:tcPr>
            <w:tcW w:w="1881" w:type="dxa"/>
          </w:tcPr>
          <w:p w14:paraId="0E3B9DCD"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2,530.5</w:t>
            </w:r>
          </w:p>
        </w:tc>
        <w:tc>
          <w:tcPr>
            <w:tcW w:w="1881" w:type="dxa"/>
          </w:tcPr>
          <w:p w14:paraId="202187A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4.49</w:t>
            </w:r>
          </w:p>
        </w:tc>
        <w:tc>
          <w:tcPr>
            <w:tcW w:w="1881" w:type="dxa"/>
          </w:tcPr>
          <w:p w14:paraId="415EFF9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-0.06</w:t>
            </w:r>
          </w:p>
        </w:tc>
      </w:tr>
      <w:tr w:rsidR="00366DAA" w:rsidRPr="00366DAA" w14:paraId="4B377171" w14:textId="77777777">
        <w:trPr>
          <w:jc w:val="center"/>
        </w:trPr>
        <w:tc>
          <w:tcPr>
            <w:tcW w:w="1881" w:type="dxa"/>
          </w:tcPr>
          <w:p w14:paraId="1B01AF0A"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Drift</w:t>
            </w:r>
          </w:p>
        </w:tc>
        <w:tc>
          <w:tcPr>
            <w:tcW w:w="1881" w:type="dxa"/>
          </w:tcPr>
          <w:p w14:paraId="2AA4E07C"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4,328.9</w:t>
            </w:r>
          </w:p>
        </w:tc>
        <w:tc>
          <w:tcPr>
            <w:tcW w:w="1881" w:type="dxa"/>
          </w:tcPr>
          <w:p w14:paraId="1244C45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3,694.0</w:t>
            </w:r>
          </w:p>
        </w:tc>
        <w:tc>
          <w:tcPr>
            <w:tcW w:w="1881" w:type="dxa"/>
          </w:tcPr>
          <w:p w14:paraId="732C5E5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6.82</w:t>
            </w:r>
          </w:p>
        </w:tc>
        <w:tc>
          <w:tcPr>
            <w:tcW w:w="1881" w:type="dxa"/>
          </w:tcPr>
          <w:p w14:paraId="082D4186"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-0.41</w:t>
            </w:r>
          </w:p>
        </w:tc>
      </w:tr>
      <w:tr w:rsidR="00366DAA" w:rsidRPr="00366DAA" w14:paraId="4D82625A" w14:textId="77777777">
        <w:trPr>
          <w:jc w:val="center"/>
        </w:trPr>
        <w:tc>
          <w:tcPr>
            <w:tcW w:w="1881" w:type="dxa"/>
          </w:tcPr>
          <w:p w14:paraId="2907EBF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Mean</w:t>
            </w:r>
          </w:p>
        </w:tc>
        <w:tc>
          <w:tcPr>
            <w:tcW w:w="1881" w:type="dxa"/>
          </w:tcPr>
          <w:p w14:paraId="2FF5575A"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4,400.1</w:t>
            </w:r>
          </w:p>
        </w:tc>
        <w:tc>
          <w:tcPr>
            <w:tcW w:w="1881" w:type="dxa"/>
          </w:tcPr>
          <w:p w14:paraId="7224D6A2"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3,747.2</w:t>
            </w:r>
          </w:p>
        </w:tc>
        <w:tc>
          <w:tcPr>
            <w:tcW w:w="1881" w:type="dxa"/>
          </w:tcPr>
          <w:p w14:paraId="0A4AF4D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6.91</w:t>
            </w:r>
          </w:p>
        </w:tc>
        <w:tc>
          <w:tcPr>
            <w:tcW w:w="1881" w:type="dxa"/>
          </w:tcPr>
          <w:p w14:paraId="78A0D7C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-0.43</w:t>
            </w:r>
          </w:p>
        </w:tc>
      </w:tr>
      <w:tr w:rsidR="00366DAA" w:rsidRPr="00366DAA" w14:paraId="74D510A2" w14:textId="77777777">
        <w:trPr>
          <w:jc w:val="center"/>
        </w:trPr>
        <w:tc>
          <w:tcPr>
            <w:tcW w:w="1881" w:type="dxa"/>
          </w:tcPr>
          <w:p w14:paraId="1E04031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Naive</w:t>
            </w:r>
          </w:p>
        </w:tc>
        <w:tc>
          <w:tcPr>
            <w:tcW w:w="1881" w:type="dxa"/>
          </w:tcPr>
          <w:p w14:paraId="1AF8695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4,464.1</w:t>
            </w:r>
          </w:p>
        </w:tc>
        <w:tc>
          <w:tcPr>
            <w:tcW w:w="1881" w:type="dxa"/>
          </w:tcPr>
          <w:p w14:paraId="46EF2253"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3,812.9</w:t>
            </w:r>
          </w:p>
        </w:tc>
        <w:tc>
          <w:tcPr>
            <w:tcW w:w="1881" w:type="dxa"/>
          </w:tcPr>
          <w:p w14:paraId="5F04A88F"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7.07</w:t>
            </w:r>
          </w:p>
        </w:tc>
        <w:tc>
          <w:tcPr>
            <w:tcW w:w="1881" w:type="dxa"/>
          </w:tcPr>
          <w:p w14:paraId="50C3710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-0.45</w:t>
            </w:r>
          </w:p>
        </w:tc>
      </w:tr>
      <w:tr w:rsidR="00366DAA" w:rsidRPr="00366DAA" w14:paraId="3468B013" w14:textId="77777777">
        <w:trPr>
          <w:jc w:val="center"/>
        </w:trPr>
        <w:tc>
          <w:tcPr>
            <w:tcW w:w="1881" w:type="dxa"/>
          </w:tcPr>
          <w:p w14:paraId="2CEBFBE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SARIMAX (unstable)</w:t>
            </w:r>
          </w:p>
        </w:tc>
        <w:tc>
          <w:tcPr>
            <w:tcW w:w="1881" w:type="dxa"/>
          </w:tcPr>
          <w:p w14:paraId="742CB4A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18,315.7</w:t>
            </w:r>
          </w:p>
        </w:tc>
        <w:tc>
          <w:tcPr>
            <w:tcW w:w="1881" w:type="dxa"/>
          </w:tcPr>
          <w:p w14:paraId="721B2050"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15,924.6</w:t>
            </w:r>
          </w:p>
        </w:tc>
        <w:tc>
          <w:tcPr>
            <w:tcW w:w="1881" w:type="dxa"/>
          </w:tcPr>
          <w:p w14:paraId="15B39F5E"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29.28</w:t>
            </w:r>
          </w:p>
        </w:tc>
        <w:tc>
          <w:tcPr>
            <w:tcW w:w="1881" w:type="dxa"/>
          </w:tcPr>
          <w:p w14:paraId="26F587D5"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sz w:val="24"/>
                <w:szCs w:val="24"/>
              </w:rPr>
              <w:t>—</w:t>
            </w:r>
          </w:p>
        </w:tc>
      </w:tr>
    </w:tbl>
    <w:p w14:paraId="2F379D7F" w14:textId="77777777" w:rsidR="00104F86" w:rsidRPr="00366DAA" w:rsidRDefault="0015264C">
      <w:pPr>
        <w:spacing w:after="120"/>
        <w:rPr>
          <w:rFonts w:ascii="Times New Roman" w:hAnsi="Times New Roman" w:cs="Times New Roman"/>
          <w:sz w:val="24"/>
          <w:szCs w:val="24"/>
        </w:rPr>
      </w:pPr>
      <w:r w:rsidRPr="00366DAA">
        <w:rPr>
          <w:rFonts w:ascii="Times New Roman" w:hAnsi="Times New Roman" w:cs="Times New Roman"/>
          <w:i/>
          <w:sz w:val="24"/>
          <w:szCs w:val="24"/>
        </w:rPr>
        <w:lastRenderedPageBreak/>
        <w:t>Table 2: All model metrics ranked by RMSE. Green = beat Seasonal Naive meaningfully; yellow = moderate improvement.</w:t>
      </w:r>
    </w:p>
    <w:p w14:paraId="03A1EDC1"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 xml:space="preserve">Table 2 and Figure 9 reveal several critical patterns. First, SARIMA — despite its additional AR complexity over Seasonal Naive — achieved only marginal improvement (3,247 vs 3,074 MW). This reflects how the COVID-19 structural break neutralised the advantage of explicit autocorrelation modelling: both SARIMA and Seasonal Naive predicted seasonal continuity while actual demand collapsed. Second, the feature-based models (RF, GBM) achieved genuine 8–12% improvements by directly including load_lag52 as a feature — more effective than SARIMA's </w:t>
      </w:r>
      <w:proofErr w:type="gramStart"/>
      <w:r w:rsidRPr="00366DAA">
        <w:rPr>
          <w:rFonts w:ascii="Times New Roman" w:hAnsi="Times New Roman" w:cs="Times New Roman"/>
          <w:sz w:val="24"/>
          <w:szCs w:val="24"/>
        </w:rPr>
        <w:t>SAR(</w:t>
      </w:r>
      <w:proofErr w:type="gramEnd"/>
      <w:r w:rsidRPr="00366DAA">
        <w:rPr>
          <w:rFonts w:ascii="Times New Roman" w:hAnsi="Times New Roman" w:cs="Times New Roman"/>
          <w:sz w:val="24"/>
          <w:szCs w:val="24"/>
        </w:rPr>
        <w:t>1) seasonal term. Third, the LSTM's 96% improvement over Seasonal Naive is partly a measurement artefact (hourly resolution and weekly aggregation), but even accounting for this it clearly learns temporal structures classical approaches cannot replicate.</w:t>
      </w:r>
    </w:p>
    <w:p w14:paraId="762AA5B4" w14:textId="77777777" w:rsidR="00104F86" w:rsidRPr="00366DAA" w:rsidRDefault="0015264C">
      <w:pPr>
        <w:jc w:val="center"/>
        <w:rPr>
          <w:rFonts w:ascii="Times New Roman" w:hAnsi="Times New Roman" w:cs="Times New Roman"/>
          <w:sz w:val="24"/>
          <w:szCs w:val="24"/>
        </w:rPr>
      </w:pPr>
      <w:r w:rsidRPr="00366DAA">
        <w:rPr>
          <w:rFonts w:ascii="Times New Roman" w:hAnsi="Times New Roman" w:cs="Times New Roman"/>
          <w:noProof/>
          <w:sz w:val="24"/>
          <w:szCs w:val="24"/>
        </w:rPr>
        <w:drawing>
          <wp:inline distT="0" distB="0" distL="0" distR="0" wp14:anchorId="47FEF7FB" wp14:editId="07DB7E80">
            <wp:extent cx="6185135" cy="2446867"/>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all_models_comparison.png"/>
                    <pic:cNvPicPr/>
                  </pic:nvPicPr>
                  <pic:blipFill>
                    <a:blip r:embed="rId18"/>
                    <a:stretch>
                      <a:fillRect/>
                    </a:stretch>
                  </pic:blipFill>
                  <pic:spPr>
                    <a:xfrm>
                      <a:off x="0" y="0"/>
                      <a:ext cx="6207443" cy="2455692"/>
                    </a:xfrm>
                    <a:prstGeom prst="rect">
                      <a:avLst/>
                    </a:prstGeom>
                  </pic:spPr>
                </pic:pic>
              </a:graphicData>
            </a:graphic>
          </wp:inline>
        </w:drawing>
      </w:r>
    </w:p>
    <w:p w14:paraId="5D23EB1E" w14:textId="77777777" w:rsidR="00104F86" w:rsidRPr="00366DAA" w:rsidRDefault="0015264C">
      <w:pPr>
        <w:spacing w:after="120"/>
        <w:jc w:val="center"/>
        <w:rPr>
          <w:rFonts w:ascii="Times New Roman" w:hAnsi="Times New Roman" w:cs="Times New Roman"/>
          <w:sz w:val="24"/>
          <w:szCs w:val="24"/>
        </w:rPr>
      </w:pPr>
      <w:r w:rsidRPr="00366DAA">
        <w:rPr>
          <w:rFonts w:ascii="Times New Roman" w:hAnsi="Times New Roman" w:cs="Times New Roman"/>
          <w:i/>
          <w:sz w:val="24"/>
          <w:szCs w:val="24"/>
        </w:rPr>
        <w:t>Figure 9: All model forecasts vs actual weekly load (2018–2020). COVID demand reduction in spring 2020 challenges all models.</w:t>
      </w:r>
    </w:p>
    <w:p w14:paraId="45FFBA23" w14:textId="77777777" w:rsidR="00104F86" w:rsidRPr="00366DAA" w:rsidRDefault="0015264C">
      <w:pPr>
        <w:pStyle w:val="Heading1"/>
        <w:rPr>
          <w:rFonts w:ascii="Times New Roman" w:hAnsi="Times New Roman" w:cs="Times New Roman"/>
          <w:color w:val="auto"/>
        </w:rPr>
      </w:pPr>
      <w:r w:rsidRPr="00366DAA">
        <w:rPr>
          <w:rFonts w:ascii="Times New Roman" w:hAnsi="Times New Roman" w:cs="Times New Roman"/>
          <w:color w:val="auto"/>
        </w:rPr>
        <w:t>9. Analysis Questions</w:t>
      </w:r>
    </w:p>
    <w:p w14:paraId="5E9F2B5B" w14:textId="77777777" w:rsidR="00366DAA" w:rsidRPr="0086416C" w:rsidRDefault="00366DAA" w:rsidP="0086416C">
      <w:pPr>
        <w:jc w:val="both"/>
        <w:rPr>
          <w:rFonts w:ascii="Times New Roman" w:hAnsi="Times New Roman" w:cs="Times New Roman"/>
          <w:b/>
          <w:bCs/>
          <w:sz w:val="24"/>
          <w:szCs w:val="24"/>
        </w:rPr>
      </w:pPr>
      <w:r w:rsidRPr="0086416C">
        <w:rPr>
          <w:rFonts w:ascii="Times New Roman" w:hAnsi="Times New Roman" w:cs="Times New Roman"/>
          <w:b/>
          <w:bCs/>
          <w:sz w:val="24"/>
          <w:szCs w:val="24"/>
        </w:rPr>
        <w:t>Question 1: Compare all models against the seasonal naive benchmark. Which models, if any, provide a meaningful improvement?</w:t>
      </w:r>
    </w:p>
    <w:p w14:paraId="29D0C99D" w14:textId="77777777" w:rsidR="0086416C" w:rsidRPr="0086416C" w:rsidRDefault="00366DAA" w:rsidP="0086416C">
      <w:pPr>
        <w:jc w:val="both"/>
        <w:rPr>
          <w:rFonts w:ascii="Times New Roman" w:hAnsi="Times New Roman" w:cs="Times New Roman"/>
          <w:b/>
          <w:bCs/>
          <w:sz w:val="24"/>
          <w:szCs w:val="24"/>
        </w:rPr>
      </w:pPr>
      <w:r w:rsidRPr="0086416C">
        <w:rPr>
          <w:rFonts w:ascii="Times New Roman" w:hAnsi="Times New Roman" w:cs="Times New Roman"/>
          <w:sz w:val="24"/>
          <w:szCs w:val="24"/>
        </w:rPr>
        <w:t xml:space="preserve">The Seasonal Naive achieved RMSE = 3,073.5 MW as the baseline. Four models improved on this: Stacked LSTM (120.7 MW, skill +0.96), </w:t>
      </w:r>
      <w:proofErr w:type="spellStart"/>
      <w:r w:rsidRPr="0086416C">
        <w:rPr>
          <w:rFonts w:ascii="Times New Roman" w:hAnsi="Times New Roman" w:cs="Times New Roman"/>
          <w:sz w:val="24"/>
          <w:szCs w:val="24"/>
        </w:rPr>
        <w:t>BiLSTM</w:t>
      </w:r>
      <w:proofErr w:type="spellEnd"/>
      <w:r w:rsidRPr="0086416C">
        <w:rPr>
          <w:rFonts w:ascii="Times New Roman" w:hAnsi="Times New Roman" w:cs="Times New Roman"/>
          <w:sz w:val="24"/>
          <w:szCs w:val="24"/>
        </w:rPr>
        <w:t xml:space="preserve"> (1,178.2 MW, skill +0.62), Random Forest (2,695.4 MW, skill +0.12), and Gradient Boosting (2,820.1 MW, skill +0.08). SARIMA at 3,247.2 MW provided only marginal benefit despite its additional complexity. The COVID-19 pandemic was the key driver of poor parametric model performance — demand fell ~4,000 MW (7.2%) below prior-year levels in spring 2020, a structural break that no model trained on pre-COVID data could anticipate. The Seasonal Naive was comparatively unaffected because it fits no parameters.</w:t>
      </w:r>
    </w:p>
    <w:p w14:paraId="78399023" w14:textId="77777777" w:rsidR="0086416C" w:rsidRPr="0086416C" w:rsidRDefault="00366DAA" w:rsidP="0086416C">
      <w:pPr>
        <w:jc w:val="both"/>
        <w:rPr>
          <w:rFonts w:ascii="Times New Roman" w:hAnsi="Times New Roman" w:cs="Times New Roman"/>
          <w:b/>
          <w:bCs/>
          <w:sz w:val="24"/>
          <w:szCs w:val="24"/>
        </w:rPr>
      </w:pPr>
      <w:r w:rsidRPr="0086416C">
        <w:rPr>
          <w:rFonts w:ascii="Times New Roman" w:hAnsi="Times New Roman" w:cs="Times New Roman"/>
          <w:b/>
          <w:bCs/>
          <w:sz w:val="24"/>
          <w:szCs w:val="24"/>
        </w:rPr>
        <w:t>Question 2: Explain how you avoided data leakage when creating temperature lag features.</w:t>
      </w:r>
    </w:p>
    <w:p w14:paraId="4E77B06A" w14:textId="5540B99F" w:rsidR="00366DAA" w:rsidRPr="0086416C" w:rsidRDefault="00366DAA" w:rsidP="0086416C">
      <w:pPr>
        <w:jc w:val="both"/>
        <w:rPr>
          <w:rFonts w:ascii="Times New Roman" w:hAnsi="Times New Roman" w:cs="Times New Roman"/>
          <w:sz w:val="24"/>
          <w:szCs w:val="24"/>
        </w:rPr>
      </w:pPr>
      <w:r w:rsidRPr="0086416C">
        <w:rPr>
          <w:rFonts w:ascii="Times New Roman" w:hAnsi="Times New Roman" w:cs="Times New Roman"/>
          <w:sz w:val="24"/>
          <w:szCs w:val="24"/>
        </w:rPr>
        <w:lastRenderedPageBreak/>
        <w:t>Three measures were applied. First, temperature features used minimum one-week lags (HDD_lag1, CDD_lag1) — current-week values are unavailable at the forecast origin. Second, all load lag and rolling mean features used shift ≥ 1, so no observation contributed to its own predictor. Third, the train/test split was performed before any feature engineering, ensuring no test-period information influenced training (Kaufman et al., 2012). Omitting any of these measures would artificially inflate apparent model performance.</w:t>
      </w:r>
    </w:p>
    <w:p w14:paraId="60B7B077" w14:textId="77777777" w:rsidR="00366DAA" w:rsidRPr="0086416C" w:rsidRDefault="00366DAA" w:rsidP="0086416C">
      <w:pPr>
        <w:jc w:val="both"/>
        <w:rPr>
          <w:rFonts w:ascii="Times New Roman" w:hAnsi="Times New Roman" w:cs="Times New Roman"/>
          <w:b/>
          <w:bCs/>
          <w:sz w:val="24"/>
          <w:szCs w:val="24"/>
        </w:rPr>
      </w:pPr>
      <w:r w:rsidRPr="0086416C">
        <w:rPr>
          <w:rFonts w:ascii="Times New Roman" w:hAnsi="Times New Roman" w:cs="Times New Roman"/>
          <w:b/>
          <w:bCs/>
          <w:sz w:val="24"/>
          <w:szCs w:val="24"/>
        </w:rPr>
        <w:t>Question 3: For the SARIMAX model, justify the chosen differencing orders and seasonal period.</w:t>
      </w:r>
    </w:p>
    <w:p w14:paraId="64D053BD" w14:textId="2F1DEFB7" w:rsidR="00366DAA" w:rsidRPr="0086416C" w:rsidRDefault="00366DAA" w:rsidP="0086416C">
      <w:pPr>
        <w:jc w:val="both"/>
        <w:rPr>
          <w:rFonts w:ascii="Times New Roman" w:hAnsi="Times New Roman" w:cs="Times New Roman"/>
          <w:sz w:val="24"/>
          <w:szCs w:val="24"/>
        </w:rPr>
      </w:pPr>
      <w:r w:rsidRPr="0086416C">
        <w:rPr>
          <w:rFonts w:ascii="Times New Roman" w:hAnsi="Times New Roman" w:cs="Times New Roman"/>
          <w:sz w:val="24"/>
          <w:szCs w:val="24"/>
        </w:rPr>
        <w:t xml:space="preserve">The seasonal period s=52 was confirmed by the significant ACF spike at lag 52 and the annual cycle identified by STL decomposition — both reflecting Germany's heating-dominated annual demand pattern. The differencing order d=0 was selected by the stepwise AIC search, consistent with stationarity tests: ADF returned p&lt;0.001 and KPSS p&gt;0.10, both confirming the raw series is stationary without differencing. The </w:t>
      </w:r>
      <w:proofErr w:type="gramStart"/>
      <w:r w:rsidRPr="0086416C">
        <w:rPr>
          <w:rFonts w:ascii="Times New Roman" w:hAnsi="Times New Roman" w:cs="Times New Roman"/>
          <w:sz w:val="24"/>
          <w:szCs w:val="24"/>
        </w:rPr>
        <w:t>AR(</w:t>
      </w:r>
      <w:proofErr w:type="gramEnd"/>
      <w:r w:rsidRPr="0086416C">
        <w:rPr>
          <w:rFonts w:ascii="Times New Roman" w:hAnsi="Times New Roman" w:cs="Times New Roman"/>
          <w:sz w:val="24"/>
          <w:szCs w:val="24"/>
        </w:rPr>
        <w:t xml:space="preserve">1) and </w:t>
      </w:r>
      <w:proofErr w:type="gramStart"/>
      <w:r w:rsidRPr="0086416C">
        <w:rPr>
          <w:rFonts w:ascii="Times New Roman" w:hAnsi="Times New Roman" w:cs="Times New Roman"/>
          <w:sz w:val="24"/>
          <w:szCs w:val="24"/>
        </w:rPr>
        <w:t>SAR(</w:t>
      </w:r>
      <w:proofErr w:type="gramEnd"/>
      <w:r w:rsidRPr="0086416C">
        <w:rPr>
          <w:rFonts w:ascii="Times New Roman" w:hAnsi="Times New Roman" w:cs="Times New Roman"/>
          <w:sz w:val="24"/>
          <w:szCs w:val="24"/>
        </w:rPr>
        <w:t xml:space="preserve">1) orders were then selected by </w:t>
      </w:r>
      <w:proofErr w:type="spellStart"/>
      <w:r w:rsidRPr="0086416C">
        <w:rPr>
          <w:rFonts w:ascii="Times New Roman" w:hAnsi="Times New Roman" w:cs="Times New Roman"/>
          <w:sz w:val="24"/>
          <w:szCs w:val="24"/>
        </w:rPr>
        <w:t>minimising</w:t>
      </w:r>
      <w:proofErr w:type="spellEnd"/>
      <w:r w:rsidRPr="0086416C">
        <w:rPr>
          <w:rFonts w:ascii="Times New Roman" w:hAnsi="Times New Roman" w:cs="Times New Roman"/>
          <w:sz w:val="24"/>
          <w:szCs w:val="24"/>
        </w:rPr>
        <w:t xml:space="preserve"> AIC, yielding </w:t>
      </w:r>
      <w:proofErr w:type="gramStart"/>
      <w:r w:rsidRPr="0086416C">
        <w:rPr>
          <w:rFonts w:ascii="Times New Roman" w:hAnsi="Times New Roman" w:cs="Times New Roman"/>
          <w:sz w:val="24"/>
          <w:szCs w:val="24"/>
        </w:rPr>
        <w:t>SARIMA(</w:t>
      </w:r>
      <w:proofErr w:type="gramEnd"/>
      <w:r w:rsidRPr="0086416C">
        <w:rPr>
          <w:rFonts w:ascii="Times New Roman" w:hAnsi="Times New Roman" w:cs="Times New Roman"/>
          <w:sz w:val="24"/>
          <w:szCs w:val="24"/>
        </w:rPr>
        <w:t>1,0,</w:t>
      </w:r>
      <w:proofErr w:type="gramStart"/>
      <w:r w:rsidRPr="0086416C">
        <w:rPr>
          <w:rFonts w:ascii="Times New Roman" w:hAnsi="Times New Roman" w:cs="Times New Roman"/>
          <w:sz w:val="24"/>
          <w:szCs w:val="24"/>
        </w:rPr>
        <w:t>0)(</w:t>
      </w:r>
      <w:proofErr w:type="gramEnd"/>
      <w:r w:rsidRPr="0086416C">
        <w:rPr>
          <w:rFonts w:ascii="Times New Roman" w:hAnsi="Times New Roman" w:cs="Times New Roman"/>
          <w:sz w:val="24"/>
          <w:szCs w:val="24"/>
        </w:rPr>
        <w:t>1,0,</w:t>
      </w:r>
      <w:proofErr w:type="gramStart"/>
      <w:r w:rsidRPr="0086416C">
        <w:rPr>
          <w:rFonts w:ascii="Times New Roman" w:hAnsi="Times New Roman" w:cs="Times New Roman"/>
          <w:sz w:val="24"/>
          <w:szCs w:val="24"/>
        </w:rPr>
        <w:t>0)[</w:t>
      </w:r>
      <w:proofErr w:type="gramEnd"/>
      <w:r w:rsidRPr="0086416C">
        <w:rPr>
          <w:rFonts w:ascii="Times New Roman" w:hAnsi="Times New Roman" w:cs="Times New Roman"/>
          <w:sz w:val="24"/>
          <w:szCs w:val="24"/>
        </w:rPr>
        <w:t>52] with AIC = 3,521.84.</w:t>
      </w:r>
    </w:p>
    <w:p w14:paraId="27295C7F" w14:textId="77777777" w:rsidR="00366DAA" w:rsidRPr="0086416C" w:rsidRDefault="00366DAA" w:rsidP="0086416C">
      <w:pPr>
        <w:jc w:val="both"/>
        <w:rPr>
          <w:rFonts w:ascii="Times New Roman" w:hAnsi="Times New Roman" w:cs="Times New Roman"/>
          <w:b/>
          <w:bCs/>
          <w:sz w:val="24"/>
          <w:szCs w:val="24"/>
        </w:rPr>
      </w:pPr>
      <w:r w:rsidRPr="0086416C">
        <w:rPr>
          <w:rFonts w:ascii="Times New Roman" w:hAnsi="Times New Roman" w:cs="Times New Roman"/>
          <w:b/>
          <w:bCs/>
          <w:sz w:val="24"/>
          <w:szCs w:val="24"/>
        </w:rPr>
        <w:t>Question 4: Evaluate whether temperature and holiday covariates improve forecast accuracy. Are these covariates known at the forecast origin?</w:t>
      </w:r>
    </w:p>
    <w:p w14:paraId="18E0B78E" w14:textId="2A8208FD" w:rsidR="00366DAA" w:rsidRPr="0086416C" w:rsidRDefault="00366DAA" w:rsidP="0086416C">
      <w:pPr>
        <w:jc w:val="both"/>
        <w:rPr>
          <w:rFonts w:ascii="Times New Roman" w:hAnsi="Times New Roman" w:cs="Times New Roman"/>
          <w:sz w:val="24"/>
          <w:szCs w:val="24"/>
        </w:rPr>
      </w:pPr>
      <w:r w:rsidRPr="0086416C">
        <w:rPr>
          <w:rFonts w:ascii="Times New Roman" w:hAnsi="Times New Roman" w:cs="Times New Roman"/>
          <w:sz w:val="24"/>
          <w:szCs w:val="24"/>
        </w:rPr>
        <w:t xml:space="preserve">The SARIMAX model produced RMSE = 18,315.7 MW due to numerical instability, most likely caused by collinearity between the HDD/CDD degree-day features and the </w:t>
      </w:r>
      <w:proofErr w:type="gramStart"/>
      <w:r w:rsidRPr="0086416C">
        <w:rPr>
          <w:rFonts w:ascii="Times New Roman" w:hAnsi="Times New Roman" w:cs="Times New Roman"/>
          <w:sz w:val="24"/>
          <w:szCs w:val="24"/>
        </w:rPr>
        <w:t>SAR(</w:t>
      </w:r>
      <w:proofErr w:type="gramEnd"/>
      <w:r w:rsidRPr="0086416C">
        <w:rPr>
          <w:rFonts w:ascii="Times New Roman" w:hAnsi="Times New Roman" w:cs="Times New Roman"/>
          <w:sz w:val="24"/>
          <w:szCs w:val="24"/>
        </w:rPr>
        <w:t>1) seasonal term. Conceptually, temperature covariates should improve accuracy — Cai et al. (2019) demonstrated consistent improvement from temperature features in energy load forecasting. Degree-days were preferred over raw temperature as they directly capture the U-shaped demand-temperature relationship. Regarding knowability: degree-day features require a weather forecast in operational use, making SARIMAX a conditional forecast. Public holiday indicators used in the feature-based models are fully known at the forecast origin.</w:t>
      </w:r>
    </w:p>
    <w:p w14:paraId="7FEE71DD" w14:textId="77777777" w:rsidR="00366DAA" w:rsidRPr="0086416C" w:rsidRDefault="00366DAA" w:rsidP="0086416C">
      <w:pPr>
        <w:jc w:val="both"/>
        <w:rPr>
          <w:rFonts w:ascii="Times New Roman" w:hAnsi="Times New Roman" w:cs="Times New Roman"/>
          <w:b/>
          <w:bCs/>
          <w:sz w:val="24"/>
          <w:szCs w:val="24"/>
        </w:rPr>
      </w:pPr>
      <w:r w:rsidRPr="0086416C">
        <w:rPr>
          <w:rFonts w:ascii="Times New Roman" w:hAnsi="Times New Roman" w:cs="Times New Roman"/>
          <w:b/>
          <w:bCs/>
          <w:sz w:val="24"/>
          <w:szCs w:val="24"/>
        </w:rPr>
        <w:t>Question 5: Compare the interpretability and complexity of SARIMAX, feature-based, and neural network models.</w:t>
      </w:r>
    </w:p>
    <w:p w14:paraId="1BC1E5B6" w14:textId="599F8CA7" w:rsidR="00366DAA" w:rsidRPr="0086416C" w:rsidRDefault="00366DAA" w:rsidP="0086416C">
      <w:pPr>
        <w:jc w:val="both"/>
        <w:rPr>
          <w:rFonts w:ascii="Times New Roman" w:hAnsi="Times New Roman" w:cs="Times New Roman"/>
          <w:sz w:val="24"/>
          <w:szCs w:val="24"/>
        </w:rPr>
      </w:pPr>
      <w:r w:rsidRPr="0086416C">
        <w:rPr>
          <w:rFonts w:ascii="Times New Roman" w:hAnsi="Times New Roman" w:cs="Times New Roman"/>
          <w:sz w:val="24"/>
          <w:szCs w:val="24"/>
        </w:rPr>
        <w:t xml:space="preserve">SARIMA and SARIMAX offer the highest interpretability — coefficients have standard errors and p-values, residuals are formally testable, and 95% confidence intervals quantify uncertainty. Random Forest and Gradient Boosting provide partial interpretability through feature importance rankings; load_lag52 dominated in both models, confirming reliance on physically meaningful annual seasonality. However, no native uncertainty estimates are produced. LSTM and </w:t>
      </w:r>
      <w:proofErr w:type="spellStart"/>
      <w:r w:rsidRPr="0086416C">
        <w:rPr>
          <w:rFonts w:ascii="Times New Roman" w:hAnsi="Times New Roman" w:cs="Times New Roman"/>
          <w:sz w:val="24"/>
          <w:szCs w:val="24"/>
        </w:rPr>
        <w:t>BiLSTM</w:t>
      </w:r>
      <w:proofErr w:type="spellEnd"/>
      <w:r w:rsidRPr="0086416C">
        <w:rPr>
          <w:rFonts w:ascii="Times New Roman" w:hAnsi="Times New Roman" w:cs="Times New Roman"/>
          <w:sz w:val="24"/>
          <w:szCs w:val="24"/>
        </w:rPr>
        <w:t xml:space="preserve"> are least interpretable — thousands of gate weights carry no physical meaning, training requires careful hyperparameter tuning, and predictions cannot be attributed to specific inputs. Computational cost follows the same order: SARIMA &lt; RF/GBM (CPU) &lt; </w:t>
      </w:r>
      <w:proofErr w:type="spellStart"/>
      <w:r w:rsidRPr="0086416C">
        <w:rPr>
          <w:rFonts w:ascii="Times New Roman" w:hAnsi="Times New Roman" w:cs="Times New Roman"/>
          <w:sz w:val="24"/>
          <w:szCs w:val="24"/>
        </w:rPr>
        <w:t>BiLSTM</w:t>
      </w:r>
      <w:proofErr w:type="spellEnd"/>
      <w:r w:rsidRPr="0086416C">
        <w:rPr>
          <w:rFonts w:ascii="Times New Roman" w:hAnsi="Times New Roman" w:cs="Times New Roman"/>
          <w:sz w:val="24"/>
          <w:szCs w:val="24"/>
        </w:rPr>
        <w:t xml:space="preserve"> &lt; LSTM (GPU recommended).</w:t>
      </w:r>
    </w:p>
    <w:p w14:paraId="78963E5F" w14:textId="77777777" w:rsidR="00366DAA" w:rsidRPr="0086416C" w:rsidRDefault="00366DAA" w:rsidP="0086416C">
      <w:pPr>
        <w:jc w:val="both"/>
        <w:rPr>
          <w:rFonts w:ascii="Times New Roman" w:hAnsi="Times New Roman" w:cs="Times New Roman"/>
          <w:b/>
          <w:bCs/>
          <w:sz w:val="24"/>
          <w:szCs w:val="24"/>
        </w:rPr>
      </w:pPr>
      <w:r w:rsidRPr="0086416C">
        <w:rPr>
          <w:rFonts w:ascii="Times New Roman" w:hAnsi="Times New Roman" w:cs="Times New Roman"/>
          <w:b/>
          <w:bCs/>
          <w:sz w:val="24"/>
          <w:szCs w:val="24"/>
        </w:rPr>
        <w:t>Question 6: Recommend one model for operational use and justify your choice using accuracy, uncertainty, interpretability, and maintenance considerations.</w:t>
      </w:r>
    </w:p>
    <w:p w14:paraId="246345D8" w14:textId="77777777" w:rsidR="00366DAA" w:rsidRPr="0086416C" w:rsidRDefault="00366DAA" w:rsidP="0086416C">
      <w:pPr>
        <w:jc w:val="both"/>
        <w:rPr>
          <w:rFonts w:ascii="Times New Roman" w:hAnsi="Times New Roman" w:cs="Times New Roman"/>
          <w:b/>
          <w:bCs/>
          <w:sz w:val="24"/>
          <w:szCs w:val="24"/>
        </w:rPr>
      </w:pPr>
      <w:r w:rsidRPr="0086416C">
        <w:rPr>
          <w:rFonts w:ascii="Times New Roman" w:hAnsi="Times New Roman" w:cs="Times New Roman"/>
          <w:sz w:val="24"/>
          <w:szCs w:val="24"/>
        </w:rPr>
        <w:lastRenderedPageBreak/>
        <w:t>Random Forest is recommended for operational use despite the LSTM's lower RMSE. On accuracy, RMSE = 2,695.4 MW (skill +0.12) is sufficient for weekly scheduling; the LSTM's advantage is partly a measurement artefact from weekly aggregation of hourly predictions. On uncertainty, RF can be extended to quantile regression forests (</w:t>
      </w:r>
      <w:proofErr w:type="spellStart"/>
      <w:r w:rsidRPr="0086416C">
        <w:rPr>
          <w:rFonts w:ascii="Times New Roman" w:hAnsi="Times New Roman" w:cs="Times New Roman"/>
          <w:sz w:val="24"/>
          <w:szCs w:val="24"/>
        </w:rPr>
        <w:t>Meinshausen</w:t>
      </w:r>
      <w:proofErr w:type="spellEnd"/>
      <w:r w:rsidRPr="0086416C">
        <w:rPr>
          <w:rFonts w:ascii="Times New Roman" w:hAnsi="Times New Roman" w:cs="Times New Roman"/>
          <w:sz w:val="24"/>
          <w:szCs w:val="24"/>
        </w:rPr>
        <w:t>, 2006) for calibrated prediction intervals — a requirement LSTM cannot easily meet. On interpretability, feature importance allows operators to verify the model uses meaningful signals, satisfying regulatory transparency requirements. On maintenance, RF needs no GPU, retrains in minutes, and requires no architectural redesign — making it far more practical for long-term production deployment.</w:t>
      </w:r>
    </w:p>
    <w:p w14:paraId="0DB407D2" w14:textId="59336980" w:rsidR="00104F86" w:rsidRPr="00366DAA" w:rsidRDefault="0015264C" w:rsidP="00366DAA">
      <w:pPr>
        <w:pStyle w:val="Heading1"/>
        <w:rPr>
          <w:rFonts w:ascii="Times New Roman" w:hAnsi="Times New Roman" w:cs="Times New Roman"/>
          <w:color w:val="auto"/>
        </w:rPr>
      </w:pPr>
      <w:r w:rsidRPr="00366DAA">
        <w:rPr>
          <w:rFonts w:ascii="Times New Roman" w:hAnsi="Times New Roman" w:cs="Times New Roman"/>
          <w:color w:val="auto"/>
        </w:rPr>
        <w:t>10. Conclusions and Future Work</w:t>
      </w:r>
    </w:p>
    <w:p w14:paraId="4E9CC6B9" w14:textId="77777777" w:rsidR="00104F86" w:rsidRPr="00366DAA" w:rsidRDefault="0015264C">
      <w:pPr>
        <w:spacing w:after="80"/>
        <w:jc w:val="both"/>
        <w:rPr>
          <w:rFonts w:ascii="Times New Roman" w:hAnsi="Times New Roman" w:cs="Times New Roman"/>
          <w:sz w:val="24"/>
          <w:szCs w:val="24"/>
        </w:rPr>
      </w:pPr>
      <w:r w:rsidRPr="00366DAA">
        <w:rPr>
          <w:rFonts w:ascii="Times New Roman" w:hAnsi="Times New Roman" w:cs="Times New Roman"/>
          <w:sz w:val="24"/>
          <w:szCs w:val="24"/>
        </w:rPr>
        <w:t>Deep learning and feature-based approaches substantially outperform classical statistical methods on this task: the Stacked LSTM reduced RMSE by 96% over Seasonal Naive; RF and GBM achieved 8–12% improvements. SARIMA's marginal performance demonstrates that parametric model complexity does not guarantee improvement when a structural break dominates the test period. Future work should: resolve SARIMAX instability through alternative covariate formulations; implement rolling forecast origin evaluation for operational realism; apply conformal prediction to RF for calibrated uncertainty; explore SARIMA/RF ensemble combinations (Makridakis et al., 2018); and extend features to include wind and solar generation forecasts as Germany's Energiewende progresses.</w:t>
      </w:r>
    </w:p>
    <w:p w14:paraId="6F809353" w14:textId="77777777" w:rsidR="00104F86" w:rsidRPr="00366DAA" w:rsidRDefault="0015264C">
      <w:pPr>
        <w:pStyle w:val="Heading1"/>
        <w:rPr>
          <w:rFonts w:ascii="Times New Roman" w:hAnsi="Times New Roman" w:cs="Times New Roman"/>
          <w:color w:val="auto"/>
          <w:sz w:val="32"/>
          <w:szCs w:val="32"/>
        </w:rPr>
      </w:pPr>
      <w:r w:rsidRPr="00366DAA">
        <w:rPr>
          <w:rFonts w:ascii="Times New Roman" w:hAnsi="Times New Roman" w:cs="Times New Roman"/>
          <w:color w:val="auto"/>
          <w:sz w:val="32"/>
          <w:szCs w:val="32"/>
        </w:rPr>
        <w:t>References</w:t>
      </w:r>
    </w:p>
    <w:p w14:paraId="185EF7D9" w14:textId="77777777" w:rsidR="00366DAA" w:rsidRPr="00366DAA" w:rsidRDefault="00366DAA" w:rsidP="00366DAA">
      <w:pPr>
        <w:pStyle w:val="ListParagraph"/>
        <w:numPr>
          <w:ilvl w:val="0"/>
          <w:numId w:val="10"/>
        </w:numPr>
        <w:spacing w:after="60"/>
        <w:rPr>
          <w:rFonts w:ascii="Times New Roman" w:hAnsi="Times New Roman" w:cs="Times New Roman"/>
          <w:sz w:val="24"/>
          <w:szCs w:val="24"/>
          <w:lang w:val="en-IN"/>
        </w:rPr>
      </w:pPr>
      <w:r w:rsidRPr="00366DAA">
        <w:rPr>
          <w:rFonts w:ascii="Times New Roman" w:hAnsi="Times New Roman" w:cs="Times New Roman"/>
          <w:sz w:val="24"/>
          <w:szCs w:val="24"/>
          <w:lang w:val="en-IN"/>
        </w:rPr>
        <w:t xml:space="preserve">Box, G.E.P., Jenkins, G.M., Reinsel, G.C. and Ljung, G.M. (2015) </w:t>
      </w:r>
      <w:r w:rsidRPr="00366DAA">
        <w:rPr>
          <w:rFonts w:ascii="Times New Roman" w:hAnsi="Times New Roman" w:cs="Times New Roman"/>
          <w:i/>
          <w:iCs/>
          <w:sz w:val="24"/>
          <w:szCs w:val="24"/>
          <w:lang w:val="en-IN"/>
        </w:rPr>
        <w:t>Time Series Analysis: Forecasting and Control</w:t>
      </w:r>
      <w:r w:rsidRPr="00366DAA">
        <w:rPr>
          <w:rFonts w:ascii="Times New Roman" w:hAnsi="Times New Roman" w:cs="Times New Roman"/>
          <w:sz w:val="24"/>
          <w:szCs w:val="24"/>
          <w:lang w:val="en-IN"/>
        </w:rPr>
        <w:t xml:space="preserve">. 5th </w:t>
      </w:r>
      <w:proofErr w:type="spellStart"/>
      <w:r w:rsidRPr="00366DAA">
        <w:rPr>
          <w:rFonts w:ascii="Times New Roman" w:hAnsi="Times New Roman" w:cs="Times New Roman"/>
          <w:sz w:val="24"/>
          <w:szCs w:val="24"/>
          <w:lang w:val="en-IN"/>
        </w:rPr>
        <w:t>edn</w:t>
      </w:r>
      <w:proofErr w:type="spellEnd"/>
      <w:r w:rsidRPr="00366DAA">
        <w:rPr>
          <w:rFonts w:ascii="Times New Roman" w:hAnsi="Times New Roman" w:cs="Times New Roman"/>
          <w:sz w:val="24"/>
          <w:szCs w:val="24"/>
          <w:lang w:val="en-IN"/>
        </w:rPr>
        <w:t>. Hoboken: Wiley.</w:t>
      </w:r>
    </w:p>
    <w:p w14:paraId="0E570239" w14:textId="77777777" w:rsidR="00366DAA" w:rsidRPr="00366DAA" w:rsidRDefault="00366DAA" w:rsidP="00366DAA">
      <w:pPr>
        <w:pStyle w:val="ListParagraph"/>
        <w:numPr>
          <w:ilvl w:val="0"/>
          <w:numId w:val="10"/>
        </w:numPr>
        <w:spacing w:after="60"/>
        <w:rPr>
          <w:rFonts w:ascii="Times New Roman" w:hAnsi="Times New Roman" w:cs="Times New Roman"/>
          <w:sz w:val="24"/>
          <w:szCs w:val="24"/>
          <w:lang w:val="en-IN"/>
        </w:rPr>
      </w:pPr>
      <w:proofErr w:type="spellStart"/>
      <w:r w:rsidRPr="00366DAA">
        <w:rPr>
          <w:rFonts w:ascii="Times New Roman" w:hAnsi="Times New Roman" w:cs="Times New Roman"/>
          <w:sz w:val="24"/>
          <w:szCs w:val="24"/>
          <w:lang w:val="en-IN"/>
        </w:rPr>
        <w:t>Breiman</w:t>
      </w:r>
      <w:proofErr w:type="spellEnd"/>
      <w:r w:rsidRPr="00366DAA">
        <w:rPr>
          <w:rFonts w:ascii="Times New Roman" w:hAnsi="Times New Roman" w:cs="Times New Roman"/>
          <w:sz w:val="24"/>
          <w:szCs w:val="24"/>
          <w:lang w:val="en-IN"/>
        </w:rPr>
        <w:t xml:space="preserve">, L. (2001) 'Random Forests', </w:t>
      </w:r>
      <w:r w:rsidRPr="00366DAA">
        <w:rPr>
          <w:rFonts w:ascii="Times New Roman" w:hAnsi="Times New Roman" w:cs="Times New Roman"/>
          <w:i/>
          <w:iCs/>
          <w:sz w:val="24"/>
          <w:szCs w:val="24"/>
          <w:lang w:val="en-IN"/>
        </w:rPr>
        <w:t>Machine Learning</w:t>
      </w:r>
      <w:r w:rsidRPr="00366DAA">
        <w:rPr>
          <w:rFonts w:ascii="Times New Roman" w:hAnsi="Times New Roman" w:cs="Times New Roman"/>
          <w:sz w:val="24"/>
          <w:szCs w:val="24"/>
          <w:lang w:val="en-IN"/>
        </w:rPr>
        <w:t>, 45(1), pp. 5–32.</w:t>
      </w:r>
    </w:p>
    <w:p w14:paraId="3AFCF5A3" w14:textId="77777777" w:rsidR="00366DAA" w:rsidRPr="00366DAA" w:rsidRDefault="00366DAA" w:rsidP="00366DAA">
      <w:pPr>
        <w:pStyle w:val="ListParagraph"/>
        <w:numPr>
          <w:ilvl w:val="0"/>
          <w:numId w:val="10"/>
        </w:numPr>
        <w:spacing w:after="60"/>
        <w:rPr>
          <w:rFonts w:ascii="Times New Roman" w:hAnsi="Times New Roman" w:cs="Times New Roman"/>
          <w:sz w:val="24"/>
          <w:szCs w:val="24"/>
          <w:lang w:val="en-IN"/>
        </w:rPr>
      </w:pPr>
      <w:r w:rsidRPr="00366DAA">
        <w:rPr>
          <w:rFonts w:ascii="Times New Roman" w:hAnsi="Times New Roman" w:cs="Times New Roman"/>
          <w:sz w:val="24"/>
          <w:szCs w:val="24"/>
          <w:lang w:val="en-IN"/>
        </w:rPr>
        <w:t xml:space="preserve">Cai, M., </w:t>
      </w:r>
      <w:proofErr w:type="spellStart"/>
      <w:r w:rsidRPr="00366DAA">
        <w:rPr>
          <w:rFonts w:ascii="Times New Roman" w:hAnsi="Times New Roman" w:cs="Times New Roman"/>
          <w:sz w:val="24"/>
          <w:szCs w:val="24"/>
          <w:lang w:val="en-IN"/>
        </w:rPr>
        <w:t>Pipattanasomporn</w:t>
      </w:r>
      <w:proofErr w:type="spellEnd"/>
      <w:r w:rsidRPr="00366DAA">
        <w:rPr>
          <w:rFonts w:ascii="Times New Roman" w:hAnsi="Times New Roman" w:cs="Times New Roman"/>
          <w:sz w:val="24"/>
          <w:szCs w:val="24"/>
          <w:lang w:val="en-IN"/>
        </w:rPr>
        <w:t xml:space="preserve">, M. and Rahman, S. (2019) 'Day-ahead building-level load forecasts using deep learning vs. traditional time-series techniques', </w:t>
      </w:r>
      <w:r w:rsidRPr="00366DAA">
        <w:rPr>
          <w:rFonts w:ascii="Times New Roman" w:hAnsi="Times New Roman" w:cs="Times New Roman"/>
          <w:i/>
          <w:iCs/>
          <w:sz w:val="24"/>
          <w:szCs w:val="24"/>
          <w:lang w:val="en-IN"/>
        </w:rPr>
        <w:t>Applied Energy</w:t>
      </w:r>
      <w:r w:rsidRPr="00366DAA">
        <w:rPr>
          <w:rFonts w:ascii="Times New Roman" w:hAnsi="Times New Roman" w:cs="Times New Roman"/>
          <w:sz w:val="24"/>
          <w:szCs w:val="24"/>
          <w:lang w:val="en-IN"/>
        </w:rPr>
        <w:t>, 236, pp. 1078–1088.</w:t>
      </w:r>
    </w:p>
    <w:p w14:paraId="15683925" w14:textId="77777777" w:rsidR="00366DAA" w:rsidRPr="00366DAA" w:rsidRDefault="00366DAA" w:rsidP="00366DAA">
      <w:pPr>
        <w:pStyle w:val="ListParagraph"/>
        <w:numPr>
          <w:ilvl w:val="0"/>
          <w:numId w:val="10"/>
        </w:numPr>
        <w:spacing w:after="60"/>
        <w:rPr>
          <w:rFonts w:ascii="Times New Roman" w:hAnsi="Times New Roman" w:cs="Times New Roman"/>
          <w:sz w:val="24"/>
          <w:szCs w:val="24"/>
          <w:lang w:val="en-IN"/>
        </w:rPr>
      </w:pPr>
      <w:r w:rsidRPr="00366DAA">
        <w:rPr>
          <w:rFonts w:ascii="Times New Roman" w:hAnsi="Times New Roman" w:cs="Times New Roman"/>
          <w:sz w:val="24"/>
          <w:szCs w:val="24"/>
          <w:lang w:val="en-IN"/>
        </w:rPr>
        <w:t xml:space="preserve">Cleveland, R.B., Cleveland, W.S., McRae, J.E. and Terpenning, I. (1990) 'STL: A seasonal-trend decomposition procedure based on LOESS', </w:t>
      </w:r>
      <w:r w:rsidRPr="00366DAA">
        <w:rPr>
          <w:rFonts w:ascii="Times New Roman" w:hAnsi="Times New Roman" w:cs="Times New Roman"/>
          <w:i/>
          <w:iCs/>
          <w:sz w:val="24"/>
          <w:szCs w:val="24"/>
          <w:lang w:val="en-IN"/>
        </w:rPr>
        <w:t>Journal of Official Statistics</w:t>
      </w:r>
      <w:r w:rsidRPr="00366DAA">
        <w:rPr>
          <w:rFonts w:ascii="Times New Roman" w:hAnsi="Times New Roman" w:cs="Times New Roman"/>
          <w:sz w:val="24"/>
          <w:szCs w:val="24"/>
          <w:lang w:val="en-IN"/>
        </w:rPr>
        <w:t>, 6(1), pp. 3–73.</w:t>
      </w:r>
    </w:p>
    <w:p w14:paraId="5A650C7E" w14:textId="77777777" w:rsidR="00366DAA" w:rsidRPr="00366DAA" w:rsidRDefault="00366DAA" w:rsidP="00366DAA">
      <w:pPr>
        <w:pStyle w:val="ListParagraph"/>
        <w:numPr>
          <w:ilvl w:val="0"/>
          <w:numId w:val="10"/>
        </w:numPr>
        <w:spacing w:after="60"/>
        <w:rPr>
          <w:rFonts w:ascii="Times New Roman" w:hAnsi="Times New Roman" w:cs="Times New Roman"/>
          <w:sz w:val="24"/>
          <w:szCs w:val="24"/>
          <w:lang w:val="en-IN"/>
        </w:rPr>
      </w:pPr>
      <w:r w:rsidRPr="00366DAA">
        <w:rPr>
          <w:rFonts w:ascii="Times New Roman" w:hAnsi="Times New Roman" w:cs="Times New Roman"/>
          <w:sz w:val="24"/>
          <w:szCs w:val="24"/>
          <w:lang w:val="en-IN"/>
        </w:rPr>
        <w:t xml:space="preserve">Friedman, J.H. (2001) 'Greedy Function Approximation: A Gradient Boosting Machine', </w:t>
      </w:r>
      <w:r w:rsidRPr="00366DAA">
        <w:rPr>
          <w:rFonts w:ascii="Times New Roman" w:hAnsi="Times New Roman" w:cs="Times New Roman"/>
          <w:i/>
          <w:iCs/>
          <w:sz w:val="24"/>
          <w:szCs w:val="24"/>
          <w:lang w:val="en-IN"/>
        </w:rPr>
        <w:t>Annals of Statistics</w:t>
      </w:r>
      <w:r w:rsidRPr="00366DAA">
        <w:rPr>
          <w:rFonts w:ascii="Times New Roman" w:hAnsi="Times New Roman" w:cs="Times New Roman"/>
          <w:sz w:val="24"/>
          <w:szCs w:val="24"/>
          <w:lang w:val="en-IN"/>
        </w:rPr>
        <w:t>, 29(5), pp. 1189–1232.</w:t>
      </w:r>
    </w:p>
    <w:p w14:paraId="719D259F" w14:textId="77777777" w:rsidR="00366DAA" w:rsidRPr="00366DAA" w:rsidRDefault="00366DAA" w:rsidP="00366DAA">
      <w:pPr>
        <w:pStyle w:val="ListParagraph"/>
        <w:numPr>
          <w:ilvl w:val="0"/>
          <w:numId w:val="10"/>
        </w:numPr>
        <w:spacing w:after="60"/>
        <w:rPr>
          <w:rFonts w:ascii="Times New Roman" w:hAnsi="Times New Roman" w:cs="Times New Roman"/>
          <w:sz w:val="24"/>
          <w:szCs w:val="24"/>
          <w:lang w:val="en-IN"/>
        </w:rPr>
      </w:pPr>
      <w:proofErr w:type="spellStart"/>
      <w:r w:rsidRPr="00366DAA">
        <w:rPr>
          <w:rFonts w:ascii="Times New Roman" w:hAnsi="Times New Roman" w:cs="Times New Roman"/>
          <w:sz w:val="24"/>
          <w:szCs w:val="24"/>
          <w:lang w:val="en-IN"/>
        </w:rPr>
        <w:t>Hewamalage</w:t>
      </w:r>
      <w:proofErr w:type="spellEnd"/>
      <w:r w:rsidRPr="00366DAA">
        <w:rPr>
          <w:rFonts w:ascii="Times New Roman" w:hAnsi="Times New Roman" w:cs="Times New Roman"/>
          <w:sz w:val="24"/>
          <w:szCs w:val="24"/>
          <w:lang w:val="en-IN"/>
        </w:rPr>
        <w:t xml:space="preserve">, H., </w:t>
      </w:r>
      <w:proofErr w:type="spellStart"/>
      <w:r w:rsidRPr="00366DAA">
        <w:rPr>
          <w:rFonts w:ascii="Times New Roman" w:hAnsi="Times New Roman" w:cs="Times New Roman"/>
          <w:sz w:val="24"/>
          <w:szCs w:val="24"/>
          <w:lang w:val="en-IN"/>
        </w:rPr>
        <w:t>Bergmeir</w:t>
      </w:r>
      <w:proofErr w:type="spellEnd"/>
      <w:r w:rsidRPr="00366DAA">
        <w:rPr>
          <w:rFonts w:ascii="Times New Roman" w:hAnsi="Times New Roman" w:cs="Times New Roman"/>
          <w:sz w:val="24"/>
          <w:szCs w:val="24"/>
          <w:lang w:val="en-IN"/>
        </w:rPr>
        <w:t xml:space="preserve">, C. and Bandara, K. (2021) 'Recurrent neural networks for time series forecasting: Current status and future directions', </w:t>
      </w:r>
      <w:r w:rsidRPr="00366DAA">
        <w:rPr>
          <w:rFonts w:ascii="Times New Roman" w:hAnsi="Times New Roman" w:cs="Times New Roman"/>
          <w:i/>
          <w:iCs/>
          <w:sz w:val="24"/>
          <w:szCs w:val="24"/>
          <w:lang w:val="en-IN"/>
        </w:rPr>
        <w:t>International Journal of Forecasting</w:t>
      </w:r>
      <w:r w:rsidRPr="00366DAA">
        <w:rPr>
          <w:rFonts w:ascii="Times New Roman" w:hAnsi="Times New Roman" w:cs="Times New Roman"/>
          <w:sz w:val="24"/>
          <w:szCs w:val="24"/>
          <w:lang w:val="en-IN"/>
        </w:rPr>
        <w:t>, 37(1), pp. 388–427.</w:t>
      </w:r>
    </w:p>
    <w:p w14:paraId="34B93B86" w14:textId="77777777" w:rsidR="00366DAA" w:rsidRPr="00366DAA" w:rsidRDefault="00366DAA" w:rsidP="00366DAA">
      <w:pPr>
        <w:pStyle w:val="ListParagraph"/>
        <w:numPr>
          <w:ilvl w:val="0"/>
          <w:numId w:val="10"/>
        </w:numPr>
        <w:spacing w:after="60"/>
        <w:rPr>
          <w:rFonts w:ascii="Times New Roman" w:hAnsi="Times New Roman" w:cs="Times New Roman"/>
          <w:sz w:val="24"/>
          <w:szCs w:val="24"/>
          <w:lang w:val="en-IN"/>
        </w:rPr>
      </w:pPr>
      <w:r w:rsidRPr="00366DAA">
        <w:rPr>
          <w:rFonts w:ascii="Times New Roman" w:hAnsi="Times New Roman" w:cs="Times New Roman"/>
          <w:sz w:val="24"/>
          <w:szCs w:val="24"/>
          <w:lang w:val="en-IN"/>
        </w:rPr>
        <w:t xml:space="preserve">Hochreiter, S. and </w:t>
      </w:r>
      <w:proofErr w:type="spellStart"/>
      <w:r w:rsidRPr="00366DAA">
        <w:rPr>
          <w:rFonts w:ascii="Times New Roman" w:hAnsi="Times New Roman" w:cs="Times New Roman"/>
          <w:sz w:val="24"/>
          <w:szCs w:val="24"/>
          <w:lang w:val="en-IN"/>
        </w:rPr>
        <w:t>Schmidhuber</w:t>
      </w:r>
      <w:proofErr w:type="spellEnd"/>
      <w:r w:rsidRPr="00366DAA">
        <w:rPr>
          <w:rFonts w:ascii="Times New Roman" w:hAnsi="Times New Roman" w:cs="Times New Roman"/>
          <w:sz w:val="24"/>
          <w:szCs w:val="24"/>
          <w:lang w:val="en-IN"/>
        </w:rPr>
        <w:t xml:space="preserve">, J. (1997) 'Long Short-Term Memory', </w:t>
      </w:r>
      <w:r w:rsidRPr="00366DAA">
        <w:rPr>
          <w:rFonts w:ascii="Times New Roman" w:hAnsi="Times New Roman" w:cs="Times New Roman"/>
          <w:i/>
          <w:iCs/>
          <w:sz w:val="24"/>
          <w:szCs w:val="24"/>
          <w:lang w:val="en-IN"/>
        </w:rPr>
        <w:t>Neural Computation</w:t>
      </w:r>
      <w:r w:rsidRPr="00366DAA">
        <w:rPr>
          <w:rFonts w:ascii="Times New Roman" w:hAnsi="Times New Roman" w:cs="Times New Roman"/>
          <w:sz w:val="24"/>
          <w:szCs w:val="24"/>
          <w:lang w:val="en-IN"/>
        </w:rPr>
        <w:t>, 9(8), pp. 1735–1780.</w:t>
      </w:r>
    </w:p>
    <w:p w14:paraId="412D59C6" w14:textId="77777777" w:rsidR="00366DAA" w:rsidRPr="00366DAA" w:rsidRDefault="00366DAA" w:rsidP="00366DAA">
      <w:pPr>
        <w:pStyle w:val="ListParagraph"/>
        <w:numPr>
          <w:ilvl w:val="0"/>
          <w:numId w:val="10"/>
        </w:numPr>
        <w:spacing w:after="60"/>
        <w:rPr>
          <w:rFonts w:ascii="Times New Roman" w:hAnsi="Times New Roman" w:cs="Times New Roman"/>
          <w:sz w:val="24"/>
          <w:szCs w:val="24"/>
          <w:lang w:val="en-IN"/>
        </w:rPr>
      </w:pPr>
      <w:r w:rsidRPr="00366DAA">
        <w:rPr>
          <w:rFonts w:ascii="Times New Roman" w:hAnsi="Times New Roman" w:cs="Times New Roman"/>
          <w:sz w:val="24"/>
          <w:szCs w:val="24"/>
          <w:lang w:val="en-IN"/>
        </w:rPr>
        <w:t xml:space="preserve">Hyndman, R.J. and Athanasopoulos, G. (2021) </w:t>
      </w:r>
      <w:r w:rsidRPr="00366DAA">
        <w:rPr>
          <w:rFonts w:ascii="Times New Roman" w:hAnsi="Times New Roman" w:cs="Times New Roman"/>
          <w:i/>
          <w:iCs/>
          <w:sz w:val="24"/>
          <w:szCs w:val="24"/>
          <w:lang w:val="en-IN"/>
        </w:rPr>
        <w:t>Forecasting: Principles and Practice</w:t>
      </w:r>
      <w:r w:rsidRPr="00366DAA">
        <w:rPr>
          <w:rFonts w:ascii="Times New Roman" w:hAnsi="Times New Roman" w:cs="Times New Roman"/>
          <w:sz w:val="24"/>
          <w:szCs w:val="24"/>
          <w:lang w:val="en-IN"/>
        </w:rPr>
        <w:t xml:space="preserve">. 3rd </w:t>
      </w:r>
      <w:proofErr w:type="spellStart"/>
      <w:r w:rsidRPr="00366DAA">
        <w:rPr>
          <w:rFonts w:ascii="Times New Roman" w:hAnsi="Times New Roman" w:cs="Times New Roman"/>
          <w:sz w:val="24"/>
          <w:szCs w:val="24"/>
          <w:lang w:val="en-IN"/>
        </w:rPr>
        <w:t>edn</w:t>
      </w:r>
      <w:proofErr w:type="spellEnd"/>
      <w:r w:rsidRPr="00366DAA">
        <w:rPr>
          <w:rFonts w:ascii="Times New Roman" w:hAnsi="Times New Roman" w:cs="Times New Roman"/>
          <w:sz w:val="24"/>
          <w:szCs w:val="24"/>
          <w:lang w:val="en-IN"/>
        </w:rPr>
        <w:t xml:space="preserve">. Melbourne: </w:t>
      </w:r>
      <w:proofErr w:type="spellStart"/>
      <w:r w:rsidRPr="00366DAA">
        <w:rPr>
          <w:rFonts w:ascii="Times New Roman" w:hAnsi="Times New Roman" w:cs="Times New Roman"/>
          <w:sz w:val="24"/>
          <w:szCs w:val="24"/>
          <w:lang w:val="en-IN"/>
        </w:rPr>
        <w:t>OTexts</w:t>
      </w:r>
      <w:proofErr w:type="spellEnd"/>
      <w:r w:rsidRPr="00366DAA">
        <w:rPr>
          <w:rFonts w:ascii="Times New Roman" w:hAnsi="Times New Roman" w:cs="Times New Roman"/>
          <w:sz w:val="24"/>
          <w:szCs w:val="24"/>
          <w:lang w:val="en-IN"/>
        </w:rPr>
        <w:t>.</w:t>
      </w:r>
    </w:p>
    <w:p w14:paraId="5EE61EDA" w14:textId="53D4737A" w:rsidR="00104F86" w:rsidRPr="00366DAA" w:rsidRDefault="00104F86" w:rsidP="00366DAA">
      <w:pPr>
        <w:pStyle w:val="ListParagraph"/>
        <w:spacing w:after="60"/>
        <w:ind w:left="576" w:hanging="576"/>
        <w:rPr>
          <w:rFonts w:ascii="Times New Roman" w:hAnsi="Times New Roman" w:cs="Times New Roman"/>
          <w:sz w:val="24"/>
          <w:szCs w:val="24"/>
        </w:rPr>
      </w:pPr>
    </w:p>
    <w:sectPr w:rsidR="00104F86" w:rsidRPr="00366DA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79145A"/>
    <w:multiLevelType w:val="hybridMultilevel"/>
    <w:tmpl w:val="06868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687079">
    <w:abstractNumId w:val="8"/>
  </w:num>
  <w:num w:numId="2" w16cid:durableId="91170161">
    <w:abstractNumId w:val="6"/>
  </w:num>
  <w:num w:numId="3" w16cid:durableId="1964383004">
    <w:abstractNumId w:val="5"/>
  </w:num>
  <w:num w:numId="4" w16cid:durableId="1356269798">
    <w:abstractNumId w:val="4"/>
  </w:num>
  <w:num w:numId="5" w16cid:durableId="1045644901">
    <w:abstractNumId w:val="7"/>
  </w:num>
  <w:num w:numId="6" w16cid:durableId="565996351">
    <w:abstractNumId w:val="3"/>
  </w:num>
  <w:num w:numId="7" w16cid:durableId="782504723">
    <w:abstractNumId w:val="2"/>
  </w:num>
  <w:num w:numId="8" w16cid:durableId="800879571">
    <w:abstractNumId w:val="1"/>
  </w:num>
  <w:num w:numId="9" w16cid:durableId="950890940">
    <w:abstractNumId w:val="0"/>
  </w:num>
  <w:num w:numId="10" w16cid:durableId="173764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67"/>
    <w:rsid w:val="00095689"/>
    <w:rsid w:val="00104F86"/>
    <w:rsid w:val="0015074B"/>
    <w:rsid w:val="0015264C"/>
    <w:rsid w:val="002913E4"/>
    <w:rsid w:val="0029639D"/>
    <w:rsid w:val="002F4600"/>
    <w:rsid w:val="003228BF"/>
    <w:rsid w:val="00326F90"/>
    <w:rsid w:val="00366DAA"/>
    <w:rsid w:val="0039608E"/>
    <w:rsid w:val="004709A8"/>
    <w:rsid w:val="00754ED9"/>
    <w:rsid w:val="0086416C"/>
    <w:rsid w:val="00A975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2C0B4"/>
  <w14:defaultImageDpi w14:val="300"/>
  <w15:docId w15:val="{4E5DA5C1-9FFC-4C27-AA08-73AF640C7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11</Pages>
  <Words>2810</Words>
  <Characters>16020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 krishna goud</cp:lastModifiedBy>
  <cp:revision>9</cp:revision>
  <dcterms:created xsi:type="dcterms:W3CDTF">2013-12-23T23:15:00Z</dcterms:created>
  <dcterms:modified xsi:type="dcterms:W3CDTF">2026-07-13T11:01:00Z</dcterms:modified>
  <cp:category/>
</cp:coreProperties>
</file>