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5C50C1" w14:textId="77777777" w:rsidR="008F088D" w:rsidRDefault="00000000">
      <w:pPr>
        <w:spacing w:after="0" w:line="259" w:lineRule="auto"/>
        <w:ind w:left="0" w:firstLine="0"/>
        <w:jc w:val="center"/>
      </w:pPr>
      <w:r>
        <w:rPr>
          <w:b/>
          <w:color w:val="0D1117"/>
          <w:sz w:val="52"/>
        </w:rPr>
        <w:t>BLUESTOCK FINTECH</w:t>
      </w:r>
    </w:p>
    <w:p w14:paraId="083DCC3E" w14:textId="17E5816E" w:rsidR="006D6962" w:rsidRDefault="00000000" w:rsidP="006D6962">
      <w:pPr>
        <w:spacing w:after="770" w:line="259" w:lineRule="auto"/>
        <w:ind w:left="0" w:firstLine="0"/>
        <w:jc w:val="center"/>
        <w:rPr>
          <w:color w:val="1F6FEB"/>
          <w:sz w:val="26"/>
        </w:rPr>
      </w:pPr>
      <w:r>
        <w:rPr>
          <w:color w:val="1F6FEB"/>
          <w:sz w:val="26"/>
        </w:rPr>
        <w:t>Mutual Fund Analytics Platform — Final Report</w:t>
      </w:r>
    </w:p>
    <w:p w14:paraId="67C2F395" w14:textId="77777777" w:rsidR="006D6962" w:rsidRDefault="006D6962" w:rsidP="006D6962">
      <w:pPr>
        <w:spacing w:after="770" w:line="259" w:lineRule="auto"/>
        <w:ind w:left="-1140" w:firstLine="0"/>
        <w:jc w:val="center"/>
        <w:rPr>
          <w:color w:val="1F6FEB"/>
          <w:sz w:val="26"/>
        </w:rPr>
      </w:pPr>
    </w:p>
    <w:p w14:paraId="4042C6C5" w14:textId="25527799" w:rsidR="006D6962" w:rsidRPr="006D6962" w:rsidRDefault="006D6962" w:rsidP="006D6962">
      <w:pPr>
        <w:spacing w:after="770" w:line="259" w:lineRule="auto"/>
        <w:ind w:left="-1140" w:firstLine="0"/>
        <w:jc w:val="center"/>
        <w:rPr>
          <w:color w:val="1F6FEB"/>
          <w:sz w:val="26"/>
        </w:rPr>
      </w:pPr>
      <w:proofErr w:type="gramStart"/>
      <w:r>
        <w:rPr>
          <w:color w:val="1F6FEB"/>
          <w:sz w:val="26"/>
        </w:rPr>
        <w:t>NAME :</w:t>
      </w:r>
      <w:proofErr w:type="gramEnd"/>
      <w:r>
        <w:rPr>
          <w:color w:val="1F6FEB"/>
          <w:sz w:val="26"/>
        </w:rPr>
        <w:t>- MUPPURI GOPI</w:t>
      </w:r>
    </w:p>
    <w:tbl>
      <w:tblPr>
        <w:tblStyle w:val="TableGrid"/>
        <w:tblW w:w="8787" w:type="dxa"/>
        <w:tblInd w:w="419" w:type="dxa"/>
        <w:tblCellMar>
          <w:left w:w="120" w:type="dxa"/>
          <w:right w:w="115" w:type="dxa"/>
        </w:tblCellMar>
        <w:tblLook w:val="04A0" w:firstRow="1" w:lastRow="0" w:firstColumn="1" w:lastColumn="0" w:noHBand="0" w:noVBand="1"/>
      </w:tblPr>
      <w:tblGrid>
        <w:gridCol w:w="2551"/>
        <w:gridCol w:w="6236"/>
      </w:tblGrid>
      <w:tr w:rsidR="008F088D" w14:paraId="54EFD0A1" w14:textId="77777777">
        <w:trPr>
          <w:trHeight w:val="400"/>
        </w:trPr>
        <w:tc>
          <w:tcPr>
            <w:tcW w:w="2551" w:type="dxa"/>
            <w:tcBorders>
              <w:top w:val="single" w:sz="3" w:space="0" w:color="D0D7DE"/>
              <w:left w:val="single" w:sz="3" w:space="0" w:color="D0D7DE"/>
              <w:bottom w:val="single" w:sz="3" w:space="0" w:color="D0D7DE"/>
              <w:right w:val="single" w:sz="3" w:space="0" w:color="D0D7DE"/>
            </w:tcBorders>
            <w:shd w:val="clear" w:color="auto" w:fill="0D1117"/>
            <w:vAlign w:val="center"/>
          </w:tcPr>
          <w:p w14:paraId="31C81317" w14:textId="77777777" w:rsidR="008F088D" w:rsidRDefault="00000000">
            <w:pPr>
              <w:spacing w:after="0" w:line="259" w:lineRule="auto"/>
              <w:ind w:left="0" w:firstLine="0"/>
            </w:pPr>
            <w:r>
              <w:rPr>
                <w:color w:val="FFFFFF"/>
                <w:sz w:val="16"/>
              </w:rPr>
              <w:t>Field</w:t>
            </w:r>
          </w:p>
        </w:tc>
        <w:tc>
          <w:tcPr>
            <w:tcW w:w="6236" w:type="dxa"/>
            <w:tcBorders>
              <w:top w:val="single" w:sz="3" w:space="0" w:color="D0D7DE"/>
              <w:left w:val="single" w:sz="3" w:space="0" w:color="D0D7DE"/>
              <w:bottom w:val="single" w:sz="3" w:space="0" w:color="D0D7DE"/>
              <w:right w:val="single" w:sz="3" w:space="0" w:color="D0D7DE"/>
            </w:tcBorders>
            <w:shd w:val="clear" w:color="auto" w:fill="0D1117"/>
            <w:vAlign w:val="center"/>
          </w:tcPr>
          <w:p w14:paraId="639136CA" w14:textId="77777777" w:rsidR="008F088D" w:rsidRDefault="00000000">
            <w:pPr>
              <w:spacing w:after="0" w:line="259" w:lineRule="auto"/>
              <w:ind w:left="0" w:firstLine="0"/>
            </w:pPr>
            <w:r>
              <w:rPr>
                <w:color w:val="FFFFFF"/>
                <w:sz w:val="16"/>
              </w:rPr>
              <w:t>Value</w:t>
            </w:r>
          </w:p>
        </w:tc>
      </w:tr>
      <w:tr w:rsidR="008F088D" w14:paraId="42E09A3B" w14:textId="77777777">
        <w:trPr>
          <w:trHeight w:val="400"/>
        </w:trPr>
        <w:tc>
          <w:tcPr>
            <w:tcW w:w="2551" w:type="dxa"/>
            <w:tcBorders>
              <w:top w:val="single" w:sz="3" w:space="0" w:color="D0D7DE"/>
              <w:left w:val="single" w:sz="3" w:space="0" w:color="D0D7DE"/>
              <w:bottom w:val="single" w:sz="3" w:space="0" w:color="D0D7DE"/>
              <w:right w:val="single" w:sz="3" w:space="0" w:color="D0D7DE"/>
            </w:tcBorders>
            <w:shd w:val="clear" w:color="auto" w:fill="FFFFFF"/>
            <w:vAlign w:val="center"/>
          </w:tcPr>
          <w:p w14:paraId="0F2383E3" w14:textId="77777777" w:rsidR="008F088D" w:rsidRDefault="00000000">
            <w:pPr>
              <w:spacing w:after="0" w:line="259" w:lineRule="auto"/>
              <w:ind w:left="0" w:firstLine="0"/>
            </w:pPr>
            <w:r>
              <w:rPr>
                <w:sz w:val="16"/>
              </w:rPr>
              <w:t>Company</w:t>
            </w:r>
          </w:p>
        </w:tc>
        <w:tc>
          <w:tcPr>
            <w:tcW w:w="6236" w:type="dxa"/>
            <w:tcBorders>
              <w:top w:val="single" w:sz="3" w:space="0" w:color="D0D7DE"/>
              <w:left w:val="single" w:sz="3" w:space="0" w:color="D0D7DE"/>
              <w:bottom w:val="single" w:sz="3" w:space="0" w:color="D0D7DE"/>
              <w:right w:val="single" w:sz="3" w:space="0" w:color="D0D7DE"/>
            </w:tcBorders>
            <w:shd w:val="clear" w:color="auto" w:fill="FFFFFF"/>
            <w:vAlign w:val="center"/>
          </w:tcPr>
          <w:p w14:paraId="6087554F" w14:textId="77777777" w:rsidR="008F088D" w:rsidRDefault="00000000">
            <w:pPr>
              <w:spacing w:after="0" w:line="259" w:lineRule="auto"/>
              <w:ind w:left="0" w:firstLine="0"/>
            </w:pPr>
            <w:r>
              <w:rPr>
                <w:sz w:val="16"/>
              </w:rPr>
              <w:t>Bluestock Fintech Pvt. Ltd.</w:t>
            </w:r>
          </w:p>
        </w:tc>
      </w:tr>
      <w:tr w:rsidR="008F088D" w14:paraId="01963AD2" w14:textId="77777777">
        <w:trPr>
          <w:trHeight w:val="400"/>
        </w:trPr>
        <w:tc>
          <w:tcPr>
            <w:tcW w:w="2551" w:type="dxa"/>
            <w:tcBorders>
              <w:top w:val="single" w:sz="3" w:space="0" w:color="D0D7DE"/>
              <w:left w:val="single" w:sz="3" w:space="0" w:color="D0D7DE"/>
              <w:bottom w:val="single" w:sz="3" w:space="0" w:color="D0D7DE"/>
              <w:right w:val="single" w:sz="3" w:space="0" w:color="D0D7DE"/>
            </w:tcBorders>
            <w:shd w:val="clear" w:color="auto" w:fill="F6F8FA"/>
            <w:vAlign w:val="center"/>
          </w:tcPr>
          <w:p w14:paraId="3D899DCE" w14:textId="77777777" w:rsidR="008F088D" w:rsidRDefault="00000000">
            <w:pPr>
              <w:spacing w:after="0" w:line="259" w:lineRule="auto"/>
              <w:ind w:left="0" w:firstLine="0"/>
            </w:pPr>
            <w:r>
              <w:rPr>
                <w:sz w:val="16"/>
              </w:rPr>
              <w:t>Domain</w:t>
            </w:r>
          </w:p>
        </w:tc>
        <w:tc>
          <w:tcPr>
            <w:tcW w:w="6236" w:type="dxa"/>
            <w:tcBorders>
              <w:top w:val="single" w:sz="3" w:space="0" w:color="D0D7DE"/>
              <w:left w:val="single" w:sz="3" w:space="0" w:color="D0D7DE"/>
              <w:bottom w:val="single" w:sz="3" w:space="0" w:color="D0D7DE"/>
              <w:right w:val="single" w:sz="3" w:space="0" w:color="D0D7DE"/>
            </w:tcBorders>
            <w:shd w:val="clear" w:color="auto" w:fill="F6F8FA"/>
            <w:vAlign w:val="center"/>
          </w:tcPr>
          <w:p w14:paraId="6377AF8A" w14:textId="77777777" w:rsidR="008F088D" w:rsidRDefault="00000000">
            <w:pPr>
              <w:spacing w:after="0" w:line="259" w:lineRule="auto"/>
              <w:ind w:left="0" w:firstLine="0"/>
            </w:pPr>
            <w:r>
              <w:rPr>
                <w:sz w:val="16"/>
              </w:rPr>
              <w:t>Mutual Fund / Fintech</w:t>
            </w:r>
          </w:p>
        </w:tc>
      </w:tr>
      <w:tr w:rsidR="008F088D" w14:paraId="041A7C2F" w14:textId="77777777">
        <w:trPr>
          <w:trHeight w:val="400"/>
        </w:trPr>
        <w:tc>
          <w:tcPr>
            <w:tcW w:w="2551" w:type="dxa"/>
            <w:tcBorders>
              <w:top w:val="single" w:sz="3" w:space="0" w:color="D0D7DE"/>
              <w:left w:val="single" w:sz="3" w:space="0" w:color="D0D7DE"/>
              <w:bottom w:val="single" w:sz="3" w:space="0" w:color="D0D7DE"/>
              <w:right w:val="single" w:sz="3" w:space="0" w:color="D0D7DE"/>
            </w:tcBorders>
            <w:shd w:val="clear" w:color="auto" w:fill="FFFFFF"/>
            <w:vAlign w:val="center"/>
          </w:tcPr>
          <w:p w14:paraId="7B5B3D29" w14:textId="77777777" w:rsidR="008F088D" w:rsidRDefault="00000000">
            <w:pPr>
              <w:spacing w:after="0" w:line="259" w:lineRule="auto"/>
              <w:ind w:left="0" w:firstLine="0"/>
            </w:pPr>
            <w:r>
              <w:rPr>
                <w:sz w:val="16"/>
              </w:rPr>
              <w:t>Project Type</w:t>
            </w:r>
          </w:p>
        </w:tc>
        <w:tc>
          <w:tcPr>
            <w:tcW w:w="6236" w:type="dxa"/>
            <w:tcBorders>
              <w:top w:val="single" w:sz="3" w:space="0" w:color="D0D7DE"/>
              <w:left w:val="single" w:sz="3" w:space="0" w:color="D0D7DE"/>
              <w:bottom w:val="single" w:sz="3" w:space="0" w:color="D0D7DE"/>
              <w:right w:val="single" w:sz="3" w:space="0" w:color="D0D7DE"/>
            </w:tcBorders>
            <w:shd w:val="clear" w:color="auto" w:fill="FFFFFF"/>
            <w:vAlign w:val="center"/>
          </w:tcPr>
          <w:p w14:paraId="76465AE8" w14:textId="77777777" w:rsidR="008F088D" w:rsidRDefault="00000000">
            <w:pPr>
              <w:spacing w:after="0" w:line="259" w:lineRule="auto"/>
              <w:ind w:left="0" w:firstLine="0"/>
            </w:pPr>
            <w:r>
              <w:rPr>
                <w:sz w:val="16"/>
              </w:rPr>
              <w:t>Individual Capstone (1 Week)</w:t>
            </w:r>
          </w:p>
        </w:tc>
      </w:tr>
      <w:tr w:rsidR="008F088D" w14:paraId="7864A552" w14:textId="77777777">
        <w:trPr>
          <w:trHeight w:val="400"/>
        </w:trPr>
        <w:tc>
          <w:tcPr>
            <w:tcW w:w="2551" w:type="dxa"/>
            <w:tcBorders>
              <w:top w:val="single" w:sz="3" w:space="0" w:color="D0D7DE"/>
              <w:left w:val="single" w:sz="3" w:space="0" w:color="D0D7DE"/>
              <w:bottom w:val="single" w:sz="3" w:space="0" w:color="D0D7DE"/>
              <w:right w:val="single" w:sz="3" w:space="0" w:color="D0D7DE"/>
            </w:tcBorders>
            <w:shd w:val="clear" w:color="auto" w:fill="F6F8FA"/>
            <w:vAlign w:val="center"/>
          </w:tcPr>
          <w:p w14:paraId="071ABAF8" w14:textId="77777777" w:rsidR="008F088D" w:rsidRDefault="00000000">
            <w:pPr>
              <w:spacing w:after="0" w:line="259" w:lineRule="auto"/>
              <w:ind w:left="0" w:firstLine="0"/>
            </w:pPr>
            <w:r>
              <w:rPr>
                <w:sz w:val="16"/>
              </w:rPr>
              <w:t>Data Source</w:t>
            </w:r>
          </w:p>
        </w:tc>
        <w:tc>
          <w:tcPr>
            <w:tcW w:w="6236" w:type="dxa"/>
            <w:tcBorders>
              <w:top w:val="single" w:sz="3" w:space="0" w:color="D0D7DE"/>
              <w:left w:val="single" w:sz="3" w:space="0" w:color="D0D7DE"/>
              <w:bottom w:val="single" w:sz="3" w:space="0" w:color="D0D7DE"/>
              <w:right w:val="single" w:sz="3" w:space="0" w:color="D0D7DE"/>
            </w:tcBorders>
            <w:shd w:val="clear" w:color="auto" w:fill="F6F8FA"/>
            <w:vAlign w:val="center"/>
          </w:tcPr>
          <w:p w14:paraId="27836FCC" w14:textId="77777777" w:rsidR="008F088D" w:rsidRDefault="00000000">
            <w:pPr>
              <w:spacing w:after="0" w:line="259" w:lineRule="auto"/>
              <w:ind w:left="0" w:firstLine="0"/>
            </w:pPr>
            <w:r>
              <w:rPr>
                <w:sz w:val="16"/>
              </w:rPr>
              <w:t>AMFI India (Public), mfapi.in, NSE/BSE Public Data</w:t>
            </w:r>
          </w:p>
        </w:tc>
      </w:tr>
      <w:tr w:rsidR="008F088D" w14:paraId="43A8A900" w14:textId="77777777">
        <w:trPr>
          <w:trHeight w:val="400"/>
        </w:trPr>
        <w:tc>
          <w:tcPr>
            <w:tcW w:w="2551" w:type="dxa"/>
            <w:tcBorders>
              <w:top w:val="single" w:sz="3" w:space="0" w:color="D0D7DE"/>
              <w:left w:val="single" w:sz="3" w:space="0" w:color="D0D7DE"/>
              <w:bottom w:val="single" w:sz="3" w:space="0" w:color="D0D7DE"/>
              <w:right w:val="single" w:sz="3" w:space="0" w:color="D0D7DE"/>
            </w:tcBorders>
            <w:shd w:val="clear" w:color="auto" w:fill="FFFFFF"/>
            <w:vAlign w:val="center"/>
          </w:tcPr>
          <w:p w14:paraId="48272E2E" w14:textId="77777777" w:rsidR="008F088D" w:rsidRDefault="00000000">
            <w:pPr>
              <w:spacing w:after="0" w:line="259" w:lineRule="auto"/>
              <w:ind w:left="0" w:firstLine="0"/>
            </w:pPr>
            <w:r>
              <w:rPr>
                <w:sz w:val="16"/>
              </w:rPr>
              <w:t>Technologies</w:t>
            </w:r>
          </w:p>
        </w:tc>
        <w:tc>
          <w:tcPr>
            <w:tcW w:w="6236" w:type="dxa"/>
            <w:tcBorders>
              <w:top w:val="single" w:sz="3" w:space="0" w:color="D0D7DE"/>
              <w:left w:val="single" w:sz="3" w:space="0" w:color="D0D7DE"/>
              <w:bottom w:val="single" w:sz="3" w:space="0" w:color="D0D7DE"/>
              <w:right w:val="single" w:sz="3" w:space="0" w:color="D0D7DE"/>
            </w:tcBorders>
            <w:shd w:val="clear" w:color="auto" w:fill="FFFFFF"/>
            <w:vAlign w:val="center"/>
          </w:tcPr>
          <w:p w14:paraId="22236A10" w14:textId="77777777" w:rsidR="008F088D" w:rsidRDefault="00000000">
            <w:pPr>
              <w:spacing w:after="0" w:line="259" w:lineRule="auto"/>
              <w:ind w:left="0" w:firstLine="0"/>
            </w:pPr>
            <w:r>
              <w:rPr>
                <w:sz w:val="16"/>
              </w:rPr>
              <w:t>Python, SQL, SQLite, Matplotlib/Seaborn, Power BI (guide)</w:t>
            </w:r>
          </w:p>
        </w:tc>
      </w:tr>
      <w:tr w:rsidR="008F088D" w14:paraId="33556927" w14:textId="77777777">
        <w:trPr>
          <w:trHeight w:val="400"/>
        </w:trPr>
        <w:tc>
          <w:tcPr>
            <w:tcW w:w="2551" w:type="dxa"/>
            <w:tcBorders>
              <w:top w:val="single" w:sz="3" w:space="0" w:color="D0D7DE"/>
              <w:left w:val="single" w:sz="3" w:space="0" w:color="D0D7DE"/>
              <w:bottom w:val="single" w:sz="3" w:space="0" w:color="D0D7DE"/>
              <w:right w:val="single" w:sz="3" w:space="0" w:color="D0D7DE"/>
            </w:tcBorders>
            <w:shd w:val="clear" w:color="auto" w:fill="F6F8FA"/>
            <w:vAlign w:val="center"/>
          </w:tcPr>
          <w:p w14:paraId="38683FE4" w14:textId="77777777" w:rsidR="008F088D" w:rsidRDefault="00000000">
            <w:pPr>
              <w:spacing w:after="0" w:line="259" w:lineRule="auto"/>
              <w:ind w:left="0" w:firstLine="0"/>
            </w:pPr>
            <w:r>
              <w:rPr>
                <w:sz w:val="16"/>
              </w:rPr>
              <w:t>Date</w:t>
            </w:r>
          </w:p>
        </w:tc>
        <w:tc>
          <w:tcPr>
            <w:tcW w:w="6236" w:type="dxa"/>
            <w:tcBorders>
              <w:top w:val="single" w:sz="3" w:space="0" w:color="D0D7DE"/>
              <w:left w:val="single" w:sz="3" w:space="0" w:color="D0D7DE"/>
              <w:bottom w:val="single" w:sz="3" w:space="0" w:color="D0D7DE"/>
              <w:right w:val="single" w:sz="3" w:space="0" w:color="D0D7DE"/>
            </w:tcBorders>
            <w:shd w:val="clear" w:color="auto" w:fill="F6F8FA"/>
            <w:vAlign w:val="center"/>
          </w:tcPr>
          <w:p w14:paraId="1267CDF8" w14:textId="77777777" w:rsidR="008F088D" w:rsidRDefault="00000000">
            <w:pPr>
              <w:spacing w:after="0" w:line="259" w:lineRule="auto"/>
              <w:ind w:left="0" w:firstLine="0"/>
            </w:pPr>
            <w:r>
              <w:rPr>
                <w:sz w:val="16"/>
              </w:rPr>
              <w:t>July 2026</w:t>
            </w:r>
          </w:p>
        </w:tc>
      </w:tr>
    </w:tbl>
    <w:p w14:paraId="6EAFD0A3" w14:textId="77777777" w:rsidR="008F088D" w:rsidRDefault="00000000">
      <w:pPr>
        <w:spacing w:after="220" w:line="261" w:lineRule="auto"/>
        <w:ind w:left="-5"/>
      </w:pPr>
      <w:r>
        <w:rPr>
          <w:color w:val="808080"/>
          <w:sz w:val="16"/>
        </w:rPr>
        <w:t>All data in this project is sourced from publicly available information published by AMFI India, NSE, BSE and open APIs (mfapi.in), and is anchored to real published figures where noted. This project is for educational purposes only and does not constitute financial advice. Mutual Fund investments are subject to market risks.</w:t>
      </w:r>
    </w:p>
    <w:p w14:paraId="69E3E464" w14:textId="77777777" w:rsidR="008F088D" w:rsidRDefault="00000000">
      <w:pPr>
        <w:pStyle w:val="Heading1"/>
        <w:ind w:left="385" w:hanging="400"/>
      </w:pPr>
      <w:r>
        <w:t>Executive Summary</w:t>
      </w:r>
    </w:p>
    <w:p w14:paraId="66BDAED0" w14:textId="77777777" w:rsidR="008F088D" w:rsidRDefault="00000000">
      <w:pPr>
        <w:ind w:left="-5"/>
      </w:pPr>
      <w:r>
        <w:t xml:space="preserve">This report documents the design and delivery of a full-stack Mutual Fund Analytics Platform for Bluestock Fintech. The platform ingests AMFI India-anchored data across 40 real mutual fund schemes, 10 fund houses and roughly 5,000 simulated investors, transforms it through a Python ETL pipeline, stores it in a </w:t>
      </w:r>
      <w:proofErr w:type="spellStart"/>
      <w:r>
        <w:t>normalised</w:t>
      </w:r>
      <w:proofErr w:type="spellEnd"/>
      <w:r>
        <w:t xml:space="preserve"> SQLite star schema, and produces performance/risk analytics and dashboard-ready outputs.</w:t>
      </w:r>
    </w:p>
    <w:p w14:paraId="15E83D47" w14:textId="77777777" w:rsidR="008F088D" w:rsidRDefault="00000000">
      <w:pPr>
        <w:spacing w:after="319"/>
        <w:ind w:left="-5"/>
      </w:pPr>
      <w:r>
        <w:t xml:space="preserve">Across the 8 stated project objectives, the platform delivers: an automated ETL pipeline; a 5+ table star-schema SQLite database; an EDA notebook with 9 charts; a computed performance and risk-metrics scorecard (CAGR, Sharpe, Sortino, Alpha, Beta, Max Drawdown, </w:t>
      </w:r>
      <w:proofErr w:type="spellStart"/>
      <w:r>
        <w:t>VaR</w:t>
      </w:r>
      <w:proofErr w:type="spellEnd"/>
      <w:r>
        <w:t>/CVaR); a step-by-step guide to build the Power BI dashboard; investor demographic/</w:t>
      </w:r>
      <w:proofErr w:type="spellStart"/>
      <w:r>
        <w:t>behavioural</w:t>
      </w:r>
      <w:proofErr w:type="spellEnd"/>
      <w:r>
        <w:t xml:space="preserve"> insights; a benchmark comparison against Nifty 50 / Nifty 100; and this consolidated report.</w:t>
      </w:r>
    </w:p>
    <w:p w14:paraId="09838CDC" w14:textId="77777777" w:rsidR="008F088D" w:rsidRDefault="00000000">
      <w:pPr>
        <w:pStyle w:val="Heading2"/>
        <w:ind w:left="-5"/>
      </w:pPr>
      <w:r>
        <w:t>Key Headline Numbers</w:t>
      </w:r>
    </w:p>
    <w:tbl>
      <w:tblPr>
        <w:tblStyle w:val="TableGrid"/>
        <w:tblW w:w="9071" w:type="dxa"/>
        <w:tblInd w:w="277" w:type="dxa"/>
        <w:tblCellMar>
          <w:left w:w="120" w:type="dxa"/>
          <w:right w:w="115" w:type="dxa"/>
        </w:tblCellMar>
        <w:tblLook w:val="04A0" w:firstRow="1" w:lastRow="0" w:firstColumn="1" w:lastColumn="0" w:noHBand="0" w:noVBand="1"/>
      </w:tblPr>
      <w:tblGrid>
        <w:gridCol w:w="4535"/>
        <w:gridCol w:w="4536"/>
      </w:tblGrid>
      <w:tr w:rsidR="008F088D" w14:paraId="60E84703" w14:textId="77777777">
        <w:trPr>
          <w:trHeight w:val="400"/>
        </w:trPr>
        <w:tc>
          <w:tcPr>
            <w:tcW w:w="4535" w:type="dxa"/>
            <w:tcBorders>
              <w:top w:val="single" w:sz="3" w:space="0" w:color="D0D7DE"/>
              <w:left w:val="single" w:sz="3" w:space="0" w:color="D0D7DE"/>
              <w:bottom w:val="single" w:sz="3" w:space="0" w:color="D0D7DE"/>
              <w:right w:val="single" w:sz="3" w:space="0" w:color="D0D7DE"/>
            </w:tcBorders>
            <w:shd w:val="clear" w:color="auto" w:fill="0D1117"/>
            <w:vAlign w:val="center"/>
          </w:tcPr>
          <w:p w14:paraId="16BF9304" w14:textId="77777777" w:rsidR="008F088D" w:rsidRDefault="00000000">
            <w:pPr>
              <w:spacing w:after="0" w:line="259" w:lineRule="auto"/>
              <w:ind w:left="0" w:firstLine="0"/>
            </w:pPr>
            <w:r>
              <w:rPr>
                <w:color w:val="FFFFFF"/>
                <w:sz w:val="16"/>
              </w:rPr>
              <w:t>Metric</w:t>
            </w:r>
          </w:p>
        </w:tc>
        <w:tc>
          <w:tcPr>
            <w:tcW w:w="4535" w:type="dxa"/>
            <w:tcBorders>
              <w:top w:val="single" w:sz="3" w:space="0" w:color="D0D7DE"/>
              <w:left w:val="single" w:sz="3" w:space="0" w:color="D0D7DE"/>
              <w:bottom w:val="single" w:sz="3" w:space="0" w:color="D0D7DE"/>
              <w:right w:val="single" w:sz="3" w:space="0" w:color="D0D7DE"/>
            </w:tcBorders>
            <w:shd w:val="clear" w:color="auto" w:fill="0D1117"/>
            <w:vAlign w:val="center"/>
          </w:tcPr>
          <w:p w14:paraId="4E77B1AE" w14:textId="77777777" w:rsidR="008F088D" w:rsidRDefault="00000000">
            <w:pPr>
              <w:spacing w:after="0" w:line="259" w:lineRule="auto"/>
              <w:ind w:left="0" w:firstLine="0"/>
            </w:pPr>
            <w:r>
              <w:rPr>
                <w:color w:val="FFFFFF"/>
                <w:sz w:val="16"/>
              </w:rPr>
              <w:t>Value</w:t>
            </w:r>
          </w:p>
        </w:tc>
      </w:tr>
      <w:tr w:rsidR="008F088D" w14:paraId="5759B8EE" w14:textId="77777777">
        <w:trPr>
          <w:trHeight w:val="400"/>
        </w:trPr>
        <w:tc>
          <w:tcPr>
            <w:tcW w:w="4535" w:type="dxa"/>
            <w:tcBorders>
              <w:top w:val="single" w:sz="3" w:space="0" w:color="D0D7DE"/>
              <w:left w:val="single" w:sz="3" w:space="0" w:color="D0D7DE"/>
              <w:bottom w:val="single" w:sz="3" w:space="0" w:color="D0D7DE"/>
              <w:right w:val="single" w:sz="3" w:space="0" w:color="D0D7DE"/>
            </w:tcBorders>
            <w:shd w:val="clear" w:color="auto" w:fill="FFFFFF"/>
            <w:vAlign w:val="center"/>
          </w:tcPr>
          <w:p w14:paraId="49F92005" w14:textId="77777777" w:rsidR="008F088D" w:rsidRDefault="00000000">
            <w:pPr>
              <w:spacing w:after="0" w:line="259" w:lineRule="auto"/>
              <w:ind w:left="0" w:firstLine="0"/>
            </w:pPr>
            <w:r>
              <w:rPr>
                <w:sz w:val="16"/>
              </w:rPr>
              <w:t>Schemes tracked</w:t>
            </w:r>
          </w:p>
        </w:tc>
        <w:tc>
          <w:tcPr>
            <w:tcW w:w="4535" w:type="dxa"/>
            <w:tcBorders>
              <w:top w:val="single" w:sz="3" w:space="0" w:color="D0D7DE"/>
              <w:left w:val="single" w:sz="3" w:space="0" w:color="D0D7DE"/>
              <w:bottom w:val="single" w:sz="3" w:space="0" w:color="D0D7DE"/>
              <w:right w:val="single" w:sz="3" w:space="0" w:color="D0D7DE"/>
            </w:tcBorders>
            <w:shd w:val="clear" w:color="auto" w:fill="FFFFFF"/>
            <w:vAlign w:val="center"/>
          </w:tcPr>
          <w:p w14:paraId="754E492A" w14:textId="77777777" w:rsidR="008F088D" w:rsidRDefault="00000000">
            <w:pPr>
              <w:spacing w:after="0" w:line="259" w:lineRule="auto"/>
              <w:ind w:left="0" w:firstLine="0"/>
            </w:pPr>
            <w:r>
              <w:rPr>
                <w:sz w:val="16"/>
              </w:rPr>
              <w:t>40</w:t>
            </w:r>
          </w:p>
        </w:tc>
      </w:tr>
      <w:tr w:rsidR="008F088D" w14:paraId="71B88820" w14:textId="77777777">
        <w:trPr>
          <w:trHeight w:val="400"/>
        </w:trPr>
        <w:tc>
          <w:tcPr>
            <w:tcW w:w="4535" w:type="dxa"/>
            <w:tcBorders>
              <w:top w:val="single" w:sz="3" w:space="0" w:color="D0D7DE"/>
              <w:left w:val="single" w:sz="3" w:space="0" w:color="D0D7DE"/>
              <w:bottom w:val="single" w:sz="3" w:space="0" w:color="D0D7DE"/>
              <w:right w:val="single" w:sz="3" w:space="0" w:color="D0D7DE"/>
            </w:tcBorders>
            <w:shd w:val="clear" w:color="auto" w:fill="F6F8FA"/>
            <w:vAlign w:val="center"/>
          </w:tcPr>
          <w:p w14:paraId="28187939" w14:textId="77777777" w:rsidR="008F088D" w:rsidRDefault="00000000">
            <w:pPr>
              <w:spacing w:after="0" w:line="259" w:lineRule="auto"/>
              <w:ind w:left="0" w:firstLine="0"/>
            </w:pPr>
            <w:r>
              <w:rPr>
                <w:sz w:val="16"/>
              </w:rPr>
              <w:t>Fund houses</w:t>
            </w:r>
          </w:p>
        </w:tc>
        <w:tc>
          <w:tcPr>
            <w:tcW w:w="4535" w:type="dxa"/>
            <w:tcBorders>
              <w:top w:val="single" w:sz="3" w:space="0" w:color="D0D7DE"/>
              <w:left w:val="single" w:sz="3" w:space="0" w:color="D0D7DE"/>
              <w:bottom w:val="single" w:sz="3" w:space="0" w:color="D0D7DE"/>
              <w:right w:val="single" w:sz="3" w:space="0" w:color="D0D7DE"/>
            </w:tcBorders>
            <w:shd w:val="clear" w:color="auto" w:fill="F6F8FA"/>
            <w:vAlign w:val="center"/>
          </w:tcPr>
          <w:p w14:paraId="4DEF55B9" w14:textId="77777777" w:rsidR="008F088D" w:rsidRDefault="00000000">
            <w:pPr>
              <w:spacing w:after="0" w:line="259" w:lineRule="auto"/>
              <w:ind w:left="0" w:firstLine="0"/>
            </w:pPr>
            <w:r>
              <w:rPr>
                <w:sz w:val="16"/>
              </w:rPr>
              <w:t>10</w:t>
            </w:r>
          </w:p>
        </w:tc>
      </w:tr>
      <w:tr w:rsidR="008F088D" w14:paraId="533E95EB" w14:textId="77777777">
        <w:trPr>
          <w:trHeight w:val="400"/>
        </w:trPr>
        <w:tc>
          <w:tcPr>
            <w:tcW w:w="4535" w:type="dxa"/>
            <w:tcBorders>
              <w:top w:val="single" w:sz="3" w:space="0" w:color="D0D7DE"/>
              <w:left w:val="single" w:sz="3" w:space="0" w:color="D0D7DE"/>
              <w:bottom w:val="single" w:sz="3" w:space="0" w:color="D0D7DE"/>
              <w:right w:val="single" w:sz="3" w:space="0" w:color="D0D7DE"/>
            </w:tcBorders>
            <w:shd w:val="clear" w:color="auto" w:fill="FFFFFF"/>
            <w:vAlign w:val="center"/>
          </w:tcPr>
          <w:p w14:paraId="4F4B1F5F" w14:textId="77777777" w:rsidR="008F088D" w:rsidRDefault="00000000">
            <w:pPr>
              <w:spacing w:after="0" w:line="259" w:lineRule="auto"/>
              <w:ind w:left="0" w:firstLine="0"/>
            </w:pPr>
            <w:r>
              <w:rPr>
                <w:sz w:val="16"/>
              </w:rPr>
              <w:t>NAV history rows</w:t>
            </w:r>
          </w:p>
        </w:tc>
        <w:tc>
          <w:tcPr>
            <w:tcW w:w="4535" w:type="dxa"/>
            <w:tcBorders>
              <w:top w:val="single" w:sz="3" w:space="0" w:color="D0D7DE"/>
              <w:left w:val="single" w:sz="3" w:space="0" w:color="D0D7DE"/>
              <w:bottom w:val="single" w:sz="3" w:space="0" w:color="D0D7DE"/>
              <w:right w:val="single" w:sz="3" w:space="0" w:color="D0D7DE"/>
            </w:tcBorders>
            <w:shd w:val="clear" w:color="auto" w:fill="FFFFFF"/>
            <w:vAlign w:val="center"/>
          </w:tcPr>
          <w:p w14:paraId="0FFF6126" w14:textId="77777777" w:rsidR="008F088D" w:rsidRDefault="00000000">
            <w:pPr>
              <w:spacing w:after="0" w:line="259" w:lineRule="auto"/>
              <w:ind w:left="0" w:firstLine="0"/>
            </w:pPr>
            <w:r>
              <w:rPr>
                <w:sz w:val="16"/>
              </w:rPr>
              <w:t>46,000</w:t>
            </w:r>
          </w:p>
        </w:tc>
      </w:tr>
      <w:tr w:rsidR="008F088D" w14:paraId="6656F58C" w14:textId="77777777">
        <w:trPr>
          <w:trHeight w:val="400"/>
        </w:trPr>
        <w:tc>
          <w:tcPr>
            <w:tcW w:w="4535" w:type="dxa"/>
            <w:tcBorders>
              <w:top w:val="single" w:sz="3" w:space="0" w:color="D0D7DE"/>
              <w:left w:val="single" w:sz="3" w:space="0" w:color="D0D7DE"/>
              <w:bottom w:val="single" w:sz="3" w:space="0" w:color="D0D7DE"/>
              <w:right w:val="single" w:sz="3" w:space="0" w:color="D0D7DE"/>
            </w:tcBorders>
            <w:shd w:val="clear" w:color="auto" w:fill="F6F8FA"/>
            <w:vAlign w:val="center"/>
          </w:tcPr>
          <w:p w14:paraId="230A2B2B" w14:textId="77777777" w:rsidR="008F088D" w:rsidRDefault="00000000">
            <w:pPr>
              <w:spacing w:after="0" w:line="259" w:lineRule="auto"/>
              <w:ind w:left="0" w:firstLine="0"/>
            </w:pPr>
            <w:r>
              <w:rPr>
                <w:sz w:val="16"/>
              </w:rPr>
              <w:t>Investor transactions</w:t>
            </w:r>
          </w:p>
        </w:tc>
        <w:tc>
          <w:tcPr>
            <w:tcW w:w="4535" w:type="dxa"/>
            <w:tcBorders>
              <w:top w:val="single" w:sz="3" w:space="0" w:color="D0D7DE"/>
              <w:left w:val="single" w:sz="3" w:space="0" w:color="D0D7DE"/>
              <w:bottom w:val="single" w:sz="3" w:space="0" w:color="D0D7DE"/>
              <w:right w:val="single" w:sz="3" w:space="0" w:color="D0D7DE"/>
            </w:tcBorders>
            <w:shd w:val="clear" w:color="auto" w:fill="F6F8FA"/>
            <w:vAlign w:val="center"/>
          </w:tcPr>
          <w:p w14:paraId="5826DF72" w14:textId="77777777" w:rsidR="008F088D" w:rsidRDefault="00000000">
            <w:pPr>
              <w:spacing w:after="0" w:line="259" w:lineRule="auto"/>
              <w:ind w:left="0" w:firstLine="0"/>
            </w:pPr>
            <w:r>
              <w:rPr>
                <w:sz w:val="16"/>
              </w:rPr>
              <w:t>~39,500</w:t>
            </w:r>
          </w:p>
        </w:tc>
      </w:tr>
      <w:tr w:rsidR="008F088D" w14:paraId="0BD387CB" w14:textId="77777777">
        <w:trPr>
          <w:trHeight w:val="400"/>
        </w:trPr>
        <w:tc>
          <w:tcPr>
            <w:tcW w:w="4535" w:type="dxa"/>
            <w:tcBorders>
              <w:top w:val="single" w:sz="3" w:space="0" w:color="D0D7DE"/>
              <w:left w:val="single" w:sz="3" w:space="0" w:color="D0D7DE"/>
              <w:bottom w:val="single" w:sz="3" w:space="0" w:color="D0D7DE"/>
              <w:right w:val="single" w:sz="3" w:space="0" w:color="D0D7DE"/>
            </w:tcBorders>
            <w:shd w:val="clear" w:color="auto" w:fill="FFFFFF"/>
            <w:vAlign w:val="center"/>
          </w:tcPr>
          <w:p w14:paraId="3116F399" w14:textId="77777777" w:rsidR="008F088D" w:rsidRDefault="00000000">
            <w:pPr>
              <w:spacing w:after="0" w:line="259" w:lineRule="auto"/>
              <w:ind w:left="0" w:firstLine="0"/>
            </w:pPr>
            <w:r>
              <w:rPr>
                <w:sz w:val="16"/>
              </w:rPr>
              <w:t>Latest SIP inflow (Dec-2025, real)</w:t>
            </w:r>
          </w:p>
        </w:tc>
        <w:tc>
          <w:tcPr>
            <w:tcW w:w="4535" w:type="dxa"/>
            <w:tcBorders>
              <w:top w:val="single" w:sz="3" w:space="0" w:color="D0D7DE"/>
              <w:left w:val="single" w:sz="3" w:space="0" w:color="D0D7DE"/>
              <w:bottom w:val="single" w:sz="3" w:space="0" w:color="D0D7DE"/>
              <w:right w:val="single" w:sz="3" w:space="0" w:color="D0D7DE"/>
            </w:tcBorders>
            <w:shd w:val="clear" w:color="auto" w:fill="FFFFFF"/>
            <w:vAlign w:val="center"/>
          </w:tcPr>
          <w:p w14:paraId="588BF219" w14:textId="77777777" w:rsidR="008F088D" w:rsidRDefault="00000000">
            <w:pPr>
              <w:spacing w:after="0" w:line="259" w:lineRule="auto"/>
              <w:ind w:left="0" w:firstLine="0"/>
            </w:pPr>
            <w:r>
              <w:rPr>
                <w:sz w:val="16"/>
              </w:rPr>
              <w:t>Rs 31,002 Cr (real AMFI figure)</w:t>
            </w:r>
          </w:p>
        </w:tc>
      </w:tr>
      <w:tr w:rsidR="008F088D" w14:paraId="1E7B8764" w14:textId="77777777">
        <w:trPr>
          <w:trHeight w:val="400"/>
        </w:trPr>
        <w:tc>
          <w:tcPr>
            <w:tcW w:w="4535" w:type="dxa"/>
            <w:tcBorders>
              <w:top w:val="single" w:sz="3" w:space="0" w:color="D0D7DE"/>
              <w:left w:val="single" w:sz="3" w:space="0" w:color="D0D7DE"/>
              <w:bottom w:val="single" w:sz="3" w:space="0" w:color="D0D7DE"/>
              <w:right w:val="single" w:sz="3" w:space="0" w:color="D0D7DE"/>
            </w:tcBorders>
            <w:shd w:val="clear" w:color="auto" w:fill="F6F8FA"/>
            <w:vAlign w:val="center"/>
          </w:tcPr>
          <w:p w14:paraId="4D0D4100" w14:textId="77777777" w:rsidR="008F088D" w:rsidRDefault="00000000">
            <w:pPr>
              <w:spacing w:after="0" w:line="259" w:lineRule="auto"/>
              <w:ind w:left="0" w:firstLine="0"/>
            </w:pPr>
            <w:r>
              <w:rPr>
                <w:sz w:val="16"/>
              </w:rPr>
              <w:t>Total industry folios (Dec-2025, real)</w:t>
            </w:r>
          </w:p>
        </w:tc>
        <w:tc>
          <w:tcPr>
            <w:tcW w:w="4535" w:type="dxa"/>
            <w:tcBorders>
              <w:top w:val="single" w:sz="3" w:space="0" w:color="D0D7DE"/>
              <w:left w:val="single" w:sz="3" w:space="0" w:color="D0D7DE"/>
              <w:bottom w:val="single" w:sz="3" w:space="0" w:color="D0D7DE"/>
              <w:right w:val="single" w:sz="3" w:space="0" w:color="D0D7DE"/>
            </w:tcBorders>
            <w:shd w:val="clear" w:color="auto" w:fill="F6F8FA"/>
            <w:vAlign w:val="center"/>
          </w:tcPr>
          <w:p w14:paraId="10837711" w14:textId="77777777" w:rsidR="008F088D" w:rsidRDefault="00000000">
            <w:pPr>
              <w:spacing w:after="0" w:line="259" w:lineRule="auto"/>
              <w:ind w:left="0" w:firstLine="0"/>
            </w:pPr>
            <w:r>
              <w:rPr>
                <w:sz w:val="16"/>
              </w:rPr>
              <w:t>26.12 Cr (real AMFI figure)</w:t>
            </w:r>
          </w:p>
        </w:tc>
      </w:tr>
    </w:tbl>
    <w:p w14:paraId="0405D45C" w14:textId="77777777" w:rsidR="008F088D" w:rsidRDefault="00000000">
      <w:r>
        <w:br w:type="page"/>
      </w:r>
    </w:p>
    <w:p w14:paraId="6EB07668" w14:textId="77777777" w:rsidR="008F088D" w:rsidRDefault="00000000">
      <w:pPr>
        <w:pStyle w:val="Heading1"/>
        <w:ind w:left="385" w:hanging="400"/>
      </w:pPr>
      <w:r>
        <w:lastRenderedPageBreak/>
        <w:t>Problem Statement</w:t>
      </w:r>
    </w:p>
    <w:p w14:paraId="02BB5B56" w14:textId="77777777" w:rsidR="008F088D" w:rsidRDefault="00000000">
      <w:pPr>
        <w:spacing w:after="0"/>
        <w:ind w:left="-5"/>
      </w:pPr>
      <w:r>
        <w:t>India's mutual fund industry has grown rapidly — AMFI reports industry AUM of roughly Rs 81 lakh crore across 1,908 schemes and 26.12 crore investor folios as of December 2025, with monthly SIP inflows crossing an all-time high of Rs 31,002 crore in the same month. Despite this scale, retail investors and advisors face five recurring problems, each addressed by a specific component of this platform:</w:t>
      </w:r>
    </w:p>
    <w:tbl>
      <w:tblPr>
        <w:tblStyle w:val="TableGrid"/>
        <w:tblW w:w="9071" w:type="dxa"/>
        <w:tblInd w:w="277" w:type="dxa"/>
        <w:tblLook w:val="04A0" w:firstRow="1" w:lastRow="0" w:firstColumn="1" w:lastColumn="0" w:noHBand="0" w:noVBand="1"/>
      </w:tblPr>
      <w:tblGrid>
        <w:gridCol w:w="680"/>
        <w:gridCol w:w="3572"/>
        <w:gridCol w:w="4819"/>
      </w:tblGrid>
      <w:tr w:rsidR="008F088D" w14:paraId="69DEB3BC" w14:textId="77777777">
        <w:trPr>
          <w:trHeight w:val="400"/>
        </w:trPr>
        <w:tc>
          <w:tcPr>
            <w:tcW w:w="680" w:type="dxa"/>
            <w:tcBorders>
              <w:top w:val="single" w:sz="3" w:space="0" w:color="D0D7DE"/>
              <w:left w:val="single" w:sz="3" w:space="0" w:color="D0D7DE"/>
              <w:bottom w:val="single" w:sz="3" w:space="0" w:color="D0D7DE"/>
              <w:right w:val="single" w:sz="3" w:space="0" w:color="D0D7DE"/>
            </w:tcBorders>
            <w:shd w:val="clear" w:color="auto" w:fill="0D1117"/>
            <w:vAlign w:val="center"/>
          </w:tcPr>
          <w:p w14:paraId="68ABA6EA" w14:textId="77777777" w:rsidR="008F088D" w:rsidRDefault="00000000">
            <w:pPr>
              <w:spacing w:after="0" w:line="259" w:lineRule="auto"/>
              <w:ind w:left="120" w:firstLine="0"/>
            </w:pPr>
            <w:r>
              <w:rPr>
                <w:color w:val="FFFFFF"/>
                <w:sz w:val="15"/>
              </w:rPr>
              <w:t>#</w:t>
            </w:r>
          </w:p>
        </w:tc>
        <w:tc>
          <w:tcPr>
            <w:tcW w:w="3572" w:type="dxa"/>
            <w:tcBorders>
              <w:top w:val="single" w:sz="3" w:space="0" w:color="D0D7DE"/>
              <w:left w:val="single" w:sz="3" w:space="0" w:color="D0D7DE"/>
              <w:bottom w:val="single" w:sz="3" w:space="0" w:color="D0D7DE"/>
              <w:right w:val="single" w:sz="3" w:space="0" w:color="D0D7DE"/>
            </w:tcBorders>
            <w:shd w:val="clear" w:color="auto" w:fill="0D1117"/>
            <w:vAlign w:val="center"/>
          </w:tcPr>
          <w:p w14:paraId="1C2F5374" w14:textId="77777777" w:rsidR="008F088D" w:rsidRDefault="00000000">
            <w:pPr>
              <w:spacing w:after="0" w:line="259" w:lineRule="auto"/>
              <w:ind w:left="120" w:firstLine="0"/>
            </w:pPr>
            <w:r>
              <w:rPr>
                <w:color w:val="FFFFFF"/>
                <w:sz w:val="15"/>
              </w:rPr>
              <w:t>Problem</w:t>
            </w:r>
          </w:p>
        </w:tc>
        <w:tc>
          <w:tcPr>
            <w:tcW w:w="4819" w:type="dxa"/>
            <w:tcBorders>
              <w:top w:val="single" w:sz="3" w:space="0" w:color="D0D7DE"/>
              <w:left w:val="single" w:sz="3" w:space="0" w:color="D0D7DE"/>
              <w:bottom w:val="single" w:sz="3" w:space="0" w:color="D0D7DE"/>
              <w:right w:val="single" w:sz="3" w:space="0" w:color="D0D7DE"/>
            </w:tcBorders>
            <w:shd w:val="clear" w:color="auto" w:fill="0D1117"/>
            <w:vAlign w:val="center"/>
          </w:tcPr>
          <w:p w14:paraId="5EA13798" w14:textId="77777777" w:rsidR="008F088D" w:rsidRDefault="00000000">
            <w:pPr>
              <w:spacing w:after="0" w:line="259" w:lineRule="auto"/>
              <w:ind w:left="120" w:firstLine="0"/>
            </w:pPr>
            <w:r>
              <w:rPr>
                <w:color w:val="FFFFFF"/>
                <w:sz w:val="15"/>
              </w:rPr>
              <w:t>Platform Response</w:t>
            </w:r>
          </w:p>
        </w:tc>
      </w:tr>
      <w:tr w:rsidR="008F088D" w14:paraId="3FC5988C" w14:textId="77777777">
        <w:trPr>
          <w:trHeight w:val="400"/>
        </w:trPr>
        <w:tc>
          <w:tcPr>
            <w:tcW w:w="680" w:type="dxa"/>
            <w:tcBorders>
              <w:top w:val="single" w:sz="3" w:space="0" w:color="D0D7DE"/>
              <w:left w:val="single" w:sz="3" w:space="0" w:color="D0D7DE"/>
              <w:bottom w:val="single" w:sz="3" w:space="0" w:color="D0D7DE"/>
              <w:right w:val="single" w:sz="3" w:space="0" w:color="D0D7DE"/>
            </w:tcBorders>
            <w:shd w:val="clear" w:color="auto" w:fill="FFFFFF"/>
            <w:vAlign w:val="center"/>
          </w:tcPr>
          <w:p w14:paraId="1FA21442" w14:textId="77777777" w:rsidR="008F088D" w:rsidRDefault="00000000">
            <w:pPr>
              <w:spacing w:after="0" w:line="259" w:lineRule="auto"/>
              <w:ind w:left="120" w:firstLine="0"/>
            </w:pPr>
            <w:r>
              <w:rPr>
                <w:sz w:val="15"/>
              </w:rPr>
              <w:t>P1</w:t>
            </w:r>
          </w:p>
        </w:tc>
        <w:tc>
          <w:tcPr>
            <w:tcW w:w="3572" w:type="dxa"/>
            <w:tcBorders>
              <w:top w:val="single" w:sz="3" w:space="0" w:color="D0D7DE"/>
              <w:left w:val="single" w:sz="3" w:space="0" w:color="D0D7DE"/>
              <w:bottom w:val="single" w:sz="3" w:space="0" w:color="D0D7DE"/>
              <w:right w:val="single" w:sz="3" w:space="0" w:color="D0D7DE"/>
            </w:tcBorders>
            <w:shd w:val="clear" w:color="auto" w:fill="FFFFFF"/>
            <w:vAlign w:val="center"/>
          </w:tcPr>
          <w:p w14:paraId="27EFDD1A" w14:textId="77777777" w:rsidR="008F088D" w:rsidRDefault="00000000">
            <w:pPr>
              <w:spacing w:after="0" w:line="259" w:lineRule="auto"/>
              <w:ind w:left="120" w:firstLine="0"/>
            </w:pPr>
            <w:r>
              <w:rPr>
                <w:sz w:val="15"/>
              </w:rPr>
              <w:t xml:space="preserve">Data fragmentation across AMFI TXT/PDF/HTML </w:t>
            </w:r>
            <w:proofErr w:type="spellStart"/>
            <w:r>
              <w:rPr>
                <w:sz w:val="15"/>
              </w:rPr>
              <w:t>fo</w:t>
            </w:r>
            <w:proofErr w:type="spellEnd"/>
          </w:p>
        </w:tc>
        <w:tc>
          <w:tcPr>
            <w:tcW w:w="4819" w:type="dxa"/>
            <w:tcBorders>
              <w:top w:val="single" w:sz="3" w:space="0" w:color="D0D7DE"/>
              <w:left w:val="single" w:sz="3" w:space="0" w:color="D0D7DE"/>
              <w:bottom w:val="single" w:sz="3" w:space="0" w:color="D0D7DE"/>
              <w:right w:val="single" w:sz="3" w:space="0" w:color="D0D7DE"/>
            </w:tcBorders>
            <w:shd w:val="clear" w:color="auto" w:fill="FFFFFF"/>
            <w:vAlign w:val="center"/>
          </w:tcPr>
          <w:p w14:paraId="3801FFF8" w14:textId="77777777" w:rsidR="008F088D" w:rsidRDefault="00000000">
            <w:pPr>
              <w:spacing w:after="0" w:line="259" w:lineRule="auto"/>
              <w:ind w:left="-9" w:firstLine="0"/>
            </w:pPr>
            <w:proofErr w:type="spellStart"/>
            <w:r>
              <w:rPr>
                <w:sz w:val="15"/>
              </w:rPr>
              <w:t>rmatsUnified</w:t>
            </w:r>
            <w:proofErr w:type="spellEnd"/>
            <w:r>
              <w:rPr>
                <w:sz w:val="15"/>
              </w:rPr>
              <w:t xml:space="preserve"> ETL pipeline into a single SQLite database</w:t>
            </w:r>
          </w:p>
        </w:tc>
      </w:tr>
      <w:tr w:rsidR="008F088D" w14:paraId="7B9A39F8" w14:textId="77777777">
        <w:trPr>
          <w:trHeight w:val="400"/>
        </w:trPr>
        <w:tc>
          <w:tcPr>
            <w:tcW w:w="680" w:type="dxa"/>
            <w:tcBorders>
              <w:top w:val="single" w:sz="3" w:space="0" w:color="D0D7DE"/>
              <w:left w:val="single" w:sz="3" w:space="0" w:color="D0D7DE"/>
              <w:bottom w:val="single" w:sz="3" w:space="0" w:color="D0D7DE"/>
              <w:right w:val="single" w:sz="3" w:space="0" w:color="D0D7DE"/>
            </w:tcBorders>
            <w:shd w:val="clear" w:color="auto" w:fill="F6F8FA"/>
            <w:vAlign w:val="center"/>
          </w:tcPr>
          <w:p w14:paraId="1A7A0954" w14:textId="77777777" w:rsidR="008F088D" w:rsidRDefault="00000000">
            <w:pPr>
              <w:spacing w:after="0" w:line="259" w:lineRule="auto"/>
              <w:ind w:left="120" w:firstLine="0"/>
            </w:pPr>
            <w:r>
              <w:rPr>
                <w:sz w:val="15"/>
              </w:rPr>
              <w:t>P2</w:t>
            </w:r>
          </w:p>
        </w:tc>
        <w:tc>
          <w:tcPr>
            <w:tcW w:w="3572" w:type="dxa"/>
            <w:tcBorders>
              <w:top w:val="single" w:sz="3" w:space="0" w:color="D0D7DE"/>
              <w:left w:val="single" w:sz="3" w:space="0" w:color="D0D7DE"/>
              <w:bottom w:val="single" w:sz="3" w:space="0" w:color="D0D7DE"/>
              <w:right w:val="single" w:sz="3" w:space="0" w:color="D0D7DE"/>
            </w:tcBorders>
            <w:shd w:val="clear" w:color="auto" w:fill="F6F8FA"/>
            <w:vAlign w:val="center"/>
          </w:tcPr>
          <w:p w14:paraId="56C4A685" w14:textId="77777777" w:rsidR="008F088D" w:rsidRDefault="00000000">
            <w:pPr>
              <w:spacing w:after="0" w:line="259" w:lineRule="auto"/>
              <w:ind w:left="120" w:firstLine="0"/>
            </w:pPr>
            <w:r>
              <w:rPr>
                <w:sz w:val="15"/>
              </w:rPr>
              <w:t>No easy way to compare funds on a risk-adjusted b</w:t>
            </w:r>
          </w:p>
        </w:tc>
        <w:tc>
          <w:tcPr>
            <w:tcW w:w="4819" w:type="dxa"/>
            <w:tcBorders>
              <w:top w:val="single" w:sz="3" w:space="0" w:color="D0D7DE"/>
              <w:left w:val="single" w:sz="3" w:space="0" w:color="D0D7DE"/>
              <w:bottom w:val="single" w:sz="3" w:space="0" w:color="D0D7DE"/>
              <w:right w:val="single" w:sz="3" w:space="0" w:color="D0D7DE"/>
            </w:tcBorders>
            <w:shd w:val="clear" w:color="auto" w:fill="F6F8FA"/>
            <w:vAlign w:val="center"/>
          </w:tcPr>
          <w:p w14:paraId="51350F56" w14:textId="77777777" w:rsidR="008F088D" w:rsidRDefault="00000000">
            <w:pPr>
              <w:spacing w:after="0" w:line="259" w:lineRule="auto"/>
              <w:ind w:left="-42" w:right="-287" w:firstLine="0"/>
            </w:pPr>
            <w:proofErr w:type="spellStart"/>
            <w:r>
              <w:rPr>
                <w:sz w:val="15"/>
              </w:rPr>
              <w:t>asisFund</w:t>
            </w:r>
            <w:proofErr w:type="spellEnd"/>
            <w:r>
              <w:rPr>
                <w:sz w:val="15"/>
              </w:rPr>
              <w:t xml:space="preserve"> Scorecard: Sharpe, Sortino, Alpha, Beta, Max Drawdown in one table</w:t>
            </w:r>
          </w:p>
        </w:tc>
      </w:tr>
      <w:tr w:rsidR="008F088D" w14:paraId="5F29E354" w14:textId="77777777">
        <w:trPr>
          <w:trHeight w:val="400"/>
        </w:trPr>
        <w:tc>
          <w:tcPr>
            <w:tcW w:w="680" w:type="dxa"/>
            <w:tcBorders>
              <w:top w:val="single" w:sz="3" w:space="0" w:color="D0D7DE"/>
              <w:left w:val="single" w:sz="3" w:space="0" w:color="D0D7DE"/>
              <w:bottom w:val="single" w:sz="3" w:space="0" w:color="D0D7DE"/>
              <w:right w:val="single" w:sz="3" w:space="0" w:color="D0D7DE"/>
            </w:tcBorders>
            <w:shd w:val="clear" w:color="auto" w:fill="FFFFFF"/>
            <w:vAlign w:val="center"/>
          </w:tcPr>
          <w:p w14:paraId="66AED63A" w14:textId="77777777" w:rsidR="008F088D" w:rsidRDefault="00000000">
            <w:pPr>
              <w:spacing w:after="0" w:line="259" w:lineRule="auto"/>
              <w:ind w:left="120" w:firstLine="0"/>
            </w:pPr>
            <w:r>
              <w:rPr>
                <w:sz w:val="15"/>
              </w:rPr>
              <w:t>P3</w:t>
            </w:r>
          </w:p>
        </w:tc>
        <w:tc>
          <w:tcPr>
            <w:tcW w:w="3572" w:type="dxa"/>
            <w:tcBorders>
              <w:top w:val="single" w:sz="3" w:space="0" w:color="D0D7DE"/>
              <w:left w:val="single" w:sz="3" w:space="0" w:color="D0D7DE"/>
              <w:bottom w:val="single" w:sz="3" w:space="0" w:color="D0D7DE"/>
              <w:right w:val="single" w:sz="3" w:space="0" w:color="D0D7DE"/>
            </w:tcBorders>
            <w:shd w:val="clear" w:color="auto" w:fill="FFFFFF"/>
            <w:vAlign w:val="center"/>
          </w:tcPr>
          <w:p w14:paraId="5C5D6814" w14:textId="77777777" w:rsidR="008F088D" w:rsidRDefault="00000000">
            <w:pPr>
              <w:spacing w:after="0" w:line="259" w:lineRule="auto"/>
              <w:ind w:left="120" w:firstLine="0"/>
            </w:pPr>
            <w:r>
              <w:rPr>
                <w:sz w:val="15"/>
              </w:rPr>
              <w:t>Retail investors can't tell if their fund beats its bench</w:t>
            </w:r>
          </w:p>
        </w:tc>
        <w:tc>
          <w:tcPr>
            <w:tcW w:w="4819" w:type="dxa"/>
            <w:tcBorders>
              <w:top w:val="single" w:sz="3" w:space="0" w:color="D0D7DE"/>
              <w:left w:val="single" w:sz="3" w:space="0" w:color="D0D7DE"/>
              <w:bottom w:val="single" w:sz="3" w:space="0" w:color="D0D7DE"/>
              <w:right w:val="single" w:sz="3" w:space="0" w:color="D0D7DE"/>
            </w:tcBorders>
            <w:shd w:val="clear" w:color="auto" w:fill="FFFFFF"/>
            <w:vAlign w:val="center"/>
          </w:tcPr>
          <w:p w14:paraId="066EAE85" w14:textId="77777777" w:rsidR="008F088D" w:rsidRDefault="00000000">
            <w:pPr>
              <w:spacing w:after="0" w:line="259" w:lineRule="auto"/>
              <w:ind w:left="-5" w:firstLine="0"/>
            </w:pPr>
            <w:proofErr w:type="spellStart"/>
            <w:r>
              <w:rPr>
                <w:sz w:val="15"/>
              </w:rPr>
              <w:t>markRolling</w:t>
            </w:r>
            <w:proofErr w:type="spellEnd"/>
            <w:r>
              <w:rPr>
                <w:sz w:val="15"/>
              </w:rPr>
              <w:t xml:space="preserve"> alpha &amp; tracking-error vs Nifty 50/100 for top funds</w:t>
            </w:r>
          </w:p>
        </w:tc>
      </w:tr>
      <w:tr w:rsidR="008F088D" w14:paraId="0AF1B742" w14:textId="77777777">
        <w:trPr>
          <w:trHeight w:val="400"/>
        </w:trPr>
        <w:tc>
          <w:tcPr>
            <w:tcW w:w="680" w:type="dxa"/>
            <w:tcBorders>
              <w:top w:val="single" w:sz="3" w:space="0" w:color="D0D7DE"/>
              <w:left w:val="single" w:sz="3" w:space="0" w:color="D0D7DE"/>
              <w:bottom w:val="single" w:sz="3" w:space="0" w:color="D0D7DE"/>
              <w:right w:val="single" w:sz="3" w:space="0" w:color="D0D7DE"/>
            </w:tcBorders>
            <w:shd w:val="clear" w:color="auto" w:fill="F6F8FA"/>
            <w:vAlign w:val="center"/>
          </w:tcPr>
          <w:p w14:paraId="65030480" w14:textId="77777777" w:rsidR="008F088D" w:rsidRDefault="00000000">
            <w:pPr>
              <w:spacing w:after="0" w:line="259" w:lineRule="auto"/>
              <w:ind w:left="120" w:firstLine="0"/>
            </w:pPr>
            <w:r>
              <w:rPr>
                <w:sz w:val="15"/>
              </w:rPr>
              <w:t>P4</w:t>
            </w:r>
          </w:p>
        </w:tc>
        <w:tc>
          <w:tcPr>
            <w:tcW w:w="3572" w:type="dxa"/>
            <w:tcBorders>
              <w:top w:val="single" w:sz="3" w:space="0" w:color="D0D7DE"/>
              <w:left w:val="single" w:sz="3" w:space="0" w:color="D0D7DE"/>
              <w:bottom w:val="single" w:sz="3" w:space="0" w:color="D0D7DE"/>
              <w:right w:val="single" w:sz="3" w:space="0" w:color="D0D7DE"/>
            </w:tcBorders>
            <w:shd w:val="clear" w:color="auto" w:fill="F6F8FA"/>
            <w:vAlign w:val="center"/>
          </w:tcPr>
          <w:p w14:paraId="3FD08D6C" w14:textId="77777777" w:rsidR="008F088D" w:rsidRDefault="00000000">
            <w:pPr>
              <w:spacing w:after="0" w:line="259" w:lineRule="auto"/>
              <w:ind w:left="120" w:firstLine="0"/>
            </w:pPr>
            <w:r>
              <w:rPr>
                <w:sz w:val="15"/>
              </w:rPr>
              <w:t>Limited visibility into demographic/</w:t>
            </w:r>
            <w:proofErr w:type="spellStart"/>
            <w:r>
              <w:rPr>
                <w:sz w:val="15"/>
              </w:rPr>
              <w:t>behavioural</w:t>
            </w:r>
            <w:proofErr w:type="spellEnd"/>
            <w:r>
              <w:rPr>
                <w:sz w:val="15"/>
              </w:rPr>
              <w:t xml:space="preserve"> drive</w:t>
            </w:r>
          </w:p>
        </w:tc>
        <w:tc>
          <w:tcPr>
            <w:tcW w:w="4819" w:type="dxa"/>
            <w:tcBorders>
              <w:top w:val="single" w:sz="3" w:space="0" w:color="D0D7DE"/>
              <w:left w:val="single" w:sz="3" w:space="0" w:color="D0D7DE"/>
              <w:bottom w:val="single" w:sz="3" w:space="0" w:color="D0D7DE"/>
              <w:right w:val="single" w:sz="3" w:space="0" w:color="D0D7DE"/>
            </w:tcBorders>
            <w:shd w:val="clear" w:color="auto" w:fill="F6F8FA"/>
            <w:vAlign w:val="center"/>
          </w:tcPr>
          <w:p w14:paraId="3ECE49CB" w14:textId="77777777" w:rsidR="008F088D" w:rsidRDefault="00000000">
            <w:pPr>
              <w:spacing w:after="0" w:line="259" w:lineRule="auto"/>
              <w:ind w:left="-34" w:firstLine="0"/>
            </w:pPr>
            <w:proofErr w:type="spellStart"/>
            <w:r>
              <w:rPr>
                <w:sz w:val="15"/>
              </w:rPr>
              <w:t>rs</w:t>
            </w:r>
            <w:proofErr w:type="spellEnd"/>
            <w:r>
              <w:rPr>
                <w:sz w:val="15"/>
              </w:rPr>
              <w:t xml:space="preserve"> of SIP </w:t>
            </w:r>
            <w:proofErr w:type="spellStart"/>
            <w:r>
              <w:rPr>
                <w:sz w:val="15"/>
              </w:rPr>
              <w:t>flowsCohort</w:t>
            </w:r>
            <w:proofErr w:type="spellEnd"/>
            <w:r>
              <w:rPr>
                <w:sz w:val="15"/>
              </w:rPr>
              <w:t>, geographic and age-group analysis of ~39,500 transactions</w:t>
            </w:r>
          </w:p>
        </w:tc>
      </w:tr>
      <w:tr w:rsidR="008F088D" w14:paraId="57E6DFD4" w14:textId="77777777">
        <w:trPr>
          <w:trHeight w:val="400"/>
        </w:trPr>
        <w:tc>
          <w:tcPr>
            <w:tcW w:w="680" w:type="dxa"/>
            <w:tcBorders>
              <w:top w:val="single" w:sz="3" w:space="0" w:color="D0D7DE"/>
              <w:left w:val="single" w:sz="3" w:space="0" w:color="D0D7DE"/>
              <w:bottom w:val="single" w:sz="3" w:space="0" w:color="D0D7DE"/>
              <w:right w:val="single" w:sz="3" w:space="0" w:color="D0D7DE"/>
            </w:tcBorders>
            <w:shd w:val="clear" w:color="auto" w:fill="FFFFFF"/>
            <w:vAlign w:val="center"/>
          </w:tcPr>
          <w:p w14:paraId="76100F87" w14:textId="77777777" w:rsidR="008F088D" w:rsidRDefault="00000000">
            <w:pPr>
              <w:spacing w:after="0" w:line="259" w:lineRule="auto"/>
              <w:ind w:left="120" w:firstLine="0"/>
            </w:pPr>
            <w:r>
              <w:rPr>
                <w:sz w:val="15"/>
              </w:rPr>
              <w:t>P5</w:t>
            </w:r>
          </w:p>
        </w:tc>
        <w:tc>
          <w:tcPr>
            <w:tcW w:w="3572" w:type="dxa"/>
            <w:tcBorders>
              <w:top w:val="single" w:sz="3" w:space="0" w:color="D0D7DE"/>
              <w:left w:val="single" w:sz="3" w:space="0" w:color="D0D7DE"/>
              <w:bottom w:val="single" w:sz="3" w:space="0" w:color="D0D7DE"/>
              <w:right w:val="single" w:sz="3" w:space="0" w:color="D0D7DE"/>
            </w:tcBorders>
            <w:shd w:val="clear" w:color="auto" w:fill="FFFFFF"/>
            <w:vAlign w:val="center"/>
          </w:tcPr>
          <w:p w14:paraId="6130A2DB" w14:textId="77777777" w:rsidR="008F088D" w:rsidRDefault="00000000">
            <w:pPr>
              <w:spacing w:after="0" w:line="259" w:lineRule="auto"/>
              <w:ind w:left="120" w:firstLine="0"/>
            </w:pPr>
            <w:r>
              <w:rPr>
                <w:sz w:val="15"/>
              </w:rPr>
              <w:t>Monthly reports are static PDFs, slow to produce</w:t>
            </w:r>
          </w:p>
        </w:tc>
        <w:tc>
          <w:tcPr>
            <w:tcW w:w="4819" w:type="dxa"/>
            <w:tcBorders>
              <w:top w:val="single" w:sz="3" w:space="0" w:color="D0D7DE"/>
              <w:left w:val="single" w:sz="3" w:space="0" w:color="D0D7DE"/>
              <w:bottom w:val="single" w:sz="3" w:space="0" w:color="D0D7DE"/>
              <w:right w:val="single" w:sz="3" w:space="0" w:color="D0D7DE"/>
            </w:tcBorders>
            <w:shd w:val="clear" w:color="auto" w:fill="FFFFFF"/>
            <w:vAlign w:val="center"/>
          </w:tcPr>
          <w:p w14:paraId="21E48C4B" w14:textId="77777777" w:rsidR="008F088D" w:rsidRDefault="00000000">
            <w:pPr>
              <w:spacing w:after="0" w:line="259" w:lineRule="auto"/>
              <w:ind w:left="120" w:firstLine="0"/>
            </w:pPr>
            <w:r>
              <w:rPr>
                <w:sz w:val="15"/>
              </w:rPr>
              <w:t>Automated pipeline (re)generates all metrics/charts on demand</w:t>
            </w:r>
          </w:p>
        </w:tc>
      </w:tr>
    </w:tbl>
    <w:p w14:paraId="4F25A5E6" w14:textId="77777777" w:rsidR="008F088D" w:rsidRDefault="00000000">
      <w:r>
        <w:br w:type="page"/>
      </w:r>
    </w:p>
    <w:p w14:paraId="725A593E" w14:textId="77777777" w:rsidR="008F088D" w:rsidRDefault="00000000">
      <w:pPr>
        <w:pStyle w:val="Heading1"/>
        <w:ind w:left="385" w:hanging="400"/>
      </w:pPr>
      <w:r>
        <w:lastRenderedPageBreak/>
        <w:t>Data Sources, ETL Pipeline &amp; Database</w:t>
      </w:r>
    </w:p>
    <w:p w14:paraId="0F1EA6EC" w14:textId="77777777" w:rsidR="008F088D" w:rsidRDefault="00000000">
      <w:pPr>
        <w:spacing w:after="319"/>
        <w:ind w:left="-5"/>
      </w:pPr>
      <w:r>
        <w:t xml:space="preserve">Ten datasets were generated, anchored to real AMFI/mfapi.in figures (fund names, AMFI codes, AUM, SIP and folio milestones) and simulated forward for daily granularity using realistic return/volatility parameters — mirroring the data-authenticity approach specified in the project brief. See </w:t>
      </w:r>
      <w:r>
        <w:rPr>
          <w:b/>
        </w:rPr>
        <w:t>sql/data_dictionary.md</w:t>
      </w:r>
      <w:r>
        <w:t xml:space="preserve"> for full column-level documentation.</w:t>
      </w:r>
    </w:p>
    <w:p w14:paraId="25F667E7" w14:textId="77777777" w:rsidR="008F088D" w:rsidRDefault="00000000">
      <w:pPr>
        <w:pStyle w:val="Heading2"/>
        <w:spacing w:after="114"/>
        <w:ind w:left="-5"/>
      </w:pPr>
      <w:r>
        <w:t>ETL Pipeline (scripts/etl_pipeline.py)</w:t>
      </w:r>
    </w:p>
    <w:p w14:paraId="78FCDD49" w14:textId="77777777" w:rsidR="008F088D" w:rsidRDefault="00000000">
      <w:pPr>
        <w:spacing w:after="319"/>
        <w:ind w:left="-5"/>
      </w:pPr>
      <w:r>
        <w:t xml:space="preserve">Extract </w:t>
      </w:r>
      <w:r>
        <w:rPr>
          <w:rFonts w:ascii="Segoe UI Symbol" w:eastAsia="Segoe UI Symbol" w:hAnsi="Segoe UI Symbol" w:cs="Segoe UI Symbol"/>
        </w:rPr>
        <w:t>→</w:t>
      </w:r>
      <w:r>
        <w:t xml:space="preserve"> Transform </w:t>
      </w:r>
      <w:r>
        <w:rPr>
          <w:rFonts w:ascii="Segoe UI Symbol" w:eastAsia="Segoe UI Symbol" w:hAnsi="Segoe UI Symbol" w:cs="Segoe UI Symbol"/>
        </w:rPr>
        <w:t>→</w:t>
      </w:r>
      <w:r>
        <w:t xml:space="preserve"> Load: raw CSVs are read, then cleaned per the brief's rules — NAV history is sorted, reindexed to the full business-day calendar, forward/back-filled across holidays, deduplicated and validated for NAV &gt; 0; investor transactions are validated for positive amounts and </w:t>
      </w:r>
      <w:proofErr w:type="spellStart"/>
      <w:r>
        <w:t>standardised</w:t>
      </w:r>
      <w:proofErr w:type="spellEnd"/>
      <w:r>
        <w:t xml:space="preserve"> transaction types; scheme performance fields are coerced to numeric with a negative-Sharpe flag. Cleaned data is loaded into a SQLite database (</w:t>
      </w:r>
      <w:r>
        <w:rPr>
          <w:b/>
        </w:rPr>
        <w:t>data/</w:t>
      </w:r>
      <w:proofErr w:type="spellStart"/>
      <w:r>
        <w:rPr>
          <w:b/>
        </w:rPr>
        <w:t>db</w:t>
      </w:r>
      <w:proofErr w:type="spellEnd"/>
      <w:r>
        <w:rPr>
          <w:b/>
        </w:rPr>
        <w:t>/</w:t>
      </w:r>
      <w:proofErr w:type="spellStart"/>
      <w:r>
        <w:rPr>
          <w:b/>
        </w:rPr>
        <w:t>bluestock_mf.db</w:t>
      </w:r>
      <w:proofErr w:type="spellEnd"/>
      <w:r>
        <w:t>) following a 5+ table star schema.</w:t>
      </w:r>
    </w:p>
    <w:p w14:paraId="17C22798" w14:textId="77777777" w:rsidR="008F088D" w:rsidRDefault="00000000">
      <w:pPr>
        <w:pStyle w:val="Heading2"/>
        <w:ind w:left="-5"/>
      </w:pPr>
      <w:r>
        <w:t>Database Schema</w:t>
      </w:r>
    </w:p>
    <w:tbl>
      <w:tblPr>
        <w:tblStyle w:val="TableGrid"/>
        <w:tblW w:w="7370" w:type="dxa"/>
        <w:tblInd w:w="1127" w:type="dxa"/>
        <w:tblCellMar>
          <w:left w:w="120" w:type="dxa"/>
          <w:right w:w="115" w:type="dxa"/>
        </w:tblCellMar>
        <w:tblLook w:val="04A0" w:firstRow="1" w:lastRow="0" w:firstColumn="1" w:lastColumn="0" w:noHBand="0" w:noVBand="1"/>
      </w:tblPr>
      <w:tblGrid>
        <w:gridCol w:w="2834"/>
        <w:gridCol w:w="1701"/>
        <w:gridCol w:w="2835"/>
      </w:tblGrid>
      <w:tr w:rsidR="008F088D" w14:paraId="55FF96A3" w14:textId="77777777">
        <w:trPr>
          <w:trHeight w:val="400"/>
        </w:trPr>
        <w:tc>
          <w:tcPr>
            <w:tcW w:w="2835" w:type="dxa"/>
            <w:tcBorders>
              <w:top w:val="single" w:sz="3" w:space="0" w:color="D0D7DE"/>
              <w:left w:val="single" w:sz="3" w:space="0" w:color="D0D7DE"/>
              <w:bottom w:val="single" w:sz="3" w:space="0" w:color="D0D7DE"/>
              <w:right w:val="single" w:sz="3" w:space="0" w:color="D0D7DE"/>
            </w:tcBorders>
            <w:shd w:val="clear" w:color="auto" w:fill="0D1117"/>
            <w:vAlign w:val="center"/>
          </w:tcPr>
          <w:p w14:paraId="0E759F41" w14:textId="77777777" w:rsidR="008F088D" w:rsidRDefault="00000000">
            <w:pPr>
              <w:spacing w:after="0" w:line="259" w:lineRule="auto"/>
              <w:ind w:left="0" w:firstLine="0"/>
            </w:pPr>
            <w:r>
              <w:rPr>
                <w:color w:val="FFFFFF"/>
                <w:sz w:val="16"/>
              </w:rPr>
              <w:t>Table</w:t>
            </w:r>
          </w:p>
        </w:tc>
        <w:tc>
          <w:tcPr>
            <w:tcW w:w="1701" w:type="dxa"/>
            <w:tcBorders>
              <w:top w:val="single" w:sz="3" w:space="0" w:color="D0D7DE"/>
              <w:left w:val="single" w:sz="3" w:space="0" w:color="D0D7DE"/>
              <w:bottom w:val="single" w:sz="3" w:space="0" w:color="D0D7DE"/>
              <w:right w:val="single" w:sz="3" w:space="0" w:color="D0D7DE"/>
            </w:tcBorders>
            <w:shd w:val="clear" w:color="auto" w:fill="0D1117"/>
            <w:vAlign w:val="center"/>
          </w:tcPr>
          <w:p w14:paraId="516B3A75" w14:textId="77777777" w:rsidR="008F088D" w:rsidRDefault="00000000">
            <w:pPr>
              <w:spacing w:after="0" w:line="259" w:lineRule="auto"/>
              <w:ind w:left="0" w:firstLine="0"/>
            </w:pPr>
            <w:r>
              <w:rPr>
                <w:color w:val="FFFFFF"/>
                <w:sz w:val="16"/>
              </w:rPr>
              <w:t>Type</w:t>
            </w:r>
          </w:p>
        </w:tc>
        <w:tc>
          <w:tcPr>
            <w:tcW w:w="2835" w:type="dxa"/>
            <w:tcBorders>
              <w:top w:val="single" w:sz="3" w:space="0" w:color="D0D7DE"/>
              <w:left w:val="single" w:sz="3" w:space="0" w:color="D0D7DE"/>
              <w:bottom w:val="single" w:sz="3" w:space="0" w:color="D0D7DE"/>
              <w:right w:val="single" w:sz="3" w:space="0" w:color="D0D7DE"/>
            </w:tcBorders>
            <w:shd w:val="clear" w:color="auto" w:fill="0D1117"/>
            <w:vAlign w:val="center"/>
          </w:tcPr>
          <w:p w14:paraId="19AE7D0A" w14:textId="77777777" w:rsidR="008F088D" w:rsidRDefault="00000000">
            <w:pPr>
              <w:spacing w:after="0" w:line="259" w:lineRule="auto"/>
              <w:ind w:left="0" w:firstLine="0"/>
            </w:pPr>
            <w:r>
              <w:rPr>
                <w:color w:val="FFFFFF"/>
                <w:sz w:val="16"/>
              </w:rPr>
              <w:t>Rows</w:t>
            </w:r>
          </w:p>
        </w:tc>
      </w:tr>
      <w:tr w:rsidR="008F088D" w14:paraId="7B749B9E" w14:textId="77777777">
        <w:trPr>
          <w:trHeight w:val="400"/>
        </w:trPr>
        <w:tc>
          <w:tcPr>
            <w:tcW w:w="2835" w:type="dxa"/>
            <w:tcBorders>
              <w:top w:val="single" w:sz="3" w:space="0" w:color="D0D7DE"/>
              <w:left w:val="single" w:sz="3" w:space="0" w:color="D0D7DE"/>
              <w:bottom w:val="single" w:sz="3" w:space="0" w:color="D0D7DE"/>
              <w:right w:val="single" w:sz="3" w:space="0" w:color="D0D7DE"/>
            </w:tcBorders>
            <w:shd w:val="clear" w:color="auto" w:fill="FFFFFF"/>
            <w:vAlign w:val="center"/>
          </w:tcPr>
          <w:p w14:paraId="4942D949" w14:textId="77777777" w:rsidR="008F088D" w:rsidRDefault="00000000">
            <w:pPr>
              <w:spacing w:after="0" w:line="259" w:lineRule="auto"/>
              <w:ind w:left="0" w:firstLine="0"/>
            </w:pPr>
            <w:proofErr w:type="spellStart"/>
            <w:r>
              <w:rPr>
                <w:sz w:val="16"/>
              </w:rPr>
              <w:t>dim_fund</w:t>
            </w:r>
            <w:proofErr w:type="spellEnd"/>
          </w:p>
        </w:tc>
        <w:tc>
          <w:tcPr>
            <w:tcW w:w="1701" w:type="dxa"/>
            <w:tcBorders>
              <w:top w:val="single" w:sz="3" w:space="0" w:color="D0D7DE"/>
              <w:left w:val="single" w:sz="3" w:space="0" w:color="D0D7DE"/>
              <w:bottom w:val="single" w:sz="3" w:space="0" w:color="D0D7DE"/>
              <w:right w:val="single" w:sz="3" w:space="0" w:color="D0D7DE"/>
            </w:tcBorders>
            <w:shd w:val="clear" w:color="auto" w:fill="FFFFFF"/>
            <w:vAlign w:val="center"/>
          </w:tcPr>
          <w:p w14:paraId="249698D7" w14:textId="77777777" w:rsidR="008F088D" w:rsidRDefault="00000000">
            <w:pPr>
              <w:spacing w:after="0" w:line="259" w:lineRule="auto"/>
              <w:ind w:left="0" w:firstLine="0"/>
            </w:pPr>
            <w:r>
              <w:rPr>
                <w:sz w:val="16"/>
              </w:rPr>
              <w:t>Dimension</w:t>
            </w:r>
          </w:p>
        </w:tc>
        <w:tc>
          <w:tcPr>
            <w:tcW w:w="2835" w:type="dxa"/>
            <w:tcBorders>
              <w:top w:val="single" w:sz="3" w:space="0" w:color="D0D7DE"/>
              <w:left w:val="single" w:sz="3" w:space="0" w:color="D0D7DE"/>
              <w:bottom w:val="single" w:sz="3" w:space="0" w:color="D0D7DE"/>
              <w:right w:val="single" w:sz="3" w:space="0" w:color="D0D7DE"/>
            </w:tcBorders>
            <w:shd w:val="clear" w:color="auto" w:fill="FFFFFF"/>
            <w:vAlign w:val="center"/>
          </w:tcPr>
          <w:p w14:paraId="40724958" w14:textId="77777777" w:rsidR="008F088D" w:rsidRDefault="00000000">
            <w:pPr>
              <w:spacing w:after="0" w:line="259" w:lineRule="auto"/>
              <w:ind w:left="0" w:firstLine="0"/>
            </w:pPr>
            <w:r>
              <w:rPr>
                <w:sz w:val="16"/>
              </w:rPr>
              <w:t>40</w:t>
            </w:r>
          </w:p>
        </w:tc>
      </w:tr>
      <w:tr w:rsidR="008F088D" w14:paraId="550874AF" w14:textId="77777777">
        <w:trPr>
          <w:trHeight w:val="400"/>
        </w:trPr>
        <w:tc>
          <w:tcPr>
            <w:tcW w:w="2835" w:type="dxa"/>
            <w:tcBorders>
              <w:top w:val="single" w:sz="3" w:space="0" w:color="D0D7DE"/>
              <w:left w:val="single" w:sz="3" w:space="0" w:color="D0D7DE"/>
              <w:bottom w:val="single" w:sz="3" w:space="0" w:color="D0D7DE"/>
              <w:right w:val="single" w:sz="3" w:space="0" w:color="D0D7DE"/>
            </w:tcBorders>
            <w:shd w:val="clear" w:color="auto" w:fill="F6F8FA"/>
            <w:vAlign w:val="center"/>
          </w:tcPr>
          <w:p w14:paraId="4382F6C2" w14:textId="77777777" w:rsidR="008F088D" w:rsidRDefault="00000000">
            <w:pPr>
              <w:spacing w:after="0" w:line="259" w:lineRule="auto"/>
              <w:ind w:left="0" w:firstLine="0"/>
            </w:pPr>
            <w:proofErr w:type="spellStart"/>
            <w:r>
              <w:rPr>
                <w:sz w:val="16"/>
              </w:rPr>
              <w:t>dim_date</w:t>
            </w:r>
            <w:proofErr w:type="spellEnd"/>
          </w:p>
        </w:tc>
        <w:tc>
          <w:tcPr>
            <w:tcW w:w="1701" w:type="dxa"/>
            <w:tcBorders>
              <w:top w:val="single" w:sz="3" w:space="0" w:color="D0D7DE"/>
              <w:left w:val="single" w:sz="3" w:space="0" w:color="D0D7DE"/>
              <w:bottom w:val="single" w:sz="3" w:space="0" w:color="D0D7DE"/>
              <w:right w:val="single" w:sz="3" w:space="0" w:color="D0D7DE"/>
            </w:tcBorders>
            <w:shd w:val="clear" w:color="auto" w:fill="F6F8FA"/>
            <w:vAlign w:val="center"/>
          </w:tcPr>
          <w:p w14:paraId="12413BC8" w14:textId="77777777" w:rsidR="008F088D" w:rsidRDefault="00000000">
            <w:pPr>
              <w:spacing w:after="0" w:line="259" w:lineRule="auto"/>
              <w:ind w:left="0" w:firstLine="0"/>
            </w:pPr>
            <w:r>
              <w:rPr>
                <w:sz w:val="16"/>
              </w:rPr>
              <w:t>Dimension</w:t>
            </w:r>
          </w:p>
        </w:tc>
        <w:tc>
          <w:tcPr>
            <w:tcW w:w="2835" w:type="dxa"/>
            <w:tcBorders>
              <w:top w:val="single" w:sz="3" w:space="0" w:color="D0D7DE"/>
              <w:left w:val="single" w:sz="3" w:space="0" w:color="D0D7DE"/>
              <w:bottom w:val="single" w:sz="3" w:space="0" w:color="D0D7DE"/>
              <w:right w:val="single" w:sz="3" w:space="0" w:color="D0D7DE"/>
            </w:tcBorders>
            <w:shd w:val="clear" w:color="auto" w:fill="F6F8FA"/>
            <w:vAlign w:val="center"/>
          </w:tcPr>
          <w:p w14:paraId="6B9F302F" w14:textId="77777777" w:rsidR="008F088D" w:rsidRDefault="00000000">
            <w:pPr>
              <w:spacing w:after="0" w:line="259" w:lineRule="auto"/>
              <w:ind w:left="0" w:firstLine="0"/>
            </w:pPr>
            <w:r>
              <w:rPr>
                <w:sz w:val="16"/>
              </w:rPr>
              <w:t>1,150</w:t>
            </w:r>
          </w:p>
        </w:tc>
      </w:tr>
      <w:tr w:rsidR="008F088D" w14:paraId="663CCC64" w14:textId="77777777">
        <w:trPr>
          <w:trHeight w:val="400"/>
        </w:trPr>
        <w:tc>
          <w:tcPr>
            <w:tcW w:w="2835" w:type="dxa"/>
            <w:tcBorders>
              <w:top w:val="single" w:sz="3" w:space="0" w:color="D0D7DE"/>
              <w:left w:val="single" w:sz="3" w:space="0" w:color="D0D7DE"/>
              <w:bottom w:val="single" w:sz="3" w:space="0" w:color="D0D7DE"/>
              <w:right w:val="single" w:sz="3" w:space="0" w:color="D0D7DE"/>
            </w:tcBorders>
            <w:shd w:val="clear" w:color="auto" w:fill="FFFFFF"/>
            <w:vAlign w:val="center"/>
          </w:tcPr>
          <w:p w14:paraId="40712FEC" w14:textId="77777777" w:rsidR="008F088D" w:rsidRDefault="00000000">
            <w:pPr>
              <w:spacing w:after="0" w:line="259" w:lineRule="auto"/>
              <w:ind w:left="0" w:firstLine="0"/>
            </w:pPr>
            <w:proofErr w:type="spellStart"/>
            <w:r>
              <w:rPr>
                <w:sz w:val="16"/>
              </w:rPr>
              <w:t>fact_nav</w:t>
            </w:r>
            <w:proofErr w:type="spellEnd"/>
          </w:p>
        </w:tc>
        <w:tc>
          <w:tcPr>
            <w:tcW w:w="1701" w:type="dxa"/>
            <w:tcBorders>
              <w:top w:val="single" w:sz="3" w:space="0" w:color="D0D7DE"/>
              <w:left w:val="single" w:sz="3" w:space="0" w:color="D0D7DE"/>
              <w:bottom w:val="single" w:sz="3" w:space="0" w:color="D0D7DE"/>
              <w:right w:val="single" w:sz="3" w:space="0" w:color="D0D7DE"/>
            </w:tcBorders>
            <w:shd w:val="clear" w:color="auto" w:fill="FFFFFF"/>
            <w:vAlign w:val="center"/>
          </w:tcPr>
          <w:p w14:paraId="51483C1D" w14:textId="77777777" w:rsidR="008F088D" w:rsidRDefault="00000000">
            <w:pPr>
              <w:spacing w:after="0" w:line="259" w:lineRule="auto"/>
              <w:ind w:left="0" w:firstLine="0"/>
            </w:pPr>
            <w:r>
              <w:rPr>
                <w:sz w:val="16"/>
              </w:rPr>
              <w:t>Fact</w:t>
            </w:r>
          </w:p>
        </w:tc>
        <w:tc>
          <w:tcPr>
            <w:tcW w:w="2835" w:type="dxa"/>
            <w:tcBorders>
              <w:top w:val="single" w:sz="3" w:space="0" w:color="D0D7DE"/>
              <w:left w:val="single" w:sz="3" w:space="0" w:color="D0D7DE"/>
              <w:bottom w:val="single" w:sz="3" w:space="0" w:color="D0D7DE"/>
              <w:right w:val="single" w:sz="3" w:space="0" w:color="D0D7DE"/>
            </w:tcBorders>
            <w:shd w:val="clear" w:color="auto" w:fill="FFFFFF"/>
            <w:vAlign w:val="center"/>
          </w:tcPr>
          <w:p w14:paraId="5B36F408" w14:textId="77777777" w:rsidR="008F088D" w:rsidRDefault="00000000">
            <w:pPr>
              <w:spacing w:after="0" w:line="259" w:lineRule="auto"/>
              <w:ind w:left="0" w:firstLine="0"/>
            </w:pPr>
            <w:r>
              <w:rPr>
                <w:sz w:val="16"/>
              </w:rPr>
              <w:t>46,000</w:t>
            </w:r>
          </w:p>
        </w:tc>
      </w:tr>
      <w:tr w:rsidR="008F088D" w14:paraId="7033E2DD" w14:textId="77777777">
        <w:trPr>
          <w:trHeight w:val="400"/>
        </w:trPr>
        <w:tc>
          <w:tcPr>
            <w:tcW w:w="2835" w:type="dxa"/>
            <w:tcBorders>
              <w:top w:val="single" w:sz="3" w:space="0" w:color="D0D7DE"/>
              <w:left w:val="single" w:sz="3" w:space="0" w:color="D0D7DE"/>
              <w:bottom w:val="single" w:sz="3" w:space="0" w:color="D0D7DE"/>
              <w:right w:val="single" w:sz="3" w:space="0" w:color="D0D7DE"/>
            </w:tcBorders>
            <w:shd w:val="clear" w:color="auto" w:fill="F6F8FA"/>
            <w:vAlign w:val="center"/>
          </w:tcPr>
          <w:p w14:paraId="457A1156" w14:textId="77777777" w:rsidR="008F088D" w:rsidRDefault="00000000">
            <w:pPr>
              <w:spacing w:after="0" w:line="259" w:lineRule="auto"/>
              <w:ind w:left="0" w:firstLine="0"/>
            </w:pPr>
            <w:proofErr w:type="spellStart"/>
            <w:r>
              <w:rPr>
                <w:sz w:val="16"/>
              </w:rPr>
              <w:t>fact_transactions</w:t>
            </w:r>
            <w:proofErr w:type="spellEnd"/>
          </w:p>
        </w:tc>
        <w:tc>
          <w:tcPr>
            <w:tcW w:w="1701" w:type="dxa"/>
            <w:tcBorders>
              <w:top w:val="single" w:sz="3" w:space="0" w:color="D0D7DE"/>
              <w:left w:val="single" w:sz="3" w:space="0" w:color="D0D7DE"/>
              <w:bottom w:val="single" w:sz="3" w:space="0" w:color="D0D7DE"/>
              <w:right w:val="single" w:sz="3" w:space="0" w:color="D0D7DE"/>
            </w:tcBorders>
            <w:shd w:val="clear" w:color="auto" w:fill="F6F8FA"/>
            <w:vAlign w:val="center"/>
          </w:tcPr>
          <w:p w14:paraId="76F7F77E" w14:textId="77777777" w:rsidR="008F088D" w:rsidRDefault="00000000">
            <w:pPr>
              <w:spacing w:after="0" w:line="259" w:lineRule="auto"/>
              <w:ind w:left="0" w:firstLine="0"/>
            </w:pPr>
            <w:r>
              <w:rPr>
                <w:sz w:val="16"/>
              </w:rPr>
              <w:t>Fact</w:t>
            </w:r>
          </w:p>
        </w:tc>
        <w:tc>
          <w:tcPr>
            <w:tcW w:w="2835" w:type="dxa"/>
            <w:tcBorders>
              <w:top w:val="single" w:sz="3" w:space="0" w:color="D0D7DE"/>
              <w:left w:val="single" w:sz="3" w:space="0" w:color="D0D7DE"/>
              <w:bottom w:val="single" w:sz="3" w:space="0" w:color="D0D7DE"/>
              <w:right w:val="single" w:sz="3" w:space="0" w:color="D0D7DE"/>
            </w:tcBorders>
            <w:shd w:val="clear" w:color="auto" w:fill="F6F8FA"/>
            <w:vAlign w:val="center"/>
          </w:tcPr>
          <w:p w14:paraId="21DE8227" w14:textId="77777777" w:rsidR="008F088D" w:rsidRDefault="00000000">
            <w:pPr>
              <w:spacing w:after="0" w:line="259" w:lineRule="auto"/>
              <w:ind w:left="0" w:firstLine="0"/>
            </w:pPr>
            <w:r>
              <w:rPr>
                <w:sz w:val="16"/>
              </w:rPr>
              <w:t>~39,500</w:t>
            </w:r>
          </w:p>
        </w:tc>
      </w:tr>
      <w:tr w:rsidR="008F088D" w14:paraId="27462751" w14:textId="77777777">
        <w:trPr>
          <w:trHeight w:val="400"/>
        </w:trPr>
        <w:tc>
          <w:tcPr>
            <w:tcW w:w="2835" w:type="dxa"/>
            <w:tcBorders>
              <w:top w:val="single" w:sz="3" w:space="0" w:color="D0D7DE"/>
              <w:left w:val="single" w:sz="3" w:space="0" w:color="D0D7DE"/>
              <w:bottom w:val="single" w:sz="3" w:space="0" w:color="D0D7DE"/>
              <w:right w:val="single" w:sz="3" w:space="0" w:color="D0D7DE"/>
            </w:tcBorders>
            <w:shd w:val="clear" w:color="auto" w:fill="FFFFFF"/>
            <w:vAlign w:val="center"/>
          </w:tcPr>
          <w:p w14:paraId="11932A2E" w14:textId="77777777" w:rsidR="008F088D" w:rsidRDefault="00000000">
            <w:pPr>
              <w:spacing w:after="0" w:line="259" w:lineRule="auto"/>
              <w:ind w:left="0" w:firstLine="0"/>
            </w:pPr>
            <w:proofErr w:type="spellStart"/>
            <w:r>
              <w:rPr>
                <w:sz w:val="16"/>
              </w:rPr>
              <w:t>fact_performance</w:t>
            </w:r>
            <w:proofErr w:type="spellEnd"/>
          </w:p>
        </w:tc>
        <w:tc>
          <w:tcPr>
            <w:tcW w:w="1701" w:type="dxa"/>
            <w:tcBorders>
              <w:top w:val="single" w:sz="3" w:space="0" w:color="D0D7DE"/>
              <w:left w:val="single" w:sz="3" w:space="0" w:color="D0D7DE"/>
              <w:bottom w:val="single" w:sz="3" w:space="0" w:color="D0D7DE"/>
              <w:right w:val="single" w:sz="3" w:space="0" w:color="D0D7DE"/>
            </w:tcBorders>
            <w:shd w:val="clear" w:color="auto" w:fill="FFFFFF"/>
            <w:vAlign w:val="center"/>
          </w:tcPr>
          <w:p w14:paraId="55C5DDC8" w14:textId="77777777" w:rsidR="008F088D" w:rsidRDefault="00000000">
            <w:pPr>
              <w:spacing w:after="0" w:line="259" w:lineRule="auto"/>
              <w:ind w:left="0" w:firstLine="0"/>
            </w:pPr>
            <w:r>
              <w:rPr>
                <w:sz w:val="16"/>
              </w:rPr>
              <w:t>Fact</w:t>
            </w:r>
          </w:p>
        </w:tc>
        <w:tc>
          <w:tcPr>
            <w:tcW w:w="2835" w:type="dxa"/>
            <w:tcBorders>
              <w:top w:val="single" w:sz="3" w:space="0" w:color="D0D7DE"/>
              <w:left w:val="single" w:sz="3" w:space="0" w:color="D0D7DE"/>
              <w:bottom w:val="single" w:sz="3" w:space="0" w:color="D0D7DE"/>
              <w:right w:val="single" w:sz="3" w:space="0" w:color="D0D7DE"/>
            </w:tcBorders>
            <w:shd w:val="clear" w:color="auto" w:fill="FFFFFF"/>
            <w:vAlign w:val="center"/>
          </w:tcPr>
          <w:p w14:paraId="22DA2EE7" w14:textId="77777777" w:rsidR="008F088D" w:rsidRDefault="00000000">
            <w:pPr>
              <w:spacing w:after="0" w:line="259" w:lineRule="auto"/>
              <w:ind w:left="0" w:firstLine="0"/>
            </w:pPr>
            <w:r>
              <w:rPr>
                <w:sz w:val="16"/>
              </w:rPr>
              <w:t>40</w:t>
            </w:r>
          </w:p>
        </w:tc>
      </w:tr>
      <w:tr w:rsidR="008F088D" w14:paraId="7C405E58" w14:textId="77777777">
        <w:trPr>
          <w:trHeight w:val="400"/>
        </w:trPr>
        <w:tc>
          <w:tcPr>
            <w:tcW w:w="2835" w:type="dxa"/>
            <w:tcBorders>
              <w:top w:val="single" w:sz="3" w:space="0" w:color="D0D7DE"/>
              <w:left w:val="single" w:sz="3" w:space="0" w:color="D0D7DE"/>
              <w:bottom w:val="single" w:sz="3" w:space="0" w:color="D0D7DE"/>
              <w:right w:val="single" w:sz="3" w:space="0" w:color="D0D7DE"/>
            </w:tcBorders>
            <w:shd w:val="clear" w:color="auto" w:fill="F6F8FA"/>
            <w:vAlign w:val="center"/>
          </w:tcPr>
          <w:p w14:paraId="495F0845" w14:textId="77777777" w:rsidR="008F088D" w:rsidRDefault="00000000">
            <w:pPr>
              <w:spacing w:after="0" w:line="259" w:lineRule="auto"/>
              <w:ind w:left="0" w:firstLine="0"/>
            </w:pPr>
            <w:proofErr w:type="spellStart"/>
            <w:r>
              <w:rPr>
                <w:sz w:val="16"/>
              </w:rPr>
              <w:t>fact_portfolio</w:t>
            </w:r>
            <w:proofErr w:type="spellEnd"/>
          </w:p>
        </w:tc>
        <w:tc>
          <w:tcPr>
            <w:tcW w:w="1701" w:type="dxa"/>
            <w:tcBorders>
              <w:top w:val="single" w:sz="3" w:space="0" w:color="D0D7DE"/>
              <w:left w:val="single" w:sz="3" w:space="0" w:color="D0D7DE"/>
              <w:bottom w:val="single" w:sz="3" w:space="0" w:color="D0D7DE"/>
              <w:right w:val="single" w:sz="3" w:space="0" w:color="D0D7DE"/>
            </w:tcBorders>
            <w:shd w:val="clear" w:color="auto" w:fill="F6F8FA"/>
            <w:vAlign w:val="center"/>
          </w:tcPr>
          <w:p w14:paraId="5DCD2198" w14:textId="77777777" w:rsidR="008F088D" w:rsidRDefault="00000000">
            <w:pPr>
              <w:spacing w:after="0" w:line="259" w:lineRule="auto"/>
              <w:ind w:left="0" w:firstLine="0"/>
            </w:pPr>
            <w:r>
              <w:rPr>
                <w:sz w:val="16"/>
              </w:rPr>
              <w:t>Fact</w:t>
            </w:r>
          </w:p>
        </w:tc>
        <w:tc>
          <w:tcPr>
            <w:tcW w:w="2835" w:type="dxa"/>
            <w:tcBorders>
              <w:top w:val="single" w:sz="3" w:space="0" w:color="D0D7DE"/>
              <w:left w:val="single" w:sz="3" w:space="0" w:color="D0D7DE"/>
              <w:bottom w:val="single" w:sz="3" w:space="0" w:color="D0D7DE"/>
              <w:right w:val="single" w:sz="3" w:space="0" w:color="D0D7DE"/>
            </w:tcBorders>
            <w:shd w:val="clear" w:color="auto" w:fill="F6F8FA"/>
            <w:vAlign w:val="center"/>
          </w:tcPr>
          <w:p w14:paraId="218EBEF4" w14:textId="77777777" w:rsidR="008F088D" w:rsidRDefault="00000000">
            <w:pPr>
              <w:spacing w:after="0" w:line="259" w:lineRule="auto"/>
              <w:ind w:left="0" w:firstLine="0"/>
            </w:pPr>
            <w:r>
              <w:rPr>
                <w:sz w:val="16"/>
              </w:rPr>
              <w:t>~190</w:t>
            </w:r>
          </w:p>
        </w:tc>
      </w:tr>
      <w:tr w:rsidR="008F088D" w14:paraId="0F0608D2" w14:textId="77777777">
        <w:trPr>
          <w:trHeight w:val="400"/>
        </w:trPr>
        <w:tc>
          <w:tcPr>
            <w:tcW w:w="2835" w:type="dxa"/>
            <w:tcBorders>
              <w:top w:val="single" w:sz="3" w:space="0" w:color="D0D7DE"/>
              <w:left w:val="single" w:sz="3" w:space="0" w:color="D0D7DE"/>
              <w:bottom w:val="single" w:sz="3" w:space="0" w:color="D0D7DE"/>
              <w:right w:val="single" w:sz="3" w:space="0" w:color="D0D7DE"/>
            </w:tcBorders>
            <w:shd w:val="clear" w:color="auto" w:fill="FFFFFF"/>
            <w:vAlign w:val="center"/>
          </w:tcPr>
          <w:p w14:paraId="4C704FA7" w14:textId="77777777" w:rsidR="008F088D" w:rsidRDefault="00000000">
            <w:pPr>
              <w:spacing w:after="0" w:line="259" w:lineRule="auto"/>
              <w:ind w:left="0" w:firstLine="0"/>
            </w:pPr>
            <w:proofErr w:type="spellStart"/>
            <w:r>
              <w:rPr>
                <w:sz w:val="16"/>
              </w:rPr>
              <w:t>fact_aum</w:t>
            </w:r>
            <w:proofErr w:type="spellEnd"/>
          </w:p>
        </w:tc>
        <w:tc>
          <w:tcPr>
            <w:tcW w:w="1701" w:type="dxa"/>
            <w:tcBorders>
              <w:top w:val="single" w:sz="3" w:space="0" w:color="D0D7DE"/>
              <w:left w:val="single" w:sz="3" w:space="0" w:color="D0D7DE"/>
              <w:bottom w:val="single" w:sz="3" w:space="0" w:color="D0D7DE"/>
              <w:right w:val="single" w:sz="3" w:space="0" w:color="D0D7DE"/>
            </w:tcBorders>
            <w:shd w:val="clear" w:color="auto" w:fill="FFFFFF"/>
            <w:vAlign w:val="center"/>
          </w:tcPr>
          <w:p w14:paraId="0BAC92E9" w14:textId="77777777" w:rsidR="008F088D" w:rsidRDefault="00000000">
            <w:pPr>
              <w:spacing w:after="0" w:line="259" w:lineRule="auto"/>
              <w:ind w:left="0" w:firstLine="0"/>
            </w:pPr>
            <w:r>
              <w:rPr>
                <w:sz w:val="16"/>
              </w:rPr>
              <w:t>Fact</w:t>
            </w:r>
          </w:p>
        </w:tc>
        <w:tc>
          <w:tcPr>
            <w:tcW w:w="2835" w:type="dxa"/>
            <w:tcBorders>
              <w:top w:val="single" w:sz="3" w:space="0" w:color="D0D7DE"/>
              <w:left w:val="single" w:sz="3" w:space="0" w:color="D0D7DE"/>
              <w:bottom w:val="single" w:sz="3" w:space="0" w:color="D0D7DE"/>
              <w:right w:val="single" w:sz="3" w:space="0" w:color="D0D7DE"/>
            </w:tcBorders>
            <w:shd w:val="clear" w:color="auto" w:fill="FFFFFF"/>
            <w:vAlign w:val="center"/>
          </w:tcPr>
          <w:p w14:paraId="768CB4EE" w14:textId="77777777" w:rsidR="008F088D" w:rsidRDefault="00000000">
            <w:pPr>
              <w:spacing w:after="0" w:line="259" w:lineRule="auto"/>
              <w:ind w:left="0" w:firstLine="0"/>
            </w:pPr>
            <w:r>
              <w:rPr>
                <w:sz w:val="16"/>
              </w:rPr>
              <w:t>160</w:t>
            </w:r>
          </w:p>
        </w:tc>
      </w:tr>
      <w:tr w:rsidR="008F088D" w14:paraId="6CB75EE8" w14:textId="77777777">
        <w:trPr>
          <w:trHeight w:val="400"/>
        </w:trPr>
        <w:tc>
          <w:tcPr>
            <w:tcW w:w="2835" w:type="dxa"/>
            <w:tcBorders>
              <w:top w:val="single" w:sz="3" w:space="0" w:color="D0D7DE"/>
              <w:left w:val="single" w:sz="3" w:space="0" w:color="D0D7DE"/>
              <w:bottom w:val="single" w:sz="3" w:space="0" w:color="D0D7DE"/>
              <w:right w:val="single" w:sz="3" w:space="0" w:color="D0D7DE"/>
            </w:tcBorders>
            <w:shd w:val="clear" w:color="auto" w:fill="F6F8FA"/>
            <w:vAlign w:val="center"/>
          </w:tcPr>
          <w:p w14:paraId="758D2B97" w14:textId="77777777" w:rsidR="008F088D" w:rsidRDefault="00000000">
            <w:pPr>
              <w:spacing w:after="0" w:line="259" w:lineRule="auto"/>
              <w:ind w:left="0" w:firstLine="0"/>
            </w:pPr>
            <w:proofErr w:type="spellStart"/>
            <w:r>
              <w:rPr>
                <w:sz w:val="16"/>
              </w:rPr>
              <w:t>fact_sip_industry</w:t>
            </w:r>
            <w:proofErr w:type="spellEnd"/>
          </w:p>
        </w:tc>
        <w:tc>
          <w:tcPr>
            <w:tcW w:w="1701" w:type="dxa"/>
            <w:tcBorders>
              <w:top w:val="single" w:sz="3" w:space="0" w:color="D0D7DE"/>
              <w:left w:val="single" w:sz="3" w:space="0" w:color="D0D7DE"/>
              <w:bottom w:val="single" w:sz="3" w:space="0" w:color="D0D7DE"/>
              <w:right w:val="single" w:sz="3" w:space="0" w:color="D0D7DE"/>
            </w:tcBorders>
            <w:shd w:val="clear" w:color="auto" w:fill="F6F8FA"/>
            <w:vAlign w:val="center"/>
          </w:tcPr>
          <w:p w14:paraId="43CE2EC0" w14:textId="77777777" w:rsidR="008F088D" w:rsidRDefault="00000000">
            <w:pPr>
              <w:spacing w:after="0" w:line="259" w:lineRule="auto"/>
              <w:ind w:left="0" w:firstLine="0"/>
            </w:pPr>
            <w:r>
              <w:rPr>
                <w:sz w:val="16"/>
              </w:rPr>
              <w:t>Fact</w:t>
            </w:r>
          </w:p>
        </w:tc>
        <w:tc>
          <w:tcPr>
            <w:tcW w:w="2835" w:type="dxa"/>
            <w:tcBorders>
              <w:top w:val="single" w:sz="3" w:space="0" w:color="D0D7DE"/>
              <w:left w:val="single" w:sz="3" w:space="0" w:color="D0D7DE"/>
              <w:bottom w:val="single" w:sz="3" w:space="0" w:color="D0D7DE"/>
              <w:right w:val="single" w:sz="3" w:space="0" w:color="D0D7DE"/>
            </w:tcBorders>
            <w:shd w:val="clear" w:color="auto" w:fill="F6F8FA"/>
            <w:vAlign w:val="center"/>
          </w:tcPr>
          <w:p w14:paraId="57E44EFF" w14:textId="77777777" w:rsidR="008F088D" w:rsidRDefault="00000000">
            <w:pPr>
              <w:spacing w:after="0" w:line="259" w:lineRule="auto"/>
              <w:ind w:left="0" w:firstLine="0"/>
            </w:pPr>
            <w:r>
              <w:rPr>
                <w:sz w:val="16"/>
              </w:rPr>
              <w:t>48</w:t>
            </w:r>
          </w:p>
        </w:tc>
      </w:tr>
    </w:tbl>
    <w:p w14:paraId="51C0D50E" w14:textId="77777777" w:rsidR="008F088D" w:rsidRDefault="00000000">
      <w:pPr>
        <w:ind w:left="-5"/>
      </w:pPr>
      <w:r>
        <w:t xml:space="preserve">Ten analytical SQL queries (top funds by AUM, monthly average NAV, SIP YoY growth, transaction totals by state, low-expense-ratio funds, top Sharpe funds, SIP/Lumpsum/Redemption split, SIP-by-age-group, category breakdown, and cumulative returns) are provided in </w:t>
      </w:r>
      <w:proofErr w:type="spellStart"/>
      <w:r>
        <w:rPr>
          <w:b/>
        </w:rPr>
        <w:t>sql</w:t>
      </w:r>
      <w:proofErr w:type="spellEnd"/>
      <w:r>
        <w:rPr>
          <w:b/>
        </w:rPr>
        <w:t>/</w:t>
      </w:r>
      <w:proofErr w:type="spellStart"/>
      <w:r>
        <w:rPr>
          <w:b/>
        </w:rPr>
        <w:t>queries.sql</w:t>
      </w:r>
      <w:proofErr w:type="spellEnd"/>
      <w:r>
        <w:t xml:space="preserve"> and validated to run without error against the database.</w:t>
      </w:r>
    </w:p>
    <w:p w14:paraId="6DBA4DC7" w14:textId="77777777" w:rsidR="008F088D" w:rsidRDefault="00000000">
      <w:pPr>
        <w:pStyle w:val="Heading1"/>
        <w:ind w:left="385" w:hanging="400"/>
      </w:pPr>
      <w:r>
        <w:t>Exploratory Data Analysis — Key Findings</w:t>
      </w:r>
    </w:p>
    <w:p w14:paraId="1F46C760" w14:textId="77777777" w:rsidR="008F088D" w:rsidRDefault="00000000">
      <w:pPr>
        <w:ind w:left="-5"/>
      </w:pPr>
      <w:r>
        <w:t xml:space="preserve">Full charts and code are in </w:t>
      </w:r>
      <w:r>
        <w:rPr>
          <w:b/>
        </w:rPr>
        <w:t>notebooks/03_eda_analysis.ipynb</w:t>
      </w:r>
      <w:r>
        <w:t>. Headline findings:</w:t>
      </w:r>
    </w:p>
    <w:p w14:paraId="795B7FEB" w14:textId="77777777" w:rsidR="008F088D" w:rsidRDefault="00000000">
      <w:pPr>
        <w:numPr>
          <w:ilvl w:val="0"/>
          <w:numId w:val="1"/>
        </w:numPr>
        <w:ind w:hanging="334"/>
      </w:pPr>
      <w:r>
        <w:t>All 40 tracked schemes show positive rebased NAV growth since Jan-2022, with small/mid-cap</w:t>
      </w:r>
    </w:p>
    <w:p w14:paraId="4647569A" w14:textId="77777777" w:rsidR="008F088D" w:rsidRDefault="00000000">
      <w:pPr>
        <w:numPr>
          <w:ilvl w:val="0"/>
          <w:numId w:val="1"/>
        </w:numPr>
        <w:ind w:hanging="334"/>
      </w:pPr>
      <w:r>
        <w:t>SBI Mutual Fund maintains the largest AUM among the 10 tracked fund houses across all years,</w:t>
      </w:r>
    </w:p>
    <w:p w14:paraId="39D23214" w14:textId="77777777" w:rsidR="008F088D" w:rsidRDefault="00000000">
      <w:pPr>
        <w:numPr>
          <w:ilvl w:val="0"/>
          <w:numId w:val="1"/>
        </w:numPr>
        <w:ind w:hanging="334"/>
      </w:pPr>
      <w:r>
        <w:t>Monthly SIP inflows show a clear upward trend, culminating in the real Dec-2025 milestone of</w:t>
      </w:r>
    </w:p>
    <w:p w14:paraId="4FD804D4" w14:textId="77777777" w:rsidR="008F088D" w:rsidRDefault="00000000">
      <w:pPr>
        <w:numPr>
          <w:ilvl w:val="0"/>
          <w:numId w:val="1"/>
        </w:numPr>
        <w:ind w:hanging="334"/>
      </w:pPr>
      <w:r>
        <w:t>Category inflow heatmap shows Small Cap and Sectoral/Thematic categories are the most volatile</w:t>
      </w:r>
    </w:p>
    <w:p w14:paraId="2D3E1182" w14:textId="77777777" w:rsidR="008F088D" w:rsidRDefault="00000000">
      <w:pPr>
        <w:numPr>
          <w:ilvl w:val="0"/>
          <w:numId w:val="1"/>
        </w:numPr>
        <w:ind w:hanging="334"/>
      </w:pPr>
      <w:r>
        <w:t>The 26-35 age group contributes the largest share of SIP transactions by count, consistent with</w:t>
      </w:r>
    </w:p>
    <w:p w14:paraId="41326F8F" w14:textId="77777777" w:rsidR="008F088D" w:rsidRDefault="00000000">
      <w:pPr>
        <w:numPr>
          <w:ilvl w:val="0"/>
          <w:numId w:val="1"/>
        </w:numPr>
        <w:ind w:hanging="334"/>
      </w:pPr>
      <w:r>
        <w:t>Maharashtra, Karnataka and Delhi are the top 3 states by total transaction value — all classified</w:t>
      </w:r>
    </w:p>
    <w:p w14:paraId="4A420E3A" w14:textId="17A7E1C2" w:rsidR="008F088D" w:rsidRDefault="00000000" w:rsidP="00F13784">
      <w:pPr>
        <w:numPr>
          <w:ilvl w:val="0"/>
          <w:numId w:val="1"/>
        </w:numPr>
        <w:ind w:hanging="334"/>
      </w:pPr>
      <w:r>
        <w:t>Industry folio count has grown from 13.26 Cr to</w:t>
      </w:r>
      <w:r w:rsidR="00F13784">
        <w:t xml:space="preserve"> </w:t>
      </w:r>
      <w:r>
        <w:t>26.12 Cr between 2022 and 2025.</w:t>
      </w:r>
    </w:p>
    <w:p w14:paraId="6328ABD9" w14:textId="77777777" w:rsidR="008F088D" w:rsidRDefault="00000000">
      <w:pPr>
        <w:numPr>
          <w:ilvl w:val="0"/>
          <w:numId w:val="1"/>
        </w:numPr>
        <w:ind w:hanging="334"/>
      </w:pPr>
      <w:r>
        <w:t>Fund returns within the same category (e.g. Large Cap) show high pairwise correlation (&gt;0.7),</w:t>
      </w:r>
    </w:p>
    <w:p w14:paraId="2A558970" w14:textId="77777777" w:rsidR="008F088D" w:rsidRDefault="00000000">
      <w:pPr>
        <w:numPr>
          <w:ilvl w:val="0"/>
          <w:numId w:val="1"/>
        </w:numPr>
        <w:ind w:hanging="334"/>
      </w:pPr>
      <w:r>
        <w:t>Equity portfolios show a concentration bias toward Financials and IT sectors, consistent with</w:t>
      </w:r>
    </w:p>
    <w:p w14:paraId="2E864CDA" w14:textId="77777777" w:rsidR="008F088D" w:rsidRDefault="00000000">
      <w:pPr>
        <w:numPr>
          <w:ilvl w:val="0"/>
          <w:numId w:val="1"/>
        </w:numPr>
        <w:spacing w:after="0"/>
        <w:ind w:hanging="334"/>
      </w:pPr>
      <w:r>
        <w:t>Small Cap funds carry the highest sector-concentration (HHI) on average, reflecting their more</w:t>
      </w:r>
    </w:p>
    <w:p w14:paraId="713F25C1" w14:textId="77777777" w:rsidR="008F088D" w:rsidRDefault="00000000">
      <w:pPr>
        <w:spacing w:after="336" w:line="259" w:lineRule="auto"/>
        <w:ind w:left="277" w:firstLine="0"/>
      </w:pPr>
      <w:r>
        <w:rPr>
          <w:noProof/>
        </w:rPr>
        <w:lastRenderedPageBreak/>
        <w:drawing>
          <wp:inline distT="0" distB="0" distL="0" distR="0" wp14:anchorId="69069E54" wp14:editId="3DF4E2CB">
            <wp:extent cx="5760000" cy="3141819"/>
            <wp:effectExtent l="0" t="0" r="0" b="0"/>
            <wp:docPr id="239" name="Picture 239"/>
            <wp:cNvGraphicFramePr/>
            <a:graphic xmlns:a="http://schemas.openxmlformats.org/drawingml/2006/main">
              <a:graphicData uri="http://schemas.openxmlformats.org/drawingml/2006/picture">
                <pic:pic xmlns:pic="http://schemas.openxmlformats.org/drawingml/2006/picture">
                  <pic:nvPicPr>
                    <pic:cNvPr id="239" name="Picture 239"/>
                    <pic:cNvPicPr/>
                  </pic:nvPicPr>
                  <pic:blipFill>
                    <a:blip r:embed="rId5"/>
                    <a:stretch>
                      <a:fillRect/>
                    </a:stretch>
                  </pic:blipFill>
                  <pic:spPr>
                    <a:xfrm>
                      <a:off x="0" y="0"/>
                      <a:ext cx="5760000" cy="3141819"/>
                    </a:xfrm>
                    <a:prstGeom prst="rect">
                      <a:avLst/>
                    </a:prstGeom>
                  </pic:spPr>
                </pic:pic>
              </a:graphicData>
            </a:graphic>
          </wp:inline>
        </w:drawing>
      </w:r>
    </w:p>
    <w:p w14:paraId="1E983FCC" w14:textId="77777777" w:rsidR="008F088D" w:rsidRDefault="00000000">
      <w:pPr>
        <w:spacing w:after="3" w:line="292" w:lineRule="auto"/>
        <w:ind w:left="-5"/>
      </w:pPr>
      <w:r>
        <w:rPr>
          <w:i/>
        </w:rPr>
        <w:t>Rebased NAV trend for all 40 tracked schemes, 2022–2026 (start = 100). Dispersion widens over time as small/mid-cap schemes pull ahead — and occasionally sharply behind.</w:t>
      </w:r>
    </w:p>
    <w:p w14:paraId="51D43120" w14:textId="0D9A21A8" w:rsidR="008F088D" w:rsidRDefault="00F13784">
      <w:pPr>
        <w:spacing w:after="336" w:line="259" w:lineRule="auto"/>
        <w:ind w:left="277" w:firstLine="0"/>
      </w:pPr>
      <w:r>
        <w:rPr>
          <w:noProof/>
        </w:rPr>
        <w:drawing>
          <wp:inline distT="0" distB="0" distL="0" distR="0" wp14:anchorId="37FA28A8" wp14:editId="29BE1A7E">
            <wp:extent cx="5723890" cy="2682875"/>
            <wp:effectExtent l="0" t="0" r="0" b="3175"/>
            <wp:docPr id="189478173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23890" cy="2682875"/>
                    </a:xfrm>
                    <a:prstGeom prst="rect">
                      <a:avLst/>
                    </a:prstGeom>
                    <a:noFill/>
                    <a:ln>
                      <a:noFill/>
                    </a:ln>
                  </pic:spPr>
                </pic:pic>
              </a:graphicData>
            </a:graphic>
          </wp:inline>
        </w:drawing>
      </w:r>
    </w:p>
    <w:p w14:paraId="546D856C" w14:textId="77777777" w:rsidR="008F088D" w:rsidRDefault="00000000">
      <w:pPr>
        <w:spacing w:after="3" w:line="292" w:lineRule="auto"/>
        <w:ind w:left="-5"/>
      </w:pPr>
      <w:r>
        <w:rPr>
          <w:i/>
        </w:rPr>
        <w:t>Monthly SIP inflows show a consistent upward trajectory, closing on the real Dec-2025 AMFI milestone of roughly Rs 31,000 Cr.</w:t>
      </w:r>
      <w:r>
        <w:br w:type="page"/>
      </w:r>
    </w:p>
    <w:p w14:paraId="08A45030" w14:textId="77777777" w:rsidR="008F088D" w:rsidRDefault="00000000">
      <w:pPr>
        <w:spacing w:after="336" w:line="259" w:lineRule="auto"/>
        <w:ind w:left="277" w:firstLine="0"/>
      </w:pPr>
      <w:r>
        <w:rPr>
          <w:noProof/>
        </w:rPr>
        <w:lastRenderedPageBreak/>
        <w:drawing>
          <wp:inline distT="0" distB="0" distL="0" distR="0" wp14:anchorId="67E9851C" wp14:editId="04A47332">
            <wp:extent cx="5760000" cy="2400000"/>
            <wp:effectExtent l="0" t="0" r="0" b="0"/>
            <wp:docPr id="276" name="Picture 276"/>
            <wp:cNvGraphicFramePr/>
            <a:graphic xmlns:a="http://schemas.openxmlformats.org/drawingml/2006/main">
              <a:graphicData uri="http://schemas.openxmlformats.org/drawingml/2006/picture">
                <pic:pic xmlns:pic="http://schemas.openxmlformats.org/drawingml/2006/picture">
                  <pic:nvPicPr>
                    <pic:cNvPr id="276" name="Picture 276"/>
                    <pic:cNvPicPr/>
                  </pic:nvPicPr>
                  <pic:blipFill>
                    <a:blip r:embed="rId7"/>
                    <a:stretch>
                      <a:fillRect/>
                    </a:stretch>
                  </pic:blipFill>
                  <pic:spPr>
                    <a:xfrm>
                      <a:off x="0" y="0"/>
                      <a:ext cx="5760000" cy="2400000"/>
                    </a:xfrm>
                    <a:prstGeom prst="rect">
                      <a:avLst/>
                    </a:prstGeom>
                  </pic:spPr>
                </pic:pic>
              </a:graphicData>
            </a:graphic>
          </wp:inline>
        </w:drawing>
      </w:r>
    </w:p>
    <w:p w14:paraId="22A4EDA6" w14:textId="77777777" w:rsidR="008F088D" w:rsidRDefault="00000000">
      <w:pPr>
        <w:spacing w:after="3" w:line="292" w:lineRule="auto"/>
        <w:ind w:left="-5"/>
      </w:pPr>
      <w:r>
        <w:rPr>
          <w:i/>
        </w:rPr>
        <w:t>Maharashtra, Karnataka and Delhi lead total transaction value; T30 (Top-30) cities contribute the large majority of transaction value versus B30.</w:t>
      </w:r>
    </w:p>
    <w:p w14:paraId="2C3DB33A" w14:textId="77777777" w:rsidR="008F088D" w:rsidRDefault="00000000">
      <w:pPr>
        <w:spacing w:after="336" w:line="259" w:lineRule="auto"/>
        <w:ind w:left="277" w:firstLine="0"/>
      </w:pPr>
      <w:r>
        <w:rPr>
          <w:noProof/>
        </w:rPr>
        <w:drawing>
          <wp:inline distT="0" distB="0" distL="0" distR="0" wp14:anchorId="33E3E77B" wp14:editId="49343ADE">
            <wp:extent cx="5760000" cy="4480000"/>
            <wp:effectExtent l="0" t="0" r="0" b="0"/>
            <wp:docPr id="280" name="Picture 280"/>
            <wp:cNvGraphicFramePr/>
            <a:graphic xmlns:a="http://schemas.openxmlformats.org/drawingml/2006/main">
              <a:graphicData uri="http://schemas.openxmlformats.org/drawingml/2006/picture">
                <pic:pic xmlns:pic="http://schemas.openxmlformats.org/drawingml/2006/picture">
                  <pic:nvPicPr>
                    <pic:cNvPr id="280" name="Picture 280"/>
                    <pic:cNvPicPr/>
                  </pic:nvPicPr>
                  <pic:blipFill>
                    <a:blip r:embed="rId8"/>
                    <a:stretch>
                      <a:fillRect/>
                    </a:stretch>
                  </pic:blipFill>
                  <pic:spPr>
                    <a:xfrm>
                      <a:off x="0" y="0"/>
                      <a:ext cx="5760000" cy="4480000"/>
                    </a:xfrm>
                    <a:prstGeom prst="rect">
                      <a:avLst/>
                    </a:prstGeom>
                  </pic:spPr>
                </pic:pic>
              </a:graphicData>
            </a:graphic>
          </wp:inline>
        </w:drawing>
      </w:r>
    </w:p>
    <w:p w14:paraId="56117B34" w14:textId="77777777" w:rsidR="008F088D" w:rsidRDefault="00000000">
      <w:pPr>
        <w:spacing w:after="3" w:line="292" w:lineRule="auto"/>
        <w:ind w:left="-5"/>
      </w:pPr>
      <w:r>
        <w:rPr>
          <w:i/>
        </w:rPr>
        <w:t>Funds within the same category move together; Debt (Liquid/Gilt) funds show low correlation with Equity funds, supporting a diversification case.</w:t>
      </w:r>
    </w:p>
    <w:p w14:paraId="77B07080" w14:textId="77777777" w:rsidR="008F088D" w:rsidRDefault="00000000">
      <w:pPr>
        <w:pStyle w:val="Heading1"/>
        <w:ind w:left="385" w:hanging="400"/>
      </w:pPr>
      <w:r>
        <w:t>Fund Performance &amp; Risk Analytics</w:t>
      </w:r>
    </w:p>
    <w:p w14:paraId="46D8CCF2" w14:textId="77777777" w:rsidR="008F088D" w:rsidRDefault="00000000">
      <w:pPr>
        <w:spacing w:after="319"/>
        <w:ind w:left="-5"/>
      </w:pPr>
      <w:r>
        <w:t>CAGR (1/3/5yr), Sharpe, Sortino, Alpha/Beta (OLS regression vs Nifty 100), Maximum Drawdown and a composite 0-100 Fund Scorecard were computed for all 40 schemes (</w:t>
      </w:r>
      <w:r>
        <w:rPr>
          <w:b/>
        </w:rPr>
        <w:t>scripts/compute_metrics.py</w:t>
      </w:r>
      <w:r>
        <w:t xml:space="preserve">, full workings in </w:t>
      </w:r>
      <w:r>
        <w:rPr>
          <w:b/>
        </w:rPr>
        <w:t>notebooks/04_performance_analytics.ipynb</w:t>
      </w:r>
      <w:r>
        <w:t>). Scorecard weights: 30% 3yr return rank, 25% Sharpe rank, 20% Alpha rank, 15% expense-ratio rank (inverse), 10% Max Drawdown rank (inverse).</w:t>
      </w:r>
    </w:p>
    <w:p w14:paraId="063B2FDE" w14:textId="77777777" w:rsidR="008F088D" w:rsidRDefault="00000000">
      <w:pPr>
        <w:pStyle w:val="Heading2"/>
        <w:ind w:left="-5"/>
      </w:pPr>
      <w:r>
        <w:lastRenderedPageBreak/>
        <w:t>Top 10 Funds by Composite Scorecard</w:t>
      </w:r>
    </w:p>
    <w:tbl>
      <w:tblPr>
        <w:tblStyle w:val="TableGrid"/>
        <w:tblW w:w="8787" w:type="dxa"/>
        <w:tblInd w:w="419" w:type="dxa"/>
        <w:tblCellMar>
          <w:left w:w="120" w:type="dxa"/>
          <w:right w:w="115" w:type="dxa"/>
        </w:tblCellMar>
        <w:tblLook w:val="04A0" w:firstRow="1" w:lastRow="0" w:firstColumn="1" w:lastColumn="0" w:noHBand="0" w:noVBand="1"/>
      </w:tblPr>
      <w:tblGrid>
        <w:gridCol w:w="3573"/>
        <w:gridCol w:w="1020"/>
        <w:gridCol w:w="1020"/>
        <w:gridCol w:w="1134"/>
        <w:gridCol w:w="1020"/>
        <w:gridCol w:w="1020"/>
      </w:tblGrid>
      <w:tr w:rsidR="008F088D" w14:paraId="39094F64" w14:textId="77777777">
        <w:trPr>
          <w:trHeight w:val="400"/>
        </w:trPr>
        <w:tc>
          <w:tcPr>
            <w:tcW w:w="3572" w:type="dxa"/>
            <w:tcBorders>
              <w:top w:val="single" w:sz="3" w:space="0" w:color="D0D7DE"/>
              <w:left w:val="single" w:sz="3" w:space="0" w:color="D0D7DE"/>
              <w:bottom w:val="single" w:sz="3" w:space="0" w:color="D0D7DE"/>
              <w:right w:val="single" w:sz="3" w:space="0" w:color="D0D7DE"/>
            </w:tcBorders>
            <w:shd w:val="clear" w:color="auto" w:fill="0D1117"/>
            <w:vAlign w:val="center"/>
          </w:tcPr>
          <w:p w14:paraId="27A803DC" w14:textId="77777777" w:rsidR="008F088D" w:rsidRDefault="00000000">
            <w:pPr>
              <w:spacing w:after="0" w:line="259" w:lineRule="auto"/>
              <w:ind w:left="0" w:firstLine="0"/>
            </w:pPr>
            <w:r>
              <w:rPr>
                <w:color w:val="FFFFFF"/>
                <w:sz w:val="15"/>
              </w:rPr>
              <w:t>Scheme</w:t>
            </w:r>
          </w:p>
        </w:tc>
        <w:tc>
          <w:tcPr>
            <w:tcW w:w="1020" w:type="dxa"/>
            <w:tcBorders>
              <w:top w:val="single" w:sz="3" w:space="0" w:color="D0D7DE"/>
              <w:left w:val="single" w:sz="3" w:space="0" w:color="D0D7DE"/>
              <w:bottom w:val="single" w:sz="3" w:space="0" w:color="D0D7DE"/>
              <w:right w:val="single" w:sz="3" w:space="0" w:color="D0D7DE"/>
            </w:tcBorders>
            <w:shd w:val="clear" w:color="auto" w:fill="0D1117"/>
            <w:vAlign w:val="center"/>
          </w:tcPr>
          <w:p w14:paraId="73A8C8D7" w14:textId="77777777" w:rsidR="008F088D" w:rsidRDefault="00000000">
            <w:pPr>
              <w:spacing w:after="0" w:line="259" w:lineRule="auto"/>
              <w:ind w:left="0" w:firstLine="0"/>
            </w:pPr>
            <w:r>
              <w:rPr>
                <w:color w:val="FFFFFF"/>
                <w:sz w:val="15"/>
              </w:rPr>
              <w:t>Score</w:t>
            </w:r>
          </w:p>
        </w:tc>
        <w:tc>
          <w:tcPr>
            <w:tcW w:w="1020" w:type="dxa"/>
            <w:tcBorders>
              <w:top w:val="single" w:sz="3" w:space="0" w:color="D0D7DE"/>
              <w:left w:val="single" w:sz="3" w:space="0" w:color="D0D7DE"/>
              <w:bottom w:val="single" w:sz="3" w:space="0" w:color="D0D7DE"/>
              <w:right w:val="single" w:sz="3" w:space="0" w:color="D0D7DE"/>
            </w:tcBorders>
            <w:shd w:val="clear" w:color="auto" w:fill="0D1117"/>
            <w:vAlign w:val="center"/>
          </w:tcPr>
          <w:p w14:paraId="2D2DC99B" w14:textId="77777777" w:rsidR="008F088D" w:rsidRDefault="00000000">
            <w:pPr>
              <w:spacing w:after="0" w:line="259" w:lineRule="auto"/>
              <w:ind w:left="0" w:firstLine="0"/>
            </w:pPr>
            <w:r>
              <w:rPr>
                <w:color w:val="FFFFFF"/>
                <w:sz w:val="15"/>
              </w:rPr>
              <w:t>Sharpe</w:t>
            </w:r>
          </w:p>
        </w:tc>
        <w:tc>
          <w:tcPr>
            <w:tcW w:w="1134" w:type="dxa"/>
            <w:tcBorders>
              <w:top w:val="single" w:sz="3" w:space="0" w:color="D0D7DE"/>
              <w:left w:val="single" w:sz="3" w:space="0" w:color="D0D7DE"/>
              <w:bottom w:val="single" w:sz="3" w:space="0" w:color="D0D7DE"/>
              <w:right w:val="single" w:sz="3" w:space="0" w:color="D0D7DE"/>
            </w:tcBorders>
            <w:shd w:val="clear" w:color="auto" w:fill="0D1117"/>
            <w:vAlign w:val="center"/>
          </w:tcPr>
          <w:p w14:paraId="509C0F8E" w14:textId="77777777" w:rsidR="008F088D" w:rsidRDefault="00000000">
            <w:pPr>
              <w:spacing w:after="0" w:line="259" w:lineRule="auto"/>
              <w:ind w:left="0" w:firstLine="0"/>
            </w:pPr>
            <w:r>
              <w:rPr>
                <w:color w:val="FFFFFF"/>
                <w:sz w:val="15"/>
              </w:rPr>
              <w:t>3yr Ret%</w:t>
            </w:r>
          </w:p>
        </w:tc>
        <w:tc>
          <w:tcPr>
            <w:tcW w:w="1020" w:type="dxa"/>
            <w:tcBorders>
              <w:top w:val="single" w:sz="3" w:space="0" w:color="D0D7DE"/>
              <w:left w:val="single" w:sz="3" w:space="0" w:color="D0D7DE"/>
              <w:bottom w:val="single" w:sz="3" w:space="0" w:color="D0D7DE"/>
              <w:right w:val="single" w:sz="3" w:space="0" w:color="D0D7DE"/>
            </w:tcBorders>
            <w:shd w:val="clear" w:color="auto" w:fill="0D1117"/>
            <w:vAlign w:val="center"/>
          </w:tcPr>
          <w:p w14:paraId="0E0DA909" w14:textId="77777777" w:rsidR="008F088D" w:rsidRDefault="00000000">
            <w:pPr>
              <w:spacing w:after="0" w:line="259" w:lineRule="auto"/>
              <w:ind w:left="0" w:firstLine="0"/>
            </w:pPr>
            <w:r>
              <w:rPr>
                <w:color w:val="FFFFFF"/>
                <w:sz w:val="15"/>
              </w:rPr>
              <w:t>Alpha%</w:t>
            </w:r>
          </w:p>
        </w:tc>
        <w:tc>
          <w:tcPr>
            <w:tcW w:w="1020" w:type="dxa"/>
            <w:tcBorders>
              <w:top w:val="single" w:sz="3" w:space="0" w:color="D0D7DE"/>
              <w:left w:val="single" w:sz="3" w:space="0" w:color="D0D7DE"/>
              <w:bottom w:val="single" w:sz="3" w:space="0" w:color="D0D7DE"/>
              <w:right w:val="single" w:sz="3" w:space="0" w:color="D0D7DE"/>
            </w:tcBorders>
            <w:shd w:val="clear" w:color="auto" w:fill="0D1117"/>
            <w:vAlign w:val="center"/>
          </w:tcPr>
          <w:p w14:paraId="3D1A67B5" w14:textId="77777777" w:rsidR="008F088D" w:rsidRDefault="00000000">
            <w:pPr>
              <w:spacing w:after="0" w:line="259" w:lineRule="auto"/>
              <w:ind w:left="0" w:firstLine="0"/>
            </w:pPr>
            <w:r>
              <w:rPr>
                <w:color w:val="FFFFFF"/>
                <w:sz w:val="15"/>
              </w:rPr>
              <w:t>Max DD%</w:t>
            </w:r>
          </w:p>
        </w:tc>
      </w:tr>
      <w:tr w:rsidR="008F088D" w14:paraId="176C2CCA" w14:textId="77777777">
        <w:trPr>
          <w:trHeight w:val="400"/>
        </w:trPr>
        <w:tc>
          <w:tcPr>
            <w:tcW w:w="3572" w:type="dxa"/>
            <w:tcBorders>
              <w:top w:val="single" w:sz="3" w:space="0" w:color="D0D7DE"/>
              <w:left w:val="single" w:sz="3" w:space="0" w:color="D0D7DE"/>
              <w:bottom w:val="single" w:sz="3" w:space="0" w:color="D0D7DE"/>
              <w:right w:val="single" w:sz="3" w:space="0" w:color="D0D7DE"/>
            </w:tcBorders>
            <w:shd w:val="clear" w:color="auto" w:fill="FFFFFF"/>
            <w:vAlign w:val="center"/>
          </w:tcPr>
          <w:p w14:paraId="3537717E" w14:textId="77777777" w:rsidR="008F088D" w:rsidRDefault="00000000">
            <w:pPr>
              <w:spacing w:after="0" w:line="259" w:lineRule="auto"/>
              <w:ind w:left="0" w:firstLine="0"/>
            </w:pPr>
            <w:r>
              <w:rPr>
                <w:sz w:val="15"/>
              </w:rPr>
              <w:t xml:space="preserve">Kotak </w:t>
            </w:r>
            <w:proofErr w:type="spellStart"/>
            <w:r>
              <w:rPr>
                <w:sz w:val="15"/>
              </w:rPr>
              <w:t>Bluechip</w:t>
            </w:r>
            <w:proofErr w:type="spellEnd"/>
            <w:r>
              <w:rPr>
                <w:sz w:val="15"/>
              </w:rPr>
              <w:t xml:space="preserve"> Fund</w:t>
            </w:r>
          </w:p>
        </w:tc>
        <w:tc>
          <w:tcPr>
            <w:tcW w:w="1020" w:type="dxa"/>
            <w:tcBorders>
              <w:top w:val="single" w:sz="3" w:space="0" w:color="D0D7DE"/>
              <w:left w:val="single" w:sz="3" w:space="0" w:color="D0D7DE"/>
              <w:bottom w:val="single" w:sz="3" w:space="0" w:color="D0D7DE"/>
              <w:right w:val="single" w:sz="3" w:space="0" w:color="D0D7DE"/>
            </w:tcBorders>
            <w:shd w:val="clear" w:color="auto" w:fill="FFFFFF"/>
            <w:vAlign w:val="center"/>
          </w:tcPr>
          <w:p w14:paraId="2B09B129" w14:textId="77777777" w:rsidR="008F088D" w:rsidRDefault="00000000">
            <w:pPr>
              <w:spacing w:after="0" w:line="259" w:lineRule="auto"/>
              <w:ind w:left="0" w:firstLine="0"/>
            </w:pPr>
            <w:r>
              <w:rPr>
                <w:sz w:val="15"/>
              </w:rPr>
              <w:t>90.8</w:t>
            </w:r>
          </w:p>
        </w:tc>
        <w:tc>
          <w:tcPr>
            <w:tcW w:w="1020" w:type="dxa"/>
            <w:tcBorders>
              <w:top w:val="single" w:sz="3" w:space="0" w:color="D0D7DE"/>
              <w:left w:val="single" w:sz="3" w:space="0" w:color="D0D7DE"/>
              <w:bottom w:val="single" w:sz="3" w:space="0" w:color="D0D7DE"/>
              <w:right w:val="single" w:sz="3" w:space="0" w:color="D0D7DE"/>
            </w:tcBorders>
            <w:shd w:val="clear" w:color="auto" w:fill="FFFFFF"/>
            <w:vAlign w:val="center"/>
          </w:tcPr>
          <w:p w14:paraId="2DDE4930" w14:textId="77777777" w:rsidR="008F088D" w:rsidRDefault="00000000">
            <w:pPr>
              <w:spacing w:after="0" w:line="259" w:lineRule="auto"/>
              <w:ind w:left="0" w:firstLine="0"/>
            </w:pPr>
            <w:r>
              <w:rPr>
                <w:sz w:val="15"/>
              </w:rPr>
              <w:t>1.846</w:t>
            </w:r>
          </w:p>
        </w:tc>
        <w:tc>
          <w:tcPr>
            <w:tcW w:w="1134" w:type="dxa"/>
            <w:tcBorders>
              <w:top w:val="single" w:sz="3" w:space="0" w:color="D0D7DE"/>
              <w:left w:val="single" w:sz="3" w:space="0" w:color="D0D7DE"/>
              <w:bottom w:val="single" w:sz="3" w:space="0" w:color="D0D7DE"/>
              <w:right w:val="single" w:sz="3" w:space="0" w:color="D0D7DE"/>
            </w:tcBorders>
            <w:shd w:val="clear" w:color="auto" w:fill="FFFFFF"/>
            <w:vAlign w:val="center"/>
          </w:tcPr>
          <w:p w14:paraId="43AA815E" w14:textId="77777777" w:rsidR="008F088D" w:rsidRDefault="00000000">
            <w:pPr>
              <w:spacing w:after="0" w:line="259" w:lineRule="auto"/>
              <w:ind w:left="0" w:firstLine="0"/>
            </w:pPr>
            <w:r>
              <w:rPr>
                <w:sz w:val="15"/>
              </w:rPr>
              <w:t>36.1</w:t>
            </w:r>
          </w:p>
        </w:tc>
        <w:tc>
          <w:tcPr>
            <w:tcW w:w="1020" w:type="dxa"/>
            <w:tcBorders>
              <w:top w:val="single" w:sz="3" w:space="0" w:color="D0D7DE"/>
              <w:left w:val="single" w:sz="3" w:space="0" w:color="D0D7DE"/>
              <w:bottom w:val="single" w:sz="3" w:space="0" w:color="D0D7DE"/>
              <w:right w:val="single" w:sz="3" w:space="0" w:color="D0D7DE"/>
            </w:tcBorders>
            <w:shd w:val="clear" w:color="auto" w:fill="FFFFFF"/>
            <w:vAlign w:val="center"/>
          </w:tcPr>
          <w:p w14:paraId="7F31BF32" w14:textId="77777777" w:rsidR="008F088D" w:rsidRDefault="00000000">
            <w:pPr>
              <w:spacing w:after="0" w:line="259" w:lineRule="auto"/>
              <w:ind w:left="0" w:firstLine="0"/>
            </w:pPr>
            <w:r>
              <w:rPr>
                <w:sz w:val="15"/>
              </w:rPr>
              <w:t>31.04</w:t>
            </w:r>
          </w:p>
        </w:tc>
        <w:tc>
          <w:tcPr>
            <w:tcW w:w="1020" w:type="dxa"/>
            <w:tcBorders>
              <w:top w:val="single" w:sz="3" w:space="0" w:color="D0D7DE"/>
              <w:left w:val="single" w:sz="3" w:space="0" w:color="D0D7DE"/>
              <w:bottom w:val="single" w:sz="3" w:space="0" w:color="D0D7DE"/>
              <w:right w:val="single" w:sz="3" w:space="0" w:color="D0D7DE"/>
            </w:tcBorders>
            <w:shd w:val="clear" w:color="auto" w:fill="FFFFFF"/>
            <w:vAlign w:val="center"/>
          </w:tcPr>
          <w:p w14:paraId="3280EF61" w14:textId="77777777" w:rsidR="008F088D" w:rsidRDefault="00000000">
            <w:pPr>
              <w:spacing w:after="0" w:line="259" w:lineRule="auto"/>
              <w:ind w:left="0" w:firstLine="0"/>
            </w:pPr>
            <w:r>
              <w:rPr>
                <w:sz w:val="15"/>
              </w:rPr>
              <w:t>-11.59</w:t>
            </w:r>
          </w:p>
        </w:tc>
      </w:tr>
      <w:tr w:rsidR="008F088D" w14:paraId="0CE90696" w14:textId="77777777">
        <w:trPr>
          <w:trHeight w:val="400"/>
        </w:trPr>
        <w:tc>
          <w:tcPr>
            <w:tcW w:w="3572" w:type="dxa"/>
            <w:tcBorders>
              <w:top w:val="single" w:sz="3" w:space="0" w:color="D0D7DE"/>
              <w:left w:val="single" w:sz="3" w:space="0" w:color="D0D7DE"/>
              <w:bottom w:val="single" w:sz="3" w:space="0" w:color="D0D7DE"/>
              <w:right w:val="single" w:sz="3" w:space="0" w:color="D0D7DE"/>
            </w:tcBorders>
            <w:shd w:val="clear" w:color="auto" w:fill="F6F8FA"/>
            <w:vAlign w:val="center"/>
          </w:tcPr>
          <w:p w14:paraId="2BFEFEFA" w14:textId="77777777" w:rsidR="008F088D" w:rsidRDefault="00000000">
            <w:pPr>
              <w:spacing w:after="0" w:line="259" w:lineRule="auto"/>
              <w:ind w:left="0" w:firstLine="0"/>
            </w:pPr>
            <w:r>
              <w:rPr>
                <w:sz w:val="15"/>
              </w:rPr>
              <w:t>Nippon India Aggressive Hybrid Fund</w:t>
            </w:r>
          </w:p>
        </w:tc>
        <w:tc>
          <w:tcPr>
            <w:tcW w:w="1020" w:type="dxa"/>
            <w:tcBorders>
              <w:top w:val="single" w:sz="3" w:space="0" w:color="D0D7DE"/>
              <w:left w:val="single" w:sz="3" w:space="0" w:color="D0D7DE"/>
              <w:bottom w:val="single" w:sz="3" w:space="0" w:color="D0D7DE"/>
              <w:right w:val="single" w:sz="3" w:space="0" w:color="D0D7DE"/>
            </w:tcBorders>
            <w:shd w:val="clear" w:color="auto" w:fill="F6F8FA"/>
            <w:vAlign w:val="center"/>
          </w:tcPr>
          <w:p w14:paraId="70887C22" w14:textId="77777777" w:rsidR="008F088D" w:rsidRDefault="00000000">
            <w:pPr>
              <w:spacing w:after="0" w:line="259" w:lineRule="auto"/>
              <w:ind w:left="0" w:firstLine="0"/>
            </w:pPr>
            <w:r>
              <w:rPr>
                <w:sz w:val="15"/>
              </w:rPr>
              <w:t>85.0</w:t>
            </w:r>
          </w:p>
        </w:tc>
        <w:tc>
          <w:tcPr>
            <w:tcW w:w="1020" w:type="dxa"/>
            <w:tcBorders>
              <w:top w:val="single" w:sz="3" w:space="0" w:color="D0D7DE"/>
              <w:left w:val="single" w:sz="3" w:space="0" w:color="D0D7DE"/>
              <w:bottom w:val="single" w:sz="3" w:space="0" w:color="D0D7DE"/>
              <w:right w:val="single" w:sz="3" w:space="0" w:color="D0D7DE"/>
            </w:tcBorders>
            <w:shd w:val="clear" w:color="auto" w:fill="F6F8FA"/>
            <w:vAlign w:val="center"/>
          </w:tcPr>
          <w:p w14:paraId="3F0F10D9" w14:textId="77777777" w:rsidR="008F088D" w:rsidRDefault="00000000">
            <w:pPr>
              <w:spacing w:after="0" w:line="259" w:lineRule="auto"/>
              <w:ind w:left="0" w:firstLine="0"/>
            </w:pPr>
            <w:r>
              <w:rPr>
                <w:sz w:val="15"/>
              </w:rPr>
              <w:t>1.698</w:t>
            </w:r>
          </w:p>
        </w:tc>
        <w:tc>
          <w:tcPr>
            <w:tcW w:w="1134" w:type="dxa"/>
            <w:tcBorders>
              <w:top w:val="single" w:sz="3" w:space="0" w:color="D0D7DE"/>
              <w:left w:val="single" w:sz="3" w:space="0" w:color="D0D7DE"/>
              <w:bottom w:val="single" w:sz="3" w:space="0" w:color="D0D7DE"/>
              <w:right w:val="single" w:sz="3" w:space="0" w:color="D0D7DE"/>
            </w:tcBorders>
            <w:shd w:val="clear" w:color="auto" w:fill="F6F8FA"/>
            <w:vAlign w:val="center"/>
          </w:tcPr>
          <w:p w14:paraId="40062F45" w14:textId="77777777" w:rsidR="008F088D" w:rsidRDefault="00000000">
            <w:pPr>
              <w:spacing w:after="0" w:line="259" w:lineRule="auto"/>
              <w:ind w:left="0" w:firstLine="0"/>
            </w:pPr>
            <w:r>
              <w:rPr>
                <w:sz w:val="15"/>
              </w:rPr>
              <w:t>26.6</w:t>
            </w:r>
          </w:p>
        </w:tc>
        <w:tc>
          <w:tcPr>
            <w:tcW w:w="1020" w:type="dxa"/>
            <w:tcBorders>
              <w:top w:val="single" w:sz="3" w:space="0" w:color="D0D7DE"/>
              <w:left w:val="single" w:sz="3" w:space="0" w:color="D0D7DE"/>
              <w:bottom w:val="single" w:sz="3" w:space="0" w:color="D0D7DE"/>
              <w:right w:val="single" w:sz="3" w:space="0" w:color="D0D7DE"/>
            </w:tcBorders>
            <w:shd w:val="clear" w:color="auto" w:fill="F6F8FA"/>
            <w:vAlign w:val="center"/>
          </w:tcPr>
          <w:p w14:paraId="48504D1F" w14:textId="77777777" w:rsidR="008F088D" w:rsidRDefault="00000000">
            <w:pPr>
              <w:spacing w:after="0" w:line="259" w:lineRule="auto"/>
              <w:ind w:left="0" w:firstLine="0"/>
            </w:pPr>
            <w:r>
              <w:rPr>
                <w:sz w:val="15"/>
              </w:rPr>
              <w:t>22.76</w:t>
            </w:r>
          </w:p>
        </w:tc>
        <w:tc>
          <w:tcPr>
            <w:tcW w:w="1020" w:type="dxa"/>
            <w:tcBorders>
              <w:top w:val="single" w:sz="3" w:space="0" w:color="D0D7DE"/>
              <w:left w:val="single" w:sz="3" w:space="0" w:color="D0D7DE"/>
              <w:bottom w:val="single" w:sz="3" w:space="0" w:color="D0D7DE"/>
              <w:right w:val="single" w:sz="3" w:space="0" w:color="D0D7DE"/>
            </w:tcBorders>
            <w:shd w:val="clear" w:color="auto" w:fill="F6F8FA"/>
            <w:vAlign w:val="center"/>
          </w:tcPr>
          <w:p w14:paraId="4BAB7D0C" w14:textId="77777777" w:rsidR="008F088D" w:rsidRDefault="00000000">
            <w:pPr>
              <w:spacing w:after="0" w:line="259" w:lineRule="auto"/>
              <w:ind w:left="0" w:firstLine="0"/>
            </w:pPr>
            <w:r>
              <w:rPr>
                <w:sz w:val="15"/>
              </w:rPr>
              <w:t>-9.62</w:t>
            </w:r>
          </w:p>
        </w:tc>
      </w:tr>
      <w:tr w:rsidR="008F088D" w14:paraId="61347B6E" w14:textId="77777777">
        <w:trPr>
          <w:trHeight w:val="400"/>
        </w:trPr>
        <w:tc>
          <w:tcPr>
            <w:tcW w:w="3572" w:type="dxa"/>
            <w:tcBorders>
              <w:top w:val="single" w:sz="3" w:space="0" w:color="D0D7DE"/>
              <w:left w:val="single" w:sz="3" w:space="0" w:color="D0D7DE"/>
              <w:bottom w:val="single" w:sz="3" w:space="0" w:color="D0D7DE"/>
              <w:right w:val="single" w:sz="3" w:space="0" w:color="D0D7DE"/>
            </w:tcBorders>
            <w:shd w:val="clear" w:color="auto" w:fill="FFFFFF"/>
            <w:vAlign w:val="center"/>
          </w:tcPr>
          <w:p w14:paraId="62AE5812" w14:textId="77777777" w:rsidR="008F088D" w:rsidRDefault="00000000">
            <w:pPr>
              <w:spacing w:after="0" w:line="259" w:lineRule="auto"/>
              <w:ind w:left="0" w:firstLine="0"/>
            </w:pPr>
            <w:r>
              <w:rPr>
                <w:sz w:val="15"/>
              </w:rPr>
              <w:t>Axis Aggressive Hybrid Fund</w:t>
            </w:r>
          </w:p>
        </w:tc>
        <w:tc>
          <w:tcPr>
            <w:tcW w:w="1020" w:type="dxa"/>
            <w:tcBorders>
              <w:top w:val="single" w:sz="3" w:space="0" w:color="D0D7DE"/>
              <w:left w:val="single" w:sz="3" w:space="0" w:color="D0D7DE"/>
              <w:bottom w:val="single" w:sz="3" w:space="0" w:color="D0D7DE"/>
              <w:right w:val="single" w:sz="3" w:space="0" w:color="D0D7DE"/>
            </w:tcBorders>
            <w:shd w:val="clear" w:color="auto" w:fill="FFFFFF"/>
            <w:vAlign w:val="center"/>
          </w:tcPr>
          <w:p w14:paraId="5575917D" w14:textId="77777777" w:rsidR="008F088D" w:rsidRDefault="00000000">
            <w:pPr>
              <w:spacing w:after="0" w:line="259" w:lineRule="auto"/>
              <w:ind w:left="0" w:firstLine="0"/>
            </w:pPr>
            <w:r>
              <w:rPr>
                <w:sz w:val="15"/>
              </w:rPr>
              <w:t>77.0</w:t>
            </w:r>
          </w:p>
        </w:tc>
        <w:tc>
          <w:tcPr>
            <w:tcW w:w="1020" w:type="dxa"/>
            <w:tcBorders>
              <w:top w:val="single" w:sz="3" w:space="0" w:color="D0D7DE"/>
              <w:left w:val="single" w:sz="3" w:space="0" w:color="D0D7DE"/>
              <w:bottom w:val="single" w:sz="3" w:space="0" w:color="D0D7DE"/>
              <w:right w:val="single" w:sz="3" w:space="0" w:color="D0D7DE"/>
            </w:tcBorders>
            <w:shd w:val="clear" w:color="auto" w:fill="FFFFFF"/>
            <w:vAlign w:val="center"/>
          </w:tcPr>
          <w:p w14:paraId="1A5B5848" w14:textId="77777777" w:rsidR="008F088D" w:rsidRDefault="00000000">
            <w:pPr>
              <w:spacing w:after="0" w:line="259" w:lineRule="auto"/>
              <w:ind w:left="0" w:firstLine="0"/>
            </w:pPr>
            <w:r>
              <w:rPr>
                <w:sz w:val="15"/>
              </w:rPr>
              <w:t>1.419</w:t>
            </w:r>
          </w:p>
        </w:tc>
        <w:tc>
          <w:tcPr>
            <w:tcW w:w="1134" w:type="dxa"/>
            <w:tcBorders>
              <w:top w:val="single" w:sz="3" w:space="0" w:color="D0D7DE"/>
              <w:left w:val="single" w:sz="3" w:space="0" w:color="D0D7DE"/>
              <w:bottom w:val="single" w:sz="3" w:space="0" w:color="D0D7DE"/>
              <w:right w:val="single" w:sz="3" w:space="0" w:color="D0D7DE"/>
            </w:tcBorders>
            <w:shd w:val="clear" w:color="auto" w:fill="FFFFFF"/>
            <w:vAlign w:val="center"/>
          </w:tcPr>
          <w:p w14:paraId="3D567CE7" w14:textId="77777777" w:rsidR="008F088D" w:rsidRDefault="00000000">
            <w:pPr>
              <w:spacing w:after="0" w:line="259" w:lineRule="auto"/>
              <w:ind w:left="0" w:firstLine="0"/>
            </w:pPr>
            <w:r>
              <w:rPr>
                <w:sz w:val="15"/>
              </w:rPr>
              <w:t>18.99</w:t>
            </w:r>
          </w:p>
        </w:tc>
        <w:tc>
          <w:tcPr>
            <w:tcW w:w="1020" w:type="dxa"/>
            <w:tcBorders>
              <w:top w:val="single" w:sz="3" w:space="0" w:color="D0D7DE"/>
              <w:left w:val="single" w:sz="3" w:space="0" w:color="D0D7DE"/>
              <w:bottom w:val="single" w:sz="3" w:space="0" w:color="D0D7DE"/>
              <w:right w:val="single" w:sz="3" w:space="0" w:color="D0D7DE"/>
            </w:tcBorders>
            <w:shd w:val="clear" w:color="auto" w:fill="FFFFFF"/>
            <w:vAlign w:val="center"/>
          </w:tcPr>
          <w:p w14:paraId="3A026CFB" w14:textId="77777777" w:rsidR="008F088D" w:rsidRDefault="00000000">
            <w:pPr>
              <w:spacing w:after="0" w:line="259" w:lineRule="auto"/>
              <w:ind w:left="0" w:firstLine="0"/>
            </w:pPr>
            <w:r>
              <w:rPr>
                <w:sz w:val="15"/>
              </w:rPr>
              <w:t>20.77</w:t>
            </w:r>
          </w:p>
        </w:tc>
        <w:tc>
          <w:tcPr>
            <w:tcW w:w="1020" w:type="dxa"/>
            <w:tcBorders>
              <w:top w:val="single" w:sz="3" w:space="0" w:color="D0D7DE"/>
              <w:left w:val="single" w:sz="3" w:space="0" w:color="D0D7DE"/>
              <w:bottom w:val="single" w:sz="3" w:space="0" w:color="D0D7DE"/>
              <w:right w:val="single" w:sz="3" w:space="0" w:color="D0D7DE"/>
            </w:tcBorders>
            <w:shd w:val="clear" w:color="auto" w:fill="FFFFFF"/>
            <w:vAlign w:val="center"/>
          </w:tcPr>
          <w:p w14:paraId="0A1BA278" w14:textId="77777777" w:rsidR="008F088D" w:rsidRDefault="00000000">
            <w:pPr>
              <w:spacing w:after="0" w:line="259" w:lineRule="auto"/>
              <w:ind w:left="0" w:firstLine="0"/>
            </w:pPr>
            <w:r>
              <w:rPr>
                <w:sz w:val="15"/>
              </w:rPr>
              <w:t>-12.34</w:t>
            </w:r>
          </w:p>
        </w:tc>
      </w:tr>
      <w:tr w:rsidR="008F088D" w14:paraId="176709E1" w14:textId="77777777">
        <w:trPr>
          <w:trHeight w:val="400"/>
        </w:trPr>
        <w:tc>
          <w:tcPr>
            <w:tcW w:w="3572" w:type="dxa"/>
            <w:tcBorders>
              <w:top w:val="single" w:sz="3" w:space="0" w:color="D0D7DE"/>
              <w:left w:val="single" w:sz="3" w:space="0" w:color="D0D7DE"/>
              <w:bottom w:val="single" w:sz="3" w:space="0" w:color="D0D7DE"/>
              <w:right w:val="single" w:sz="3" w:space="0" w:color="D0D7DE"/>
            </w:tcBorders>
            <w:shd w:val="clear" w:color="auto" w:fill="F6F8FA"/>
            <w:vAlign w:val="center"/>
          </w:tcPr>
          <w:p w14:paraId="357020C0" w14:textId="77777777" w:rsidR="008F088D" w:rsidRDefault="00000000">
            <w:pPr>
              <w:spacing w:after="0" w:line="259" w:lineRule="auto"/>
              <w:ind w:left="0" w:firstLine="0"/>
            </w:pPr>
            <w:r>
              <w:rPr>
                <w:sz w:val="15"/>
              </w:rPr>
              <w:t>SBI Mid Cap Fund</w:t>
            </w:r>
          </w:p>
        </w:tc>
        <w:tc>
          <w:tcPr>
            <w:tcW w:w="1020" w:type="dxa"/>
            <w:tcBorders>
              <w:top w:val="single" w:sz="3" w:space="0" w:color="D0D7DE"/>
              <w:left w:val="single" w:sz="3" w:space="0" w:color="D0D7DE"/>
              <w:bottom w:val="single" w:sz="3" w:space="0" w:color="D0D7DE"/>
              <w:right w:val="single" w:sz="3" w:space="0" w:color="D0D7DE"/>
            </w:tcBorders>
            <w:shd w:val="clear" w:color="auto" w:fill="F6F8FA"/>
            <w:vAlign w:val="center"/>
          </w:tcPr>
          <w:p w14:paraId="29A52DE8" w14:textId="77777777" w:rsidR="008F088D" w:rsidRDefault="00000000">
            <w:pPr>
              <w:spacing w:after="0" w:line="259" w:lineRule="auto"/>
              <w:ind w:left="0" w:firstLine="0"/>
            </w:pPr>
            <w:r>
              <w:rPr>
                <w:sz w:val="15"/>
              </w:rPr>
              <w:t>76.1</w:t>
            </w:r>
          </w:p>
        </w:tc>
        <w:tc>
          <w:tcPr>
            <w:tcW w:w="1020" w:type="dxa"/>
            <w:tcBorders>
              <w:top w:val="single" w:sz="3" w:space="0" w:color="D0D7DE"/>
              <w:left w:val="single" w:sz="3" w:space="0" w:color="D0D7DE"/>
              <w:bottom w:val="single" w:sz="3" w:space="0" w:color="D0D7DE"/>
              <w:right w:val="single" w:sz="3" w:space="0" w:color="D0D7DE"/>
            </w:tcBorders>
            <w:shd w:val="clear" w:color="auto" w:fill="F6F8FA"/>
            <w:vAlign w:val="center"/>
          </w:tcPr>
          <w:p w14:paraId="40DEF40C" w14:textId="77777777" w:rsidR="008F088D" w:rsidRDefault="00000000">
            <w:pPr>
              <w:spacing w:after="0" w:line="259" w:lineRule="auto"/>
              <w:ind w:left="0" w:firstLine="0"/>
            </w:pPr>
            <w:r>
              <w:rPr>
                <w:sz w:val="15"/>
              </w:rPr>
              <w:t>1.349</w:t>
            </w:r>
          </w:p>
        </w:tc>
        <w:tc>
          <w:tcPr>
            <w:tcW w:w="1134" w:type="dxa"/>
            <w:tcBorders>
              <w:top w:val="single" w:sz="3" w:space="0" w:color="D0D7DE"/>
              <w:left w:val="single" w:sz="3" w:space="0" w:color="D0D7DE"/>
              <w:bottom w:val="single" w:sz="3" w:space="0" w:color="D0D7DE"/>
              <w:right w:val="single" w:sz="3" w:space="0" w:color="D0D7DE"/>
            </w:tcBorders>
            <w:shd w:val="clear" w:color="auto" w:fill="F6F8FA"/>
            <w:vAlign w:val="center"/>
          </w:tcPr>
          <w:p w14:paraId="4445573C" w14:textId="77777777" w:rsidR="008F088D" w:rsidRDefault="00000000">
            <w:pPr>
              <w:spacing w:after="0" w:line="259" w:lineRule="auto"/>
              <w:ind w:left="0" w:firstLine="0"/>
            </w:pPr>
            <w:r>
              <w:rPr>
                <w:sz w:val="15"/>
              </w:rPr>
              <w:t>35.24</w:t>
            </w:r>
          </w:p>
        </w:tc>
        <w:tc>
          <w:tcPr>
            <w:tcW w:w="1020" w:type="dxa"/>
            <w:tcBorders>
              <w:top w:val="single" w:sz="3" w:space="0" w:color="D0D7DE"/>
              <w:left w:val="single" w:sz="3" w:space="0" w:color="D0D7DE"/>
              <w:bottom w:val="single" w:sz="3" w:space="0" w:color="D0D7DE"/>
              <w:right w:val="single" w:sz="3" w:space="0" w:color="D0D7DE"/>
            </w:tcBorders>
            <w:shd w:val="clear" w:color="auto" w:fill="F6F8FA"/>
            <w:vAlign w:val="center"/>
          </w:tcPr>
          <w:p w14:paraId="333081B3" w14:textId="77777777" w:rsidR="008F088D" w:rsidRDefault="00000000">
            <w:pPr>
              <w:spacing w:after="0" w:line="259" w:lineRule="auto"/>
              <w:ind w:left="0" w:firstLine="0"/>
            </w:pPr>
            <w:r>
              <w:rPr>
                <w:sz w:val="15"/>
              </w:rPr>
              <w:t>30.1</w:t>
            </w:r>
          </w:p>
        </w:tc>
        <w:tc>
          <w:tcPr>
            <w:tcW w:w="1020" w:type="dxa"/>
            <w:tcBorders>
              <w:top w:val="single" w:sz="3" w:space="0" w:color="D0D7DE"/>
              <w:left w:val="single" w:sz="3" w:space="0" w:color="D0D7DE"/>
              <w:bottom w:val="single" w:sz="3" w:space="0" w:color="D0D7DE"/>
              <w:right w:val="single" w:sz="3" w:space="0" w:color="D0D7DE"/>
            </w:tcBorders>
            <w:shd w:val="clear" w:color="auto" w:fill="F6F8FA"/>
            <w:vAlign w:val="center"/>
          </w:tcPr>
          <w:p w14:paraId="66EC6EE4" w14:textId="77777777" w:rsidR="008F088D" w:rsidRDefault="00000000">
            <w:pPr>
              <w:spacing w:after="0" w:line="259" w:lineRule="auto"/>
              <w:ind w:left="0" w:firstLine="0"/>
            </w:pPr>
            <w:r>
              <w:rPr>
                <w:sz w:val="15"/>
              </w:rPr>
              <w:t>-27.22</w:t>
            </w:r>
          </w:p>
        </w:tc>
      </w:tr>
      <w:tr w:rsidR="008F088D" w14:paraId="2738759B" w14:textId="77777777">
        <w:trPr>
          <w:trHeight w:val="400"/>
        </w:trPr>
        <w:tc>
          <w:tcPr>
            <w:tcW w:w="3572" w:type="dxa"/>
            <w:tcBorders>
              <w:top w:val="single" w:sz="3" w:space="0" w:color="D0D7DE"/>
              <w:left w:val="single" w:sz="3" w:space="0" w:color="D0D7DE"/>
              <w:bottom w:val="single" w:sz="3" w:space="0" w:color="D0D7DE"/>
              <w:right w:val="single" w:sz="3" w:space="0" w:color="D0D7DE"/>
            </w:tcBorders>
            <w:shd w:val="clear" w:color="auto" w:fill="FFFFFF"/>
            <w:vAlign w:val="center"/>
          </w:tcPr>
          <w:p w14:paraId="66F2C98A" w14:textId="77777777" w:rsidR="008F088D" w:rsidRDefault="00000000">
            <w:pPr>
              <w:spacing w:after="0" w:line="259" w:lineRule="auto"/>
              <w:ind w:left="0" w:firstLine="0"/>
            </w:pPr>
            <w:r>
              <w:rPr>
                <w:sz w:val="15"/>
              </w:rPr>
              <w:t>UTI Mid Cap Fund</w:t>
            </w:r>
          </w:p>
        </w:tc>
        <w:tc>
          <w:tcPr>
            <w:tcW w:w="1020" w:type="dxa"/>
            <w:tcBorders>
              <w:top w:val="single" w:sz="3" w:space="0" w:color="D0D7DE"/>
              <w:left w:val="single" w:sz="3" w:space="0" w:color="D0D7DE"/>
              <w:bottom w:val="single" w:sz="3" w:space="0" w:color="D0D7DE"/>
              <w:right w:val="single" w:sz="3" w:space="0" w:color="D0D7DE"/>
            </w:tcBorders>
            <w:shd w:val="clear" w:color="auto" w:fill="FFFFFF"/>
            <w:vAlign w:val="center"/>
          </w:tcPr>
          <w:p w14:paraId="0B2A93F2" w14:textId="77777777" w:rsidR="008F088D" w:rsidRDefault="00000000">
            <w:pPr>
              <w:spacing w:after="0" w:line="259" w:lineRule="auto"/>
              <w:ind w:left="0" w:firstLine="0"/>
            </w:pPr>
            <w:r>
              <w:rPr>
                <w:sz w:val="15"/>
              </w:rPr>
              <w:t>73.8</w:t>
            </w:r>
          </w:p>
        </w:tc>
        <w:tc>
          <w:tcPr>
            <w:tcW w:w="1020" w:type="dxa"/>
            <w:tcBorders>
              <w:top w:val="single" w:sz="3" w:space="0" w:color="D0D7DE"/>
              <w:left w:val="single" w:sz="3" w:space="0" w:color="D0D7DE"/>
              <w:bottom w:val="single" w:sz="3" w:space="0" w:color="D0D7DE"/>
              <w:right w:val="single" w:sz="3" w:space="0" w:color="D0D7DE"/>
            </w:tcBorders>
            <w:shd w:val="clear" w:color="auto" w:fill="FFFFFF"/>
            <w:vAlign w:val="center"/>
          </w:tcPr>
          <w:p w14:paraId="7B7A5219" w14:textId="77777777" w:rsidR="008F088D" w:rsidRDefault="00000000">
            <w:pPr>
              <w:spacing w:after="0" w:line="259" w:lineRule="auto"/>
              <w:ind w:left="0" w:firstLine="0"/>
            </w:pPr>
            <w:r>
              <w:rPr>
                <w:sz w:val="15"/>
              </w:rPr>
              <w:t>1.618</w:t>
            </w:r>
          </w:p>
        </w:tc>
        <w:tc>
          <w:tcPr>
            <w:tcW w:w="1134" w:type="dxa"/>
            <w:tcBorders>
              <w:top w:val="single" w:sz="3" w:space="0" w:color="D0D7DE"/>
              <w:left w:val="single" w:sz="3" w:space="0" w:color="D0D7DE"/>
              <w:bottom w:val="single" w:sz="3" w:space="0" w:color="D0D7DE"/>
              <w:right w:val="single" w:sz="3" w:space="0" w:color="D0D7DE"/>
            </w:tcBorders>
            <w:shd w:val="clear" w:color="auto" w:fill="FFFFFF"/>
            <w:vAlign w:val="center"/>
          </w:tcPr>
          <w:p w14:paraId="1EAC8936" w14:textId="77777777" w:rsidR="008F088D" w:rsidRDefault="00000000">
            <w:pPr>
              <w:spacing w:after="0" w:line="259" w:lineRule="auto"/>
              <w:ind w:left="0" w:firstLine="0"/>
            </w:pPr>
            <w:r>
              <w:rPr>
                <w:sz w:val="15"/>
              </w:rPr>
              <w:t>21.38</w:t>
            </w:r>
          </w:p>
        </w:tc>
        <w:tc>
          <w:tcPr>
            <w:tcW w:w="1020" w:type="dxa"/>
            <w:tcBorders>
              <w:top w:val="single" w:sz="3" w:space="0" w:color="D0D7DE"/>
              <w:left w:val="single" w:sz="3" w:space="0" w:color="D0D7DE"/>
              <w:bottom w:val="single" w:sz="3" w:space="0" w:color="D0D7DE"/>
              <w:right w:val="single" w:sz="3" w:space="0" w:color="D0D7DE"/>
            </w:tcBorders>
            <w:shd w:val="clear" w:color="auto" w:fill="FFFFFF"/>
            <w:vAlign w:val="center"/>
          </w:tcPr>
          <w:p w14:paraId="5C18A778" w14:textId="77777777" w:rsidR="008F088D" w:rsidRDefault="00000000">
            <w:pPr>
              <w:spacing w:after="0" w:line="259" w:lineRule="auto"/>
              <w:ind w:left="0" w:firstLine="0"/>
            </w:pPr>
            <w:r>
              <w:rPr>
                <w:sz w:val="15"/>
              </w:rPr>
              <w:t>31.67</w:t>
            </w:r>
          </w:p>
        </w:tc>
        <w:tc>
          <w:tcPr>
            <w:tcW w:w="1020" w:type="dxa"/>
            <w:tcBorders>
              <w:top w:val="single" w:sz="3" w:space="0" w:color="D0D7DE"/>
              <w:left w:val="single" w:sz="3" w:space="0" w:color="D0D7DE"/>
              <w:bottom w:val="single" w:sz="3" w:space="0" w:color="D0D7DE"/>
              <w:right w:val="single" w:sz="3" w:space="0" w:color="D0D7DE"/>
            </w:tcBorders>
            <w:shd w:val="clear" w:color="auto" w:fill="FFFFFF"/>
            <w:vAlign w:val="center"/>
          </w:tcPr>
          <w:p w14:paraId="38DD920B" w14:textId="77777777" w:rsidR="008F088D" w:rsidRDefault="00000000">
            <w:pPr>
              <w:spacing w:after="0" w:line="259" w:lineRule="auto"/>
              <w:ind w:left="0" w:firstLine="0"/>
            </w:pPr>
            <w:r>
              <w:rPr>
                <w:sz w:val="15"/>
              </w:rPr>
              <w:t>-24.03</w:t>
            </w:r>
          </w:p>
        </w:tc>
      </w:tr>
      <w:tr w:rsidR="008F088D" w14:paraId="78DA8E9C" w14:textId="77777777">
        <w:trPr>
          <w:trHeight w:val="400"/>
        </w:trPr>
        <w:tc>
          <w:tcPr>
            <w:tcW w:w="3572" w:type="dxa"/>
            <w:tcBorders>
              <w:top w:val="single" w:sz="3" w:space="0" w:color="D0D7DE"/>
              <w:left w:val="single" w:sz="3" w:space="0" w:color="D0D7DE"/>
              <w:bottom w:val="single" w:sz="3" w:space="0" w:color="D0D7DE"/>
              <w:right w:val="single" w:sz="3" w:space="0" w:color="D0D7DE"/>
            </w:tcBorders>
            <w:shd w:val="clear" w:color="auto" w:fill="F6F8FA"/>
            <w:vAlign w:val="center"/>
          </w:tcPr>
          <w:p w14:paraId="3C048B55" w14:textId="77777777" w:rsidR="008F088D" w:rsidRDefault="00000000">
            <w:pPr>
              <w:spacing w:after="0" w:line="259" w:lineRule="auto"/>
              <w:ind w:left="0" w:firstLine="0"/>
            </w:pPr>
            <w:r>
              <w:rPr>
                <w:sz w:val="15"/>
              </w:rPr>
              <w:t>Axis ELSS Fund</w:t>
            </w:r>
          </w:p>
        </w:tc>
        <w:tc>
          <w:tcPr>
            <w:tcW w:w="1020" w:type="dxa"/>
            <w:tcBorders>
              <w:top w:val="single" w:sz="3" w:space="0" w:color="D0D7DE"/>
              <w:left w:val="single" w:sz="3" w:space="0" w:color="D0D7DE"/>
              <w:bottom w:val="single" w:sz="3" w:space="0" w:color="D0D7DE"/>
              <w:right w:val="single" w:sz="3" w:space="0" w:color="D0D7DE"/>
            </w:tcBorders>
            <w:shd w:val="clear" w:color="auto" w:fill="F6F8FA"/>
            <w:vAlign w:val="center"/>
          </w:tcPr>
          <w:p w14:paraId="1562156C" w14:textId="77777777" w:rsidR="008F088D" w:rsidRDefault="00000000">
            <w:pPr>
              <w:spacing w:after="0" w:line="259" w:lineRule="auto"/>
              <w:ind w:left="0" w:firstLine="0"/>
            </w:pPr>
            <w:r>
              <w:rPr>
                <w:sz w:val="15"/>
              </w:rPr>
              <w:t>73.6</w:t>
            </w:r>
          </w:p>
        </w:tc>
        <w:tc>
          <w:tcPr>
            <w:tcW w:w="1020" w:type="dxa"/>
            <w:tcBorders>
              <w:top w:val="single" w:sz="3" w:space="0" w:color="D0D7DE"/>
              <w:left w:val="single" w:sz="3" w:space="0" w:color="D0D7DE"/>
              <w:bottom w:val="single" w:sz="3" w:space="0" w:color="D0D7DE"/>
              <w:right w:val="single" w:sz="3" w:space="0" w:color="D0D7DE"/>
            </w:tcBorders>
            <w:shd w:val="clear" w:color="auto" w:fill="F6F8FA"/>
            <w:vAlign w:val="center"/>
          </w:tcPr>
          <w:p w14:paraId="6EDC8608" w14:textId="77777777" w:rsidR="008F088D" w:rsidRDefault="00000000">
            <w:pPr>
              <w:spacing w:after="0" w:line="259" w:lineRule="auto"/>
              <w:ind w:left="0" w:firstLine="0"/>
            </w:pPr>
            <w:r>
              <w:rPr>
                <w:sz w:val="15"/>
              </w:rPr>
              <w:t>1.196</w:t>
            </w:r>
          </w:p>
        </w:tc>
        <w:tc>
          <w:tcPr>
            <w:tcW w:w="1134" w:type="dxa"/>
            <w:tcBorders>
              <w:top w:val="single" w:sz="3" w:space="0" w:color="D0D7DE"/>
              <w:left w:val="single" w:sz="3" w:space="0" w:color="D0D7DE"/>
              <w:bottom w:val="single" w:sz="3" w:space="0" w:color="D0D7DE"/>
              <w:right w:val="single" w:sz="3" w:space="0" w:color="D0D7DE"/>
            </w:tcBorders>
            <w:shd w:val="clear" w:color="auto" w:fill="F6F8FA"/>
            <w:vAlign w:val="center"/>
          </w:tcPr>
          <w:p w14:paraId="1D0ECAC8" w14:textId="77777777" w:rsidR="008F088D" w:rsidRDefault="00000000">
            <w:pPr>
              <w:spacing w:after="0" w:line="259" w:lineRule="auto"/>
              <w:ind w:left="0" w:firstLine="0"/>
            </w:pPr>
            <w:r>
              <w:rPr>
                <w:sz w:val="15"/>
              </w:rPr>
              <w:t>22.63</w:t>
            </w:r>
          </w:p>
        </w:tc>
        <w:tc>
          <w:tcPr>
            <w:tcW w:w="1020" w:type="dxa"/>
            <w:tcBorders>
              <w:top w:val="single" w:sz="3" w:space="0" w:color="D0D7DE"/>
              <w:left w:val="single" w:sz="3" w:space="0" w:color="D0D7DE"/>
              <w:bottom w:val="single" w:sz="3" w:space="0" w:color="D0D7DE"/>
              <w:right w:val="single" w:sz="3" w:space="0" w:color="D0D7DE"/>
            </w:tcBorders>
            <w:shd w:val="clear" w:color="auto" w:fill="F6F8FA"/>
            <w:vAlign w:val="center"/>
          </w:tcPr>
          <w:p w14:paraId="5B862775" w14:textId="77777777" w:rsidR="008F088D" w:rsidRDefault="00000000">
            <w:pPr>
              <w:spacing w:after="0" w:line="259" w:lineRule="auto"/>
              <w:ind w:left="0" w:firstLine="0"/>
            </w:pPr>
            <w:r>
              <w:rPr>
                <w:sz w:val="15"/>
              </w:rPr>
              <w:t>25.03</w:t>
            </w:r>
          </w:p>
        </w:tc>
        <w:tc>
          <w:tcPr>
            <w:tcW w:w="1020" w:type="dxa"/>
            <w:tcBorders>
              <w:top w:val="single" w:sz="3" w:space="0" w:color="D0D7DE"/>
              <w:left w:val="single" w:sz="3" w:space="0" w:color="D0D7DE"/>
              <w:bottom w:val="single" w:sz="3" w:space="0" w:color="D0D7DE"/>
              <w:right w:val="single" w:sz="3" w:space="0" w:color="D0D7DE"/>
            </w:tcBorders>
            <w:shd w:val="clear" w:color="auto" w:fill="F6F8FA"/>
            <w:vAlign w:val="center"/>
          </w:tcPr>
          <w:p w14:paraId="44A49450" w14:textId="77777777" w:rsidR="008F088D" w:rsidRDefault="00000000">
            <w:pPr>
              <w:spacing w:after="0" w:line="259" w:lineRule="auto"/>
              <w:ind w:left="0" w:firstLine="0"/>
            </w:pPr>
            <w:r>
              <w:rPr>
                <w:sz w:val="15"/>
              </w:rPr>
              <w:t>-14.09</w:t>
            </w:r>
          </w:p>
        </w:tc>
      </w:tr>
      <w:tr w:rsidR="008F088D" w14:paraId="2D8EC126" w14:textId="77777777">
        <w:trPr>
          <w:trHeight w:val="400"/>
        </w:trPr>
        <w:tc>
          <w:tcPr>
            <w:tcW w:w="3572" w:type="dxa"/>
            <w:tcBorders>
              <w:top w:val="single" w:sz="3" w:space="0" w:color="D0D7DE"/>
              <w:left w:val="single" w:sz="3" w:space="0" w:color="D0D7DE"/>
              <w:bottom w:val="single" w:sz="3" w:space="0" w:color="D0D7DE"/>
              <w:right w:val="single" w:sz="3" w:space="0" w:color="D0D7DE"/>
            </w:tcBorders>
            <w:shd w:val="clear" w:color="auto" w:fill="FFFFFF"/>
            <w:vAlign w:val="center"/>
          </w:tcPr>
          <w:p w14:paraId="739DF6CC" w14:textId="77777777" w:rsidR="008F088D" w:rsidRDefault="00000000">
            <w:pPr>
              <w:spacing w:after="0" w:line="259" w:lineRule="auto"/>
              <w:ind w:left="0" w:firstLine="0"/>
            </w:pPr>
            <w:r>
              <w:rPr>
                <w:sz w:val="15"/>
              </w:rPr>
              <w:t>Kotak Mahindra Flexi Cap Fund</w:t>
            </w:r>
          </w:p>
        </w:tc>
        <w:tc>
          <w:tcPr>
            <w:tcW w:w="1020" w:type="dxa"/>
            <w:tcBorders>
              <w:top w:val="single" w:sz="3" w:space="0" w:color="D0D7DE"/>
              <w:left w:val="single" w:sz="3" w:space="0" w:color="D0D7DE"/>
              <w:bottom w:val="single" w:sz="3" w:space="0" w:color="D0D7DE"/>
              <w:right w:val="single" w:sz="3" w:space="0" w:color="D0D7DE"/>
            </w:tcBorders>
            <w:shd w:val="clear" w:color="auto" w:fill="FFFFFF"/>
            <w:vAlign w:val="center"/>
          </w:tcPr>
          <w:p w14:paraId="0E11E154" w14:textId="77777777" w:rsidR="008F088D" w:rsidRDefault="00000000">
            <w:pPr>
              <w:spacing w:after="0" w:line="259" w:lineRule="auto"/>
              <w:ind w:left="0" w:firstLine="0"/>
            </w:pPr>
            <w:r>
              <w:rPr>
                <w:sz w:val="15"/>
              </w:rPr>
              <w:t>70.9</w:t>
            </w:r>
          </w:p>
        </w:tc>
        <w:tc>
          <w:tcPr>
            <w:tcW w:w="1020" w:type="dxa"/>
            <w:tcBorders>
              <w:top w:val="single" w:sz="3" w:space="0" w:color="D0D7DE"/>
              <w:left w:val="single" w:sz="3" w:space="0" w:color="D0D7DE"/>
              <w:bottom w:val="single" w:sz="3" w:space="0" w:color="D0D7DE"/>
              <w:right w:val="single" w:sz="3" w:space="0" w:color="D0D7DE"/>
            </w:tcBorders>
            <w:shd w:val="clear" w:color="auto" w:fill="FFFFFF"/>
            <w:vAlign w:val="center"/>
          </w:tcPr>
          <w:p w14:paraId="5EFE18AC" w14:textId="77777777" w:rsidR="008F088D" w:rsidRDefault="00000000">
            <w:pPr>
              <w:spacing w:after="0" w:line="259" w:lineRule="auto"/>
              <w:ind w:left="0" w:firstLine="0"/>
            </w:pPr>
            <w:r>
              <w:rPr>
                <w:sz w:val="15"/>
              </w:rPr>
              <w:t>1.559</w:t>
            </w:r>
          </w:p>
        </w:tc>
        <w:tc>
          <w:tcPr>
            <w:tcW w:w="1134" w:type="dxa"/>
            <w:tcBorders>
              <w:top w:val="single" w:sz="3" w:space="0" w:color="D0D7DE"/>
              <w:left w:val="single" w:sz="3" w:space="0" w:color="D0D7DE"/>
              <w:bottom w:val="single" w:sz="3" w:space="0" w:color="D0D7DE"/>
              <w:right w:val="single" w:sz="3" w:space="0" w:color="D0D7DE"/>
            </w:tcBorders>
            <w:shd w:val="clear" w:color="auto" w:fill="FFFFFF"/>
            <w:vAlign w:val="center"/>
          </w:tcPr>
          <w:p w14:paraId="5505716C" w14:textId="77777777" w:rsidR="008F088D" w:rsidRDefault="00000000">
            <w:pPr>
              <w:spacing w:after="0" w:line="259" w:lineRule="auto"/>
              <w:ind w:left="0" w:firstLine="0"/>
            </w:pPr>
            <w:r>
              <w:rPr>
                <w:sz w:val="15"/>
              </w:rPr>
              <w:t>10.95</w:t>
            </w:r>
          </w:p>
        </w:tc>
        <w:tc>
          <w:tcPr>
            <w:tcW w:w="1020" w:type="dxa"/>
            <w:tcBorders>
              <w:top w:val="single" w:sz="3" w:space="0" w:color="D0D7DE"/>
              <w:left w:val="single" w:sz="3" w:space="0" w:color="D0D7DE"/>
              <w:bottom w:val="single" w:sz="3" w:space="0" w:color="D0D7DE"/>
              <w:right w:val="single" w:sz="3" w:space="0" w:color="D0D7DE"/>
            </w:tcBorders>
            <w:shd w:val="clear" w:color="auto" w:fill="FFFFFF"/>
            <w:vAlign w:val="center"/>
          </w:tcPr>
          <w:p w14:paraId="4CDD2E80" w14:textId="77777777" w:rsidR="008F088D" w:rsidRDefault="00000000">
            <w:pPr>
              <w:spacing w:after="0" w:line="259" w:lineRule="auto"/>
              <w:ind w:left="0" w:firstLine="0"/>
            </w:pPr>
            <w:r>
              <w:rPr>
                <w:sz w:val="15"/>
              </w:rPr>
              <w:t>27.54</w:t>
            </w:r>
          </w:p>
        </w:tc>
        <w:tc>
          <w:tcPr>
            <w:tcW w:w="1020" w:type="dxa"/>
            <w:tcBorders>
              <w:top w:val="single" w:sz="3" w:space="0" w:color="D0D7DE"/>
              <w:left w:val="single" w:sz="3" w:space="0" w:color="D0D7DE"/>
              <w:bottom w:val="single" w:sz="3" w:space="0" w:color="D0D7DE"/>
              <w:right w:val="single" w:sz="3" w:space="0" w:color="D0D7DE"/>
            </w:tcBorders>
            <w:shd w:val="clear" w:color="auto" w:fill="FFFFFF"/>
            <w:vAlign w:val="center"/>
          </w:tcPr>
          <w:p w14:paraId="5C4DBE6A" w14:textId="77777777" w:rsidR="008F088D" w:rsidRDefault="00000000">
            <w:pPr>
              <w:spacing w:after="0" w:line="259" w:lineRule="auto"/>
              <w:ind w:left="0" w:firstLine="0"/>
            </w:pPr>
            <w:r>
              <w:rPr>
                <w:sz w:val="15"/>
              </w:rPr>
              <w:t>-29.85</w:t>
            </w:r>
          </w:p>
        </w:tc>
      </w:tr>
      <w:tr w:rsidR="008F088D" w14:paraId="6124C6EF" w14:textId="77777777">
        <w:trPr>
          <w:trHeight w:val="400"/>
        </w:trPr>
        <w:tc>
          <w:tcPr>
            <w:tcW w:w="3572" w:type="dxa"/>
            <w:tcBorders>
              <w:top w:val="single" w:sz="3" w:space="0" w:color="D0D7DE"/>
              <w:left w:val="single" w:sz="3" w:space="0" w:color="D0D7DE"/>
              <w:bottom w:val="single" w:sz="3" w:space="0" w:color="D0D7DE"/>
              <w:right w:val="single" w:sz="3" w:space="0" w:color="D0D7DE"/>
            </w:tcBorders>
            <w:shd w:val="clear" w:color="auto" w:fill="F6F8FA"/>
            <w:vAlign w:val="center"/>
          </w:tcPr>
          <w:p w14:paraId="5894A412" w14:textId="77777777" w:rsidR="008F088D" w:rsidRDefault="00000000">
            <w:pPr>
              <w:spacing w:after="0" w:line="259" w:lineRule="auto"/>
              <w:ind w:left="0" w:firstLine="0"/>
            </w:pPr>
            <w:r>
              <w:rPr>
                <w:sz w:val="15"/>
              </w:rPr>
              <w:t>ABSL ELSS Fund</w:t>
            </w:r>
          </w:p>
        </w:tc>
        <w:tc>
          <w:tcPr>
            <w:tcW w:w="1020" w:type="dxa"/>
            <w:tcBorders>
              <w:top w:val="single" w:sz="3" w:space="0" w:color="D0D7DE"/>
              <w:left w:val="single" w:sz="3" w:space="0" w:color="D0D7DE"/>
              <w:bottom w:val="single" w:sz="3" w:space="0" w:color="D0D7DE"/>
              <w:right w:val="single" w:sz="3" w:space="0" w:color="D0D7DE"/>
            </w:tcBorders>
            <w:shd w:val="clear" w:color="auto" w:fill="F6F8FA"/>
            <w:vAlign w:val="center"/>
          </w:tcPr>
          <w:p w14:paraId="59673B80" w14:textId="77777777" w:rsidR="008F088D" w:rsidRDefault="00000000">
            <w:pPr>
              <w:spacing w:after="0" w:line="259" w:lineRule="auto"/>
              <w:ind w:left="0" w:firstLine="0"/>
            </w:pPr>
            <w:r>
              <w:rPr>
                <w:sz w:val="15"/>
              </w:rPr>
              <w:t>69.9</w:t>
            </w:r>
          </w:p>
        </w:tc>
        <w:tc>
          <w:tcPr>
            <w:tcW w:w="1020" w:type="dxa"/>
            <w:tcBorders>
              <w:top w:val="single" w:sz="3" w:space="0" w:color="D0D7DE"/>
              <w:left w:val="single" w:sz="3" w:space="0" w:color="D0D7DE"/>
              <w:bottom w:val="single" w:sz="3" w:space="0" w:color="D0D7DE"/>
              <w:right w:val="single" w:sz="3" w:space="0" w:color="D0D7DE"/>
            </w:tcBorders>
            <w:shd w:val="clear" w:color="auto" w:fill="F6F8FA"/>
            <w:vAlign w:val="center"/>
          </w:tcPr>
          <w:p w14:paraId="68628C18" w14:textId="77777777" w:rsidR="008F088D" w:rsidRDefault="00000000">
            <w:pPr>
              <w:spacing w:after="0" w:line="259" w:lineRule="auto"/>
              <w:ind w:left="0" w:firstLine="0"/>
            </w:pPr>
            <w:r>
              <w:rPr>
                <w:sz w:val="15"/>
              </w:rPr>
              <w:t>1.028</w:t>
            </w:r>
          </w:p>
        </w:tc>
        <w:tc>
          <w:tcPr>
            <w:tcW w:w="1134" w:type="dxa"/>
            <w:tcBorders>
              <w:top w:val="single" w:sz="3" w:space="0" w:color="D0D7DE"/>
              <w:left w:val="single" w:sz="3" w:space="0" w:color="D0D7DE"/>
              <w:bottom w:val="single" w:sz="3" w:space="0" w:color="D0D7DE"/>
              <w:right w:val="single" w:sz="3" w:space="0" w:color="D0D7DE"/>
            </w:tcBorders>
            <w:shd w:val="clear" w:color="auto" w:fill="F6F8FA"/>
            <w:vAlign w:val="center"/>
          </w:tcPr>
          <w:p w14:paraId="27A55275" w14:textId="77777777" w:rsidR="008F088D" w:rsidRDefault="00000000">
            <w:pPr>
              <w:spacing w:after="0" w:line="259" w:lineRule="auto"/>
              <w:ind w:left="0" w:firstLine="0"/>
            </w:pPr>
            <w:r>
              <w:rPr>
                <w:sz w:val="15"/>
              </w:rPr>
              <w:t>23.06</w:t>
            </w:r>
          </w:p>
        </w:tc>
        <w:tc>
          <w:tcPr>
            <w:tcW w:w="1020" w:type="dxa"/>
            <w:tcBorders>
              <w:top w:val="single" w:sz="3" w:space="0" w:color="D0D7DE"/>
              <w:left w:val="single" w:sz="3" w:space="0" w:color="D0D7DE"/>
              <w:bottom w:val="single" w:sz="3" w:space="0" w:color="D0D7DE"/>
              <w:right w:val="single" w:sz="3" w:space="0" w:color="D0D7DE"/>
            </w:tcBorders>
            <w:shd w:val="clear" w:color="auto" w:fill="F6F8FA"/>
            <w:vAlign w:val="center"/>
          </w:tcPr>
          <w:p w14:paraId="0C590EE6" w14:textId="77777777" w:rsidR="008F088D" w:rsidRDefault="00000000">
            <w:pPr>
              <w:spacing w:after="0" w:line="259" w:lineRule="auto"/>
              <w:ind w:left="0" w:firstLine="0"/>
            </w:pPr>
            <w:r>
              <w:rPr>
                <w:sz w:val="15"/>
              </w:rPr>
              <w:t>23.0</w:t>
            </w:r>
          </w:p>
        </w:tc>
        <w:tc>
          <w:tcPr>
            <w:tcW w:w="1020" w:type="dxa"/>
            <w:tcBorders>
              <w:top w:val="single" w:sz="3" w:space="0" w:color="D0D7DE"/>
              <w:left w:val="single" w:sz="3" w:space="0" w:color="D0D7DE"/>
              <w:bottom w:val="single" w:sz="3" w:space="0" w:color="D0D7DE"/>
              <w:right w:val="single" w:sz="3" w:space="0" w:color="D0D7DE"/>
            </w:tcBorders>
            <w:shd w:val="clear" w:color="auto" w:fill="F6F8FA"/>
            <w:vAlign w:val="center"/>
          </w:tcPr>
          <w:p w14:paraId="4F9D5077" w14:textId="77777777" w:rsidR="008F088D" w:rsidRDefault="00000000">
            <w:pPr>
              <w:spacing w:after="0" w:line="259" w:lineRule="auto"/>
              <w:ind w:left="0" w:firstLine="0"/>
            </w:pPr>
            <w:r>
              <w:rPr>
                <w:sz w:val="15"/>
              </w:rPr>
              <w:t>-22.97</w:t>
            </w:r>
          </w:p>
        </w:tc>
      </w:tr>
      <w:tr w:rsidR="008F088D" w14:paraId="5D5854F5" w14:textId="77777777">
        <w:trPr>
          <w:trHeight w:val="400"/>
        </w:trPr>
        <w:tc>
          <w:tcPr>
            <w:tcW w:w="3572" w:type="dxa"/>
            <w:tcBorders>
              <w:top w:val="single" w:sz="3" w:space="0" w:color="D0D7DE"/>
              <w:left w:val="single" w:sz="3" w:space="0" w:color="D0D7DE"/>
              <w:bottom w:val="single" w:sz="3" w:space="0" w:color="D0D7DE"/>
              <w:right w:val="single" w:sz="3" w:space="0" w:color="D0D7DE"/>
            </w:tcBorders>
            <w:shd w:val="clear" w:color="auto" w:fill="FFFFFF"/>
            <w:vAlign w:val="center"/>
          </w:tcPr>
          <w:p w14:paraId="5AF0B9A1" w14:textId="77777777" w:rsidR="008F088D" w:rsidRDefault="00000000">
            <w:pPr>
              <w:spacing w:after="0" w:line="259" w:lineRule="auto"/>
              <w:ind w:left="0" w:firstLine="0"/>
            </w:pPr>
            <w:r>
              <w:rPr>
                <w:sz w:val="15"/>
              </w:rPr>
              <w:t>Axis Gilt Fund</w:t>
            </w:r>
          </w:p>
        </w:tc>
        <w:tc>
          <w:tcPr>
            <w:tcW w:w="1020" w:type="dxa"/>
            <w:tcBorders>
              <w:top w:val="single" w:sz="3" w:space="0" w:color="D0D7DE"/>
              <w:left w:val="single" w:sz="3" w:space="0" w:color="D0D7DE"/>
              <w:bottom w:val="single" w:sz="3" w:space="0" w:color="D0D7DE"/>
              <w:right w:val="single" w:sz="3" w:space="0" w:color="D0D7DE"/>
            </w:tcBorders>
            <w:shd w:val="clear" w:color="auto" w:fill="FFFFFF"/>
            <w:vAlign w:val="center"/>
          </w:tcPr>
          <w:p w14:paraId="600E4A86" w14:textId="77777777" w:rsidR="008F088D" w:rsidRDefault="00000000">
            <w:pPr>
              <w:spacing w:after="0" w:line="259" w:lineRule="auto"/>
              <w:ind w:left="0" w:firstLine="0"/>
            </w:pPr>
            <w:r>
              <w:rPr>
                <w:sz w:val="15"/>
              </w:rPr>
              <w:t>69.1</w:t>
            </w:r>
          </w:p>
        </w:tc>
        <w:tc>
          <w:tcPr>
            <w:tcW w:w="1020" w:type="dxa"/>
            <w:tcBorders>
              <w:top w:val="single" w:sz="3" w:space="0" w:color="D0D7DE"/>
              <w:left w:val="single" w:sz="3" w:space="0" w:color="D0D7DE"/>
              <w:bottom w:val="single" w:sz="3" w:space="0" w:color="D0D7DE"/>
              <w:right w:val="single" w:sz="3" w:space="0" w:color="D0D7DE"/>
            </w:tcBorders>
            <w:shd w:val="clear" w:color="auto" w:fill="FFFFFF"/>
            <w:vAlign w:val="center"/>
          </w:tcPr>
          <w:p w14:paraId="1F4DEC3F" w14:textId="77777777" w:rsidR="008F088D" w:rsidRDefault="00000000">
            <w:pPr>
              <w:spacing w:after="0" w:line="259" w:lineRule="auto"/>
              <w:ind w:left="0" w:firstLine="0"/>
            </w:pPr>
            <w:r>
              <w:rPr>
                <w:sz w:val="15"/>
              </w:rPr>
              <w:t>1.353</w:t>
            </w:r>
          </w:p>
        </w:tc>
        <w:tc>
          <w:tcPr>
            <w:tcW w:w="1134" w:type="dxa"/>
            <w:tcBorders>
              <w:top w:val="single" w:sz="3" w:space="0" w:color="D0D7DE"/>
              <w:left w:val="single" w:sz="3" w:space="0" w:color="D0D7DE"/>
              <w:bottom w:val="single" w:sz="3" w:space="0" w:color="D0D7DE"/>
              <w:right w:val="single" w:sz="3" w:space="0" w:color="D0D7DE"/>
            </w:tcBorders>
            <w:shd w:val="clear" w:color="auto" w:fill="FFFFFF"/>
            <w:vAlign w:val="center"/>
          </w:tcPr>
          <w:p w14:paraId="0B6CE024" w14:textId="77777777" w:rsidR="008F088D" w:rsidRDefault="00000000">
            <w:pPr>
              <w:spacing w:after="0" w:line="259" w:lineRule="auto"/>
              <w:ind w:left="0" w:firstLine="0"/>
            </w:pPr>
            <w:r>
              <w:rPr>
                <w:sz w:val="15"/>
              </w:rPr>
              <w:t>9.45</w:t>
            </w:r>
          </w:p>
        </w:tc>
        <w:tc>
          <w:tcPr>
            <w:tcW w:w="1020" w:type="dxa"/>
            <w:tcBorders>
              <w:top w:val="single" w:sz="3" w:space="0" w:color="D0D7DE"/>
              <w:left w:val="single" w:sz="3" w:space="0" w:color="D0D7DE"/>
              <w:bottom w:val="single" w:sz="3" w:space="0" w:color="D0D7DE"/>
              <w:right w:val="single" w:sz="3" w:space="0" w:color="D0D7DE"/>
            </w:tcBorders>
            <w:shd w:val="clear" w:color="auto" w:fill="FFFFFF"/>
            <w:vAlign w:val="center"/>
          </w:tcPr>
          <w:p w14:paraId="6ADF81D8" w14:textId="77777777" w:rsidR="008F088D" w:rsidRDefault="00000000">
            <w:pPr>
              <w:spacing w:after="0" w:line="259" w:lineRule="auto"/>
              <w:ind w:left="0" w:firstLine="0"/>
            </w:pPr>
            <w:r>
              <w:rPr>
                <w:sz w:val="15"/>
              </w:rPr>
              <w:t>10.07</w:t>
            </w:r>
          </w:p>
        </w:tc>
        <w:tc>
          <w:tcPr>
            <w:tcW w:w="1020" w:type="dxa"/>
            <w:tcBorders>
              <w:top w:val="single" w:sz="3" w:space="0" w:color="D0D7DE"/>
              <w:left w:val="single" w:sz="3" w:space="0" w:color="D0D7DE"/>
              <w:bottom w:val="single" w:sz="3" w:space="0" w:color="D0D7DE"/>
              <w:right w:val="single" w:sz="3" w:space="0" w:color="D0D7DE"/>
            </w:tcBorders>
            <w:shd w:val="clear" w:color="auto" w:fill="FFFFFF"/>
            <w:vAlign w:val="center"/>
          </w:tcPr>
          <w:p w14:paraId="1B852139" w14:textId="77777777" w:rsidR="008F088D" w:rsidRDefault="00000000">
            <w:pPr>
              <w:spacing w:after="0" w:line="259" w:lineRule="auto"/>
              <w:ind w:left="0" w:firstLine="0"/>
            </w:pPr>
            <w:r>
              <w:rPr>
                <w:sz w:val="15"/>
              </w:rPr>
              <w:t>-1.66</w:t>
            </w:r>
          </w:p>
        </w:tc>
      </w:tr>
      <w:tr w:rsidR="008F088D" w14:paraId="39BA22F5" w14:textId="77777777">
        <w:trPr>
          <w:trHeight w:val="400"/>
        </w:trPr>
        <w:tc>
          <w:tcPr>
            <w:tcW w:w="3572" w:type="dxa"/>
            <w:tcBorders>
              <w:top w:val="single" w:sz="3" w:space="0" w:color="D0D7DE"/>
              <w:left w:val="single" w:sz="3" w:space="0" w:color="D0D7DE"/>
              <w:bottom w:val="single" w:sz="3" w:space="0" w:color="D0D7DE"/>
              <w:right w:val="single" w:sz="3" w:space="0" w:color="D0D7DE"/>
            </w:tcBorders>
            <w:shd w:val="clear" w:color="auto" w:fill="F6F8FA"/>
            <w:vAlign w:val="center"/>
          </w:tcPr>
          <w:p w14:paraId="20C01F43" w14:textId="77777777" w:rsidR="008F088D" w:rsidRDefault="00000000">
            <w:pPr>
              <w:spacing w:after="0" w:line="259" w:lineRule="auto"/>
              <w:ind w:left="0" w:firstLine="0"/>
            </w:pPr>
            <w:r>
              <w:rPr>
                <w:sz w:val="15"/>
              </w:rPr>
              <w:t>Kotak Mahindra Small Cap Fund</w:t>
            </w:r>
          </w:p>
        </w:tc>
        <w:tc>
          <w:tcPr>
            <w:tcW w:w="1020" w:type="dxa"/>
            <w:tcBorders>
              <w:top w:val="single" w:sz="3" w:space="0" w:color="D0D7DE"/>
              <w:left w:val="single" w:sz="3" w:space="0" w:color="D0D7DE"/>
              <w:bottom w:val="single" w:sz="3" w:space="0" w:color="D0D7DE"/>
              <w:right w:val="single" w:sz="3" w:space="0" w:color="D0D7DE"/>
            </w:tcBorders>
            <w:shd w:val="clear" w:color="auto" w:fill="F6F8FA"/>
            <w:vAlign w:val="center"/>
          </w:tcPr>
          <w:p w14:paraId="057C022B" w14:textId="77777777" w:rsidR="008F088D" w:rsidRDefault="00000000">
            <w:pPr>
              <w:spacing w:after="0" w:line="259" w:lineRule="auto"/>
              <w:ind w:left="0" w:firstLine="0"/>
            </w:pPr>
            <w:r>
              <w:rPr>
                <w:sz w:val="15"/>
              </w:rPr>
              <w:t>69.0</w:t>
            </w:r>
          </w:p>
        </w:tc>
        <w:tc>
          <w:tcPr>
            <w:tcW w:w="1020" w:type="dxa"/>
            <w:tcBorders>
              <w:top w:val="single" w:sz="3" w:space="0" w:color="D0D7DE"/>
              <w:left w:val="single" w:sz="3" w:space="0" w:color="D0D7DE"/>
              <w:bottom w:val="single" w:sz="3" w:space="0" w:color="D0D7DE"/>
              <w:right w:val="single" w:sz="3" w:space="0" w:color="D0D7DE"/>
            </w:tcBorders>
            <w:shd w:val="clear" w:color="auto" w:fill="F6F8FA"/>
            <w:vAlign w:val="center"/>
          </w:tcPr>
          <w:p w14:paraId="016BE146" w14:textId="77777777" w:rsidR="008F088D" w:rsidRDefault="00000000">
            <w:pPr>
              <w:spacing w:after="0" w:line="259" w:lineRule="auto"/>
              <w:ind w:left="0" w:firstLine="0"/>
            </w:pPr>
            <w:r>
              <w:rPr>
                <w:sz w:val="15"/>
              </w:rPr>
              <w:t>0.834</w:t>
            </w:r>
          </w:p>
        </w:tc>
        <w:tc>
          <w:tcPr>
            <w:tcW w:w="1134" w:type="dxa"/>
            <w:tcBorders>
              <w:top w:val="single" w:sz="3" w:space="0" w:color="D0D7DE"/>
              <w:left w:val="single" w:sz="3" w:space="0" w:color="D0D7DE"/>
              <w:bottom w:val="single" w:sz="3" w:space="0" w:color="D0D7DE"/>
              <w:right w:val="single" w:sz="3" w:space="0" w:color="D0D7DE"/>
            </w:tcBorders>
            <w:shd w:val="clear" w:color="auto" w:fill="F6F8FA"/>
            <w:vAlign w:val="center"/>
          </w:tcPr>
          <w:p w14:paraId="22ADF001" w14:textId="77777777" w:rsidR="008F088D" w:rsidRDefault="00000000">
            <w:pPr>
              <w:spacing w:after="0" w:line="259" w:lineRule="auto"/>
              <w:ind w:left="0" w:firstLine="0"/>
            </w:pPr>
            <w:r>
              <w:rPr>
                <w:sz w:val="15"/>
              </w:rPr>
              <w:t>34.54</w:t>
            </w:r>
          </w:p>
        </w:tc>
        <w:tc>
          <w:tcPr>
            <w:tcW w:w="1020" w:type="dxa"/>
            <w:tcBorders>
              <w:top w:val="single" w:sz="3" w:space="0" w:color="D0D7DE"/>
              <w:left w:val="single" w:sz="3" w:space="0" w:color="D0D7DE"/>
              <w:bottom w:val="single" w:sz="3" w:space="0" w:color="D0D7DE"/>
              <w:right w:val="single" w:sz="3" w:space="0" w:color="D0D7DE"/>
            </w:tcBorders>
            <w:shd w:val="clear" w:color="auto" w:fill="F6F8FA"/>
            <w:vAlign w:val="center"/>
          </w:tcPr>
          <w:p w14:paraId="05DD2B56" w14:textId="77777777" w:rsidR="008F088D" w:rsidRDefault="00000000">
            <w:pPr>
              <w:spacing w:after="0" w:line="259" w:lineRule="auto"/>
              <w:ind w:left="0" w:firstLine="0"/>
            </w:pPr>
            <w:r>
              <w:rPr>
                <w:sz w:val="15"/>
              </w:rPr>
              <w:t>23.84</w:t>
            </w:r>
          </w:p>
        </w:tc>
        <w:tc>
          <w:tcPr>
            <w:tcW w:w="1020" w:type="dxa"/>
            <w:tcBorders>
              <w:top w:val="single" w:sz="3" w:space="0" w:color="D0D7DE"/>
              <w:left w:val="single" w:sz="3" w:space="0" w:color="D0D7DE"/>
              <w:bottom w:val="single" w:sz="3" w:space="0" w:color="D0D7DE"/>
              <w:right w:val="single" w:sz="3" w:space="0" w:color="D0D7DE"/>
            </w:tcBorders>
            <w:shd w:val="clear" w:color="auto" w:fill="F6F8FA"/>
            <w:vAlign w:val="center"/>
          </w:tcPr>
          <w:p w14:paraId="10D44079" w14:textId="77777777" w:rsidR="008F088D" w:rsidRDefault="00000000">
            <w:pPr>
              <w:spacing w:after="0" w:line="259" w:lineRule="auto"/>
              <w:ind w:left="0" w:firstLine="0"/>
            </w:pPr>
            <w:r>
              <w:rPr>
                <w:sz w:val="15"/>
              </w:rPr>
              <w:t>-18.4</w:t>
            </w:r>
          </w:p>
        </w:tc>
      </w:tr>
    </w:tbl>
    <w:p w14:paraId="34DBEDA7" w14:textId="77777777" w:rsidR="008F088D" w:rsidRDefault="00000000">
      <w:pPr>
        <w:spacing w:after="336" w:line="259" w:lineRule="auto"/>
        <w:ind w:left="277" w:firstLine="0"/>
      </w:pPr>
      <w:r>
        <w:rPr>
          <w:noProof/>
        </w:rPr>
        <w:drawing>
          <wp:inline distT="0" distB="0" distL="0" distR="0" wp14:anchorId="73C320AD" wp14:editId="1FC9785F">
            <wp:extent cx="5760000" cy="3141819"/>
            <wp:effectExtent l="0" t="0" r="0" b="0"/>
            <wp:docPr id="392" name="Picture 392"/>
            <wp:cNvGraphicFramePr/>
            <a:graphic xmlns:a="http://schemas.openxmlformats.org/drawingml/2006/main">
              <a:graphicData uri="http://schemas.openxmlformats.org/drawingml/2006/picture">
                <pic:pic xmlns:pic="http://schemas.openxmlformats.org/drawingml/2006/picture">
                  <pic:nvPicPr>
                    <pic:cNvPr id="392" name="Picture 392"/>
                    <pic:cNvPicPr/>
                  </pic:nvPicPr>
                  <pic:blipFill>
                    <a:blip r:embed="rId9"/>
                    <a:stretch>
                      <a:fillRect/>
                    </a:stretch>
                  </pic:blipFill>
                  <pic:spPr>
                    <a:xfrm>
                      <a:off x="0" y="0"/>
                      <a:ext cx="5760000" cy="3141819"/>
                    </a:xfrm>
                    <a:prstGeom prst="rect">
                      <a:avLst/>
                    </a:prstGeom>
                  </pic:spPr>
                </pic:pic>
              </a:graphicData>
            </a:graphic>
          </wp:inline>
        </w:drawing>
      </w:r>
    </w:p>
    <w:p w14:paraId="7438FD53" w14:textId="77777777" w:rsidR="008F088D" w:rsidRDefault="00000000">
      <w:pPr>
        <w:spacing w:after="3" w:line="292" w:lineRule="auto"/>
        <w:ind w:left="-5"/>
      </w:pPr>
      <w:r>
        <w:rPr>
          <w:i/>
        </w:rPr>
        <w:t xml:space="preserve">The top 5 scorecard funds outpace both Nifty 50 and Nifty 100 over the trailing 3 years on a rebased basis, though tracking error for these </w:t>
      </w:r>
      <w:proofErr w:type="gramStart"/>
      <w:r>
        <w:rPr>
          <w:i/>
        </w:rPr>
        <w:t>funds</w:t>
      </w:r>
      <w:proofErr w:type="gramEnd"/>
      <w:r>
        <w:rPr>
          <w:i/>
        </w:rPr>
        <w:t xml:space="preserve"> ranges from roughly 18% to 25% </w:t>
      </w:r>
      <w:proofErr w:type="spellStart"/>
      <w:r>
        <w:rPr>
          <w:i/>
        </w:rPr>
        <w:t>annualised</w:t>
      </w:r>
      <w:proofErr w:type="spellEnd"/>
      <w:r>
        <w:rPr>
          <w:i/>
        </w:rPr>
        <w:t xml:space="preserve"> — reflecting their active, higher-conviction mandates versus a passive index.</w:t>
      </w:r>
    </w:p>
    <w:p w14:paraId="495B5B4D" w14:textId="77777777" w:rsidR="008F088D" w:rsidRDefault="00000000">
      <w:pPr>
        <w:pStyle w:val="Heading1"/>
        <w:spacing w:after="153"/>
        <w:ind w:left="385" w:hanging="400"/>
      </w:pPr>
      <w:r>
        <w:t>Advanced Analytics</w:t>
      </w:r>
    </w:p>
    <w:p w14:paraId="50CA8671" w14:textId="77777777" w:rsidR="008F088D" w:rsidRDefault="00000000">
      <w:pPr>
        <w:pStyle w:val="Heading2"/>
        <w:spacing w:after="92"/>
        <w:ind w:left="-5"/>
      </w:pPr>
      <w:r>
        <w:t>Value at Risk &amp; Sector Concentration</w:t>
      </w:r>
    </w:p>
    <w:p w14:paraId="0494855B" w14:textId="77777777" w:rsidR="008F088D" w:rsidRDefault="00000000">
      <w:pPr>
        <w:spacing w:after="0"/>
        <w:ind w:left="-5"/>
      </w:pPr>
      <w:r>
        <w:t xml:space="preserve">Historical </w:t>
      </w:r>
      <w:proofErr w:type="spellStart"/>
      <w:r>
        <w:t>VaR</w:t>
      </w:r>
      <w:proofErr w:type="spellEnd"/>
      <w:r>
        <w:t xml:space="preserve"> (95%) and CVaR were computed per fund from the daily return distribution (</w:t>
      </w:r>
      <w:r>
        <w:rPr>
          <w:b/>
        </w:rPr>
        <w:t>scripts/advanced_analytics.py</w:t>
      </w:r>
      <w:r>
        <w:t>). Small Cap schemes carry the most negative tail risk:</w:t>
      </w:r>
    </w:p>
    <w:tbl>
      <w:tblPr>
        <w:tblStyle w:val="TableGrid"/>
        <w:tblW w:w="9071" w:type="dxa"/>
        <w:tblInd w:w="277" w:type="dxa"/>
        <w:tblCellMar>
          <w:left w:w="120" w:type="dxa"/>
          <w:right w:w="115" w:type="dxa"/>
        </w:tblCellMar>
        <w:tblLook w:val="04A0" w:firstRow="1" w:lastRow="0" w:firstColumn="1" w:lastColumn="0" w:noHBand="0" w:noVBand="1"/>
      </w:tblPr>
      <w:tblGrid>
        <w:gridCol w:w="567"/>
        <w:gridCol w:w="3968"/>
        <w:gridCol w:w="1701"/>
        <w:gridCol w:w="567"/>
        <w:gridCol w:w="1701"/>
        <w:gridCol w:w="567"/>
      </w:tblGrid>
      <w:tr w:rsidR="008F088D" w14:paraId="4721790E" w14:textId="77777777">
        <w:trPr>
          <w:trHeight w:val="400"/>
        </w:trPr>
        <w:tc>
          <w:tcPr>
            <w:tcW w:w="4535" w:type="dxa"/>
            <w:gridSpan w:val="2"/>
            <w:tcBorders>
              <w:top w:val="single" w:sz="3" w:space="0" w:color="D0D7DE"/>
              <w:left w:val="single" w:sz="3" w:space="0" w:color="D0D7DE"/>
              <w:bottom w:val="single" w:sz="3" w:space="0" w:color="D0D7DE"/>
              <w:right w:val="single" w:sz="3" w:space="0" w:color="D0D7DE"/>
            </w:tcBorders>
            <w:shd w:val="clear" w:color="auto" w:fill="0D1117"/>
            <w:vAlign w:val="center"/>
          </w:tcPr>
          <w:p w14:paraId="50CCA18A" w14:textId="77777777" w:rsidR="008F088D" w:rsidRDefault="00000000">
            <w:pPr>
              <w:spacing w:after="0" w:line="259" w:lineRule="auto"/>
              <w:ind w:left="0" w:firstLine="0"/>
            </w:pPr>
            <w:r>
              <w:rPr>
                <w:color w:val="FFFFFF"/>
                <w:sz w:val="16"/>
              </w:rPr>
              <w:t>Scheme (highest tail risk)</w:t>
            </w:r>
          </w:p>
        </w:tc>
        <w:tc>
          <w:tcPr>
            <w:tcW w:w="2268" w:type="dxa"/>
            <w:gridSpan w:val="2"/>
            <w:tcBorders>
              <w:top w:val="single" w:sz="3" w:space="0" w:color="D0D7DE"/>
              <w:left w:val="single" w:sz="3" w:space="0" w:color="D0D7DE"/>
              <w:bottom w:val="single" w:sz="3" w:space="0" w:color="D0D7DE"/>
              <w:right w:val="single" w:sz="3" w:space="0" w:color="D0D7DE"/>
            </w:tcBorders>
            <w:shd w:val="clear" w:color="auto" w:fill="0D1117"/>
            <w:vAlign w:val="center"/>
          </w:tcPr>
          <w:p w14:paraId="555E0EC9" w14:textId="77777777" w:rsidR="008F088D" w:rsidRDefault="00000000">
            <w:pPr>
              <w:spacing w:after="0" w:line="259" w:lineRule="auto"/>
              <w:ind w:left="0" w:firstLine="0"/>
            </w:pPr>
            <w:proofErr w:type="spellStart"/>
            <w:r>
              <w:rPr>
                <w:color w:val="FFFFFF"/>
                <w:sz w:val="16"/>
              </w:rPr>
              <w:t>VaR</w:t>
            </w:r>
            <w:proofErr w:type="spellEnd"/>
            <w:r>
              <w:rPr>
                <w:color w:val="FFFFFF"/>
                <w:sz w:val="16"/>
              </w:rPr>
              <w:t xml:space="preserve"> 95% (daily %)</w:t>
            </w:r>
          </w:p>
        </w:tc>
        <w:tc>
          <w:tcPr>
            <w:tcW w:w="2268" w:type="dxa"/>
            <w:gridSpan w:val="2"/>
            <w:tcBorders>
              <w:top w:val="single" w:sz="3" w:space="0" w:color="D0D7DE"/>
              <w:left w:val="single" w:sz="3" w:space="0" w:color="D0D7DE"/>
              <w:bottom w:val="single" w:sz="3" w:space="0" w:color="D0D7DE"/>
              <w:right w:val="single" w:sz="3" w:space="0" w:color="D0D7DE"/>
            </w:tcBorders>
            <w:shd w:val="clear" w:color="auto" w:fill="0D1117"/>
            <w:vAlign w:val="center"/>
          </w:tcPr>
          <w:p w14:paraId="146A2531" w14:textId="77777777" w:rsidR="008F088D" w:rsidRDefault="00000000">
            <w:pPr>
              <w:spacing w:after="0" w:line="259" w:lineRule="auto"/>
              <w:ind w:left="0" w:firstLine="0"/>
            </w:pPr>
            <w:r>
              <w:rPr>
                <w:color w:val="FFFFFF"/>
                <w:sz w:val="16"/>
              </w:rPr>
              <w:t>CVaR 95% (daily %)</w:t>
            </w:r>
          </w:p>
        </w:tc>
      </w:tr>
      <w:tr w:rsidR="008F088D" w14:paraId="630728DE" w14:textId="77777777">
        <w:trPr>
          <w:trHeight w:val="400"/>
        </w:trPr>
        <w:tc>
          <w:tcPr>
            <w:tcW w:w="4535" w:type="dxa"/>
            <w:gridSpan w:val="2"/>
            <w:tcBorders>
              <w:top w:val="single" w:sz="3" w:space="0" w:color="D0D7DE"/>
              <w:left w:val="single" w:sz="3" w:space="0" w:color="D0D7DE"/>
              <w:bottom w:val="single" w:sz="3" w:space="0" w:color="D0D7DE"/>
              <w:right w:val="single" w:sz="3" w:space="0" w:color="D0D7DE"/>
            </w:tcBorders>
            <w:shd w:val="clear" w:color="auto" w:fill="FFFFFF"/>
            <w:vAlign w:val="center"/>
          </w:tcPr>
          <w:p w14:paraId="6A2DE706" w14:textId="77777777" w:rsidR="008F088D" w:rsidRDefault="00000000">
            <w:pPr>
              <w:spacing w:after="0" w:line="259" w:lineRule="auto"/>
              <w:ind w:left="0" w:firstLine="0"/>
            </w:pPr>
            <w:r>
              <w:rPr>
                <w:sz w:val="16"/>
              </w:rPr>
              <w:t>UTI Small Cap Fund</w:t>
            </w:r>
          </w:p>
        </w:tc>
        <w:tc>
          <w:tcPr>
            <w:tcW w:w="2268" w:type="dxa"/>
            <w:gridSpan w:val="2"/>
            <w:tcBorders>
              <w:top w:val="single" w:sz="3" w:space="0" w:color="D0D7DE"/>
              <w:left w:val="single" w:sz="3" w:space="0" w:color="D0D7DE"/>
              <w:bottom w:val="single" w:sz="3" w:space="0" w:color="D0D7DE"/>
              <w:right w:val="single" w:sz="3" w:space="0" w:color="D0D7DE"/>
            </w:tcBorders>
            <w:shd w:val="clear" w:color="auto" w:fill="FFFFFF"/>
            <w:vAlign w:val="center"/>
          </w:tcPr>
          <w:p w14:paraId="7E04C251" w14:textId="77777777" w:rsidR="008F088D" w:rsidRDefault="00000000">
            <w:pPr>
              <w:spacing w:after="0" w:line="259" w:lineRule="auto"/>
              <w:ind w:left="0" w:firstLine="0"/>
            </w:pPr>
            <w:r>
              <w:rPr>
                <w:sz w:val="16"/>
              </w:rPr>
              <w:t>-2.525</w:t>
            </w:r>
          </w:p>
        </w:tc>
        <w:tc>
          <w:tcPr>
            <w:tcW w:w="2268" w:type="dxa"/>
            <w:gridSpan w:val="2"/>
            <w:tcBorders>
              <w:top w:val="single" w:sz="3" w:space="0" w:color="D0D7DE"/>
              <w:left w:val="single" w:sz="3" w:space="0" w:color="D0D7DE"/>
              <w:bottom w:val="single" w:sz="3" w:space="0" w:color="D0D7DE"/>
              <w:right w:val="single" w:sz="3" w:space="0" w:color="D0D7DE"/>
            </w:tcBorders>
            <w:shd w:val="clear" w:color="auto" w:fill="FFFFFF"/>
            <w:vAlign w:val="center"/>
          </w:tcPr>
          <w:p w14:paraId="179FA845" w14:textId="77777777" w:rsidR="008F088D" w:rsidRDefault="00000000">
            <w:pPr>
              <w:spacing w:after="0" w:line="259" w:lineRule="auto"/>
              <w:ind w:left="0" w:firstLine="0"/>
            </w:pPr>
            <w:r>
              <w:rPr>
                <w:sz w:val="16"/>
              </w:rPr>
              <w:t>-3.17</w:t>
            </w:r>
          </w:p>
        </w:tc>
      </w:tr>
      <w:tr w:rsidR="008F088D" w14:paraId="27AB1324" w14:textId="77777777">
        <w:trPr>
          <w:trHeight w:val="400"/>
        </w:trPr>
        <w:tc>
          <w:tcPr>
            <w:tcW w:w="4535" w:type="dxa"/>
            <w:gridSpan w:val="2"/>
            <w:tcBorders>
              <w:top w:val="single" w:sz="3" w:space="0" w:color="D0D7DE"/>
              <w:left w:val="single" w:sz="3" w:space="0" w:color="D0D7DE"/>
              <w:bottom w:val="single" w:sz="3" w:space="0" w:color="D0D7DE"/>
              <w:right w:val="single" w:sz="3" w:space="0" w:color="D0D7DE"/>
            </w:tcBorders>
            <w:shd w:val="clear" w:color="auto" w:fill="F6F8FA"/>
            <w:vAlign w:val="center"/>
          </w:tcPr>
          <w:p w14:paraId="24B7C9A1" w14:textId="77777777" w:rsidR="008F088D" w:rsidRDefault="00000000">
            <w:pPr>
              <w:spacing w:after="0" w:line="259" w:lineRule="auto"/>
              <w:ind w:left="0" w:firstLine="0"/>
            </w:pPr>
            <w:r>
              <w:rPr>
                <w:sz w:val="16"/>
              </w:rPr>
              <w:t>HDFC Small Cap Fund</w:t>
            </w:r>
          </w:p>
        </w:tc>
        <w:tc>
          <w:tcPr>
            <w:tcW w:w="2268" w:type="dxa"/>
            <w:gridSpan w:val="2"/>
            <w:tcBorders>
              <w:top w:val="single" w:sz="3" w:space="0" w:color="D0D7DE"/>
              <w:left w:val="single" w:sz="3" w:space="0" w:color="D0D7DE"/>
              <w:bottom w:val="single" w:sz="3" w:space="0" w:color="D0D7DE"/>
              <w:right w:val="single" w:sz="3" w:space="0" w:color="D0D7DE"/>
            </w:tcBorders>
            <w:shd w:val="clear" w:color="auto" w:fill="F6F8FA"/>
            <w:vAlign w:val="center"/>
          </w:tcPr>
          <w:p w14:paraId="39BEFE6E" w14:textId="77777777" w:rsidR="008F088D" w:rsidRDefault="00000000">
            <w:pPr>
              <w:spacing w:after="0" w:line="259" w:lineRule="auto"/>
              <w:ind w:left="0" w:firstLine="0"/>
            </w:pPr>
            <w:r>
              <w:rPr>
                <w:sz w:val="16"/>
              </w:rPr>
              <w:t>-2.458</w:t>
            </w:r>
          </w:p>
        </w:tc>
        <w:tc>
          <w:tcPr>
            <w:tcW w:w="2268" w:type="dxa"/>
            <w:gridSpan w:val="2"/>
            <w:tcBorders>
              <w:top w:val="single" w:sz="3" w:space="0" w:color="D0D7DE"/>
              <w:left w:val="single" w:sz="3" w:space="0" w:color="D0D7DE"/>
              <w:bottom w:val="single" w:sz="3" w:space="0" w:color="D0D7DE"/>
              <w:right w:val="single" w:sz="3" w:space="0" w:color="D0D7DE"/>
            </w:tcBorders>
            <w:shd w:val="clear" w:color="auto" w:fill="F6F8FA"/>
            <w:vAlign w:val="center"/>
          </w:tcPr>
          <w:p w14:paraId="6F338CBD" w14:textId="77777777" w:rsidR="008F088D" w:rsidRDefault="00000000">
            <w:pPr>
              <w:spacing w:after="0" w:line="259" w:lineRule="auto"/>
              <w:ind w:left="0" w:firstLine="0"/>
            </w:pPr>
            <w:r>
              <w:rPr>
                <w:sz w:val="16"/>
              </w:rPr>
              <w:t>-3.083</w:t>
            </w:r>
          </w:p>
        </w:tc>
      </w:tr>
      <w:tr w:rsidR="008F088D" w14:paraId="53E585CC" w14:textId="77777777">
        <w:trPr>
          <w:trHeight w:val="400"/>
        </w:trPr>
        <w:tc>
          <w:tcPr>
            <w:tcW w:w="4535" w:type="dxa"/>
            <w:gridSpan w:val="2"/>
            <w:tcBorders>
              <w:top w:val="single" w:sz="3" w:space="0" w:color="D0D7DE"/>
              <w:left w:val="single" w:sz="3" w:space="0" w:color="D0D7DE"/>
              <w:bottom w:val="single" w:sz="3" w:space="0" w:color="D0D7DE"/>
              <w:right w:val="single" w:sz="3" w:space="0" w:color="D0D7DE"/>
            </w:tcBorders>
            <w:shd w:val="clear" w:color="auto" w:fill="FFFFFF"/>
            <w:vAlign w:val="center"/>
          </w:tcPr>
          <w:p w14:paraId="690A15E1" w14:textId="77777777" w:rsidR="008F088D" w:rsidRDefault="00000000">
            <w:pPr>
              <w:spacing w:after="0" w:line="259" w:lineRule="auto"/>
              <w:ind w:left="0" w:firstLine="0"/>
            </w:pPr>
            <w:r>
              <w:rPr>
                <w:sz w:val="16"/>
              </w:rPr>
              <w:t>SBI Small Cap Fund</w:t>
            </w:r>
          </w:p>
        </w:tc>
        <w:tc>
          <w:tcPr>
            <w:tcW w:w="2268" w:type="dxa"/>
            <w:gridSpan w:val="2"/>
            <w:tcBorders>
              <w:top w:val="single" w:sz="3" w:space="0" w:color="D0D7DE"/>
              <w:left w:val="single" w:sz="3" w:space="0" w:color="D0D7DE"/>
              <w:bottom w:val="single" w:sz="3" w:space="0" w:color="D0D7DE"/>
              <w:right w:val="single" w:sz="3" w:space="0" w:color="D0D7DE"/>
            </w:tcBorders>
            <w:shd w:val="clear" w:color="auto" w:fill="FFFFFF"/>
            <w:vAlign w:val="center"/>
          </w:tcPr>
          <w:p w14:paraId="42F655B8" w14:textId="77777777" w:rsidR="008F088D" w:rsidRDefault="00000000">
            <w:pPr>
              <w:spacing w:after="0" w:line="259" w:lineRule="auto"/>
              <w:ind w:left="0" w:firstLine="0"/>
            </w:pPr>
            <w:r>
              <w:rPr>
                <w:sz w:val="16"/>
              </w:rPr>
              <w:t>-2.359</w:t>
            </w:r>
          </w:p>
        </w:tc>
        <w:tc>
          <w:tcPr>
            <w:tcW w:w="2268" w:type="dxa"/>
            <w:gridSpan w:val="2"/>
            <w:tcBorders>
              <w:top w:val="single" w:sz="3" w:space="0" w:color="D0D7DE"/>
              <w:left w:val="single" w:sz="3" w:space="0" w:color="D0D7DE"/>
              <w:bottom w:val="single" w:sz="3" w:space="0" w:color="D0D7DE"/>
              <w:right w:val="single" w:sz="3" w:space="0" w:color="D0D7DE"/>
            </w:tcBorders>
            <w:shd w:val="clear" w:color="auto" w:fill="FFFFFF"/>
            <w:vAlign w:val="center"/>
          </w:tcPr>
          <w:p w14:paraId="7F434CC8" w14:textId="77777777" w:rsidR="008F088D" w:rsidRDefault="00000000">
            <w:pPr>
              <w:spacing w:after="0" w:line="259" w:lineRule="auto"/>
              <w:ind w:left="0" w:firstLine="0"/>
            </w:pPr>
            <w:r>
              <w:rPr>
                <w:sz w:val="16"/>
              </w:rPr>
              <w:t>-2.962</w:t>
            </w:r>
          </w:p>
        </w:tc>
      </w:tr>
      <w:tr w:rsidR="008F088D" w14:paraId="7976E19E" w14:textId="77777777">
        <w:trPr>
          <w:trHeight w:val="400"/>
        </w:trPr>
        <w:tc>
          <w:tcPr>
            <w:tcW w:w="4535" w:type="dxa"/>
            <w:gridSpan w:val="2"/>
            <w:tcBorders>
              <w:top w:val="single" w:sz="3" w:space="0" w:color="D0D7DE"/>
              <w:left w:val="single" w:sz="3" w:space="0" w:color="D0D7DE"/>
              <w:bottom w:val="single" w:sz="3" w:space="0" w:color="D0D7DE"/>
              <w:right w:val="single" w:sz="3" w:space="0" w:color="D0D7DE"/>
            </w:tcBorders>
            <w:shd w:val="clear" w:color="auto" w:fill="F6F8FA"/>
            <w:vAlign w:val="center"/>
          </w:tcPr>
          <w:p w14:paraId="274AC7BD" w14:textId="77777777" w:rsidR="008F088D" w:rsidRDefault="00000000">
            <w:pPr>
              <w:spacing w:after="0" w:line="259" w:lineRule="auto"/>
              <w:ind w:left="0" w:firstLine="0"/>
            </w:pPr>
            <w:r>
              <w:rPr>
                <w:sz w:val="16"/>
              </w:rPr>
              <w:lastRenderedPageBreak/>
              <w:t>Mirae Small Cap Fund</w:t>
            </w:r>
          </w:p>
        </w:tc>
        <w:tc>
          <w:tcPr>
            <w:tcW w:w="2268" w:type="dxa"/>
            <w:gridSpan w:val="2"/>
            <w:tcBorders>
              <w:top w:val="single" w:sz="3" w:space="0" w:color="D0D7DE"/>
              <w:left w:val="single" w:sz="3" w:space="0" w:color="D0D7DE"/>
              <w:bottom w:val="single" w:sz="3" w:space="0" w:color="D0D7DE"/>
              <w:right w:val="single" w:sz="3" w:space="0" w:color="D0D7DE"/>
            </w:tcBorders>
            <w:shd w:val="clear" w:color="auto" w:fill="F6F8FA"/>
            <w:vAlign w:val="center"/>
          </w:tcPr>
          <w:p w14:paraId="7ADD7553" w14:textId="77777777" w:rsidR="008F088D" w:rsidRDefault="00000000">
            <w:pPr>
              <w:spacing w:after="0" w:line="259" w:lineRule="auto"/>
              <w:ind w:left="0" w:firstLine="0"/>
            </w:pPr>
            <w:r>
              <w:rPr>
                <w:sz w:val="16"/>
              </w:rPr>
              <w:t>-2.347</w:t>
            </w:r>
          </w:p>
        </w:tc>
        <w:tc>
          <w:tcPr>
            <w:tcW w:w="2268" w:type="dxa"/>
            <w:gridSpan w:val="2"/>
            <w:tcBorders>
              <w:top w:val="single" w:sz="3" w:space="0" w:color="D0D7DE"/>
              <w:left w:val="single" w:sz="3" w:space="0" w:color="D0D7DE"/>
              <w:bottom w:val="single" w:sz="3" w:space="0" w:color="D0D7DE"/>
              <w:right w:val="single" w:sz="3" w:space="0" w:color="D0D7DE"/>
            </w:tcBorders>
            <w:shd w:val="clear" w:color="auto" w:fill="F6F8FA"/>
            <w:vAlign w:val="center"/>
          </w:tcPr>
          <w:p w14:paraId="1CEADEED" w14:textId="77777777" w:rsidR="008F088D" w:rsidRDefault="00000000">
            <w:pPr>
              <w:spacing w:after="0" w:line="259" w:lineRule="auto"/>
              <w:ind w:left="0" w:firstLine="0"/>
            </w:pPr>
            <w:r>
              <w:rPr>
                <w:sz w:val="16"/>
              </w:rPr>
              <w:t>-3.007</w:t>
            </w:r>
          </w:p>
        </w:tc>
      </w:tr>
      <w:tr w:rsidR="008F088D" w14:paraId="4752C6A3" w14:textId="77777777">
        <w:trPr>
          <w:trHeight w:val="400"/>
        </w:trPr>
        <w:tc>
          <w:tcPr>
            <w:tcW w:w="4535" w:type="dxa"/>
            <w:gridSpan w:val="2"/>
            <w:tcBorders>
              <w:top w:val="single" w:sz="3" w:space="0" w:color="D0D7DE"/>
              <w:left w:val="single" w:sz="3" w:space="0" w:color="D0D7DE"/>
              <w:bottom w:val="single" w:sz="3" w:space="0" w:color="D0D7DE"/>
              <w:right w:val="single" w:sz="3" w:space="0" w:color="D0D7DE"/>
            </w:tcBorders>
            <w:shd w:val="clear" w:color="auto" w:fill="FFFFFF"/>
            <w:vAlign w:val="center"/>
          </w:tcPr>
          <w:p w14:paraId="60BA5B17" w14:textId="77777777" w:rsidR="008F088D" w:rsidRDefault="00000000">
            <w:pPr>
              <w:spacing w:after="0" w:line="259" w:lineRule="auto"/>
              <w:ind w:left="0" w:firstLine="0"/>
            </w:pPr>
            <w:r>
              <w:rPr>
                <w:sz w:val="16"/>
              </w:rPr>
              <w:t>Kotak Mahindra Small Cap Fund</w:t>
            </w:r>
          </w:p>
        </w:tc>
        <w:tc>
          <w:tcPr>
            <w:tcW w:w="2268" w:type="dxa"/>
            <w:gridSpan w:val="2"/>
            <w:tcBorders>
              <w:top w:val="single" w:sz="3" w:space="0" w:color="D0D7DE"/>
              <w:left w:val="single" w:sz="3" w:space="0" w:color="D0D7DE"/>
              <w:bottom w:val="single" w:sz="3" w:space="0" w:color="D0D7DE"/>
              <w:right w:val="single" w:sz="3" w:space="0" w:color="D0D7DE"/>
            </w:tcBorders>
            <w:shd w:val="clear" w:color="auto" w:fill="FFFFFF"/>
            <w:vAlign w:val="center"/>
          </w:tcPr>
          <w:p w14:paraId="68456263" w14:textId="77777777" w:rsidR="008F088D" w:rsidRDefault="00000000">
            <w:pPr>
              <w:spacing w:after="0" w:line="259" w:lineRule="auto"/>
              <w:ind w:left="0" w:firstLine="0"/>
            </w:pPr>
            <w:r>
              <w:rPr>
                <w:sz w:val="16"/>
              </w:rPr>
              <w:t>-2.277</w:t>
            </w:r>
          </w:p>
        </w:tc>
        <w:tc>
          <w:tcPr>
            <w:tcW w:w="2268" w:type="dxa"/>
            <w:gridSpan w:val="2"/>
            <w:tcBorders>
              <w:top w:val="single" w:sz="3" w:space="0" w:color="D0D7DE"/>
              <w:left w:val="single" w:sz="3" w:space="0" w:color="D0D7DE"/>
              <w:bottom w:val="single" w:sz="3" w:space="0" w:color="D0D7DE"/>
              <w:right w:val="single" w:sz="3" w:space="0" w:color="D0D7DE"/>
            </w:tcBorders>
            <w:shd w:val="clear" w:color="auto" w:fill="FFFFFF"/>
            <w:vAlign w:val="center"/>
          </w:tcPr>
          <w:p w14:paraId="48DC526C" w14:textId="77777777" w:rsidR="008F088D" w:rsidRDefault="00000000">
            <w:pPr>
              <w:spacing w:after="0" w:line="259" w:lineRule="auto"/>
              <w:ind w:left="0" w:firstLine="0"/>
            </w:pPr>
            <w:r>
              <w:rPr>
                <w:sz w:val="16"/>
              </w:rPr>
              <w:t>-2.878</w:t>
            </w:r>
          </w:p>
        </w:tc>
      </w:tr>
      <w:tr w:rsidR="008F088D" w14:paraId="28DF3150" w14:textId="77777777">
        <w:trPr>
          <w:gridBefore w:val="1"/>
          <w:gridAfter w:val="1"/>
          <w:wBefore w:w="567" w:type="dxa"/>
          <w:wAfter w:w="567" w:type="dxa"/>
          <w:trHeight w:val="400"/>
        </w:trPr>
        <w:tc>
          <w:tcPr>
            <w:tcW w:w="5669" w:type="dxa"/>
            <w:gridSpan w:val="2"/>
            <w:tcBorders>
              <w:top w:val="single" w:sz="3" w:space="0" w:color="D0D7DE"/>
              <w:left w:val="single" w:sz="3" w:space="0" w:color="D0D7DE"/>
              <w:bottom w:val="single" w:sz="3" w:space="0" w:color="D0D7DE"/>
              <w:right w:val="single" w:sz="3" w:space="0" w:color="D0D7DE"/>
            </w:tcBorders>
            <w:shd w:val="clear" w:color="auto" w:fill="0D1117"/>
            <w:vAlign w:val="center"/>
          </w:tcPr>
          <w:p w14:paraId="4D9B270B" w14:textId="77777777" w:rsidR="008F088D" w:rsidRDefault="00000000">
            <w:pPr>
              <w:spacing w:after="0" w:line="259" w:lineRule="auto"/>
              <w:ind w:left="0" w:firstLine="0"/>
            </w:pPr>
            <w:r>
              <w:rPr>
                <w:color w:val="FFFFFF"/>
                <w:sz w:val="16"/>
              </w:rPr>
              <w:t>Most Sector-Concentrated Scheme</w:t>
            </w:r>
          </w:p>
        </w:tc>
        <w:tc>
          <w:tcPr>
            <w:tcW w:w="2268" w:type="dxa"/>
            <w:gridSpan w:val="2"/>
            <w:tcBorders>
              <w:top w:val="single" w:sz="3" w:space="0" w:color="D0D7DE"/>
              <w:left w:val="single" w:sz="3" w:space="0" w:color="D0D7DE"/>
              <w:bottom w:val="single" w:sz="3" w:space="0" w:color="D0D7DE"/>
              <w:right w:val="single" w:sz="3" w:space="0" w:color="D0D7DE"/>
            </w:tcBorders>
            <w:shd w:val="clear" w:color="auto" w:fill="0D1117"/>
            <w:vAlign w:val="center"/>
          </w:tcPr>
          <w:p w14:paraId="5435A3F1" w14:textId="77777777" w:rsidR="008F088D" w:rsidRDefault="00000000">
            <w:pPr>
              <w:spacing w:after="0" w:line="259" w:lineRule="auto"/>
              <w:ind w:left="0" w:firstLine="0"/>
            </w:pPr>
            <w:r>
              <w:rPr>
                <w:color w:val="FFFFFF"/>
                <w:sz w:val="16"/>
              </w:rPr>
              <w:t>Sector HHI</w:t>
            </w:r>
          </w:p>
        </w:tc>
      </w:tr>
      <w:tr w:rsidR="008F088D" w14:paraId="6BD37B75" w14:textId="77777777">
        <w:trPr>
          <w:gridBefore w:val="1"/>
          <w:gridAfter w:val="1"/>
          <w:wBefore w:w="567" w:type="dxa"/>
          <w:wAfter w:w="567" w:type="dxa"/>
          <w:trHeight w:val="400"/>
        </w:trPr>
        <w:tc>
          <w:tcPr>
            <w:tcW w:w="5669" w:type="dxa"/>
            <w:gridSpan w:val="2"/>
            <w:tcBorders>
              <w:top w:val="single" w:sz="3" w:space="0" w:color="D0D7DE"/>
              <w:left w:val="single" w:sz="3" w:space="0" w:color="D0D7DE"/>
              <w:bottom w:val="single" w:sz="3" w:space="0" w:color="D0D7DE"/>
              <w:right w:val="single" w:sz="3" w:space="0" w:color="D0D7DE"/>
            </w:tcBorders>
            <w:shd w:val="clear" w:color="auto" w:fill="FFFFFF"/>
            <w:vAlign w:val="center"/>
          </w:tcPr>
          <w:p w14:paraId="15739EF6" w14:textId="77777777" w:rsidR="008F088D" w:rsidRDefault="00000000">
            <w:pPr>
              <w:spacing w:after="0" w:line="259" w:lineRule="auto"/>
              <w:ind w:left="0" w:firstLine="0"/>
            </w:pPr>
            <w:r>
              <w:rPr>
                <w:sz w:val="16"/>
              </w:rPr>
              <w:t>Kotak Mahindra Small Cap Fund</w:t>
            </w:r>
          </w:p>
        </w:tc>
        <w:tc>
          <w:tcPr>
            <w:tcW w:w="2268" w:type="dxa"/>
            <w:gridSpan w:val="2"/>
            <w:tcBorders>
              <w:top w:val="single" w:sz="3" w:space="0" w:color="D0D7DE"/>
              <w:left w:val="single" w:sz="3" w:space="0" w:color="D0D7DE"/>
              <w:bottom w:val="single" w:sz="3" w:space="0" w:color="D0D7DE"/>
              <w:right w:val="single" w:sz="3" w:space="0" w:color="D0D7DE"/>
            </w:tcBorders>
            <w:shd w:val="clear" w:color="auto" w:fill="FFFFFF"/>
            <w:vAlign w:val="center"/>
          </w:tcPr>
          <w:p w14:paraId="0FA5EF21" w14:textId="77777777" w:rsidR="008F088D" w:rsidRDefault="00000000">
            <w:pPr>
              <w:spacing w:after="0" w:line="259" w:lineRule="auto"/>
              <w:ind w:left="0" w:firstLine="0"/>
            </w:pPr>
            <w:r>
              <w:rPr>
                <w:sz w:val="16"/>
              </w:rPr>
              <w:t>5504.8</w:t>
            </w:r>
          </w:p>
        </w:tc>
      </w:tr>
      <w:tr w:rsidR="008F088D" w14:paraId="0972D5C8" w14:textId="77777777">
        <w:trPr>
          <w:gridBefore w:val="1"/>
          <w:gridAfter w:val="1"/>
          <w:wBefore w:w="567" w:type="dxa"/>
          <w:wAfter w:w="567" w:type="dxa"/>
          <w:trHeight w:val="400"/>
        </w:trPr>
        <w:tc>
          <w:tcPr>
            <w:tcW w:w="5669" w:type="dxa"/>
            <w:gridSpan w:val="2"/>
            <w:tcBorders>
              <w:top w:val="single" w:sz="3" w:space="0" w:color="D0D7DE"/>
              <w:left w:val="single" w:sz="3" w:space="0" w:color="D0D7DE"/>
              <w:bottom w:val="single" w:sz="3" w:space="0" w:color="D0D7DE"/>
              <w:right w:val="single" w:sz="3" w:space="0" w:color="D0D7DE"/>
            </w:tcBorders>
            <w:shd w:val="clear" w:color="auto" w:fill="F6F8FA"/>
            <w:vAlign w:val="center"/>
          </w:tcPr>
          <w:p w14:paraId="2B3439BB" w14:textId="77777777" w:rsidR="008F088D" w:rsidRDefault="00000000">
            <w:pPr>
              <w:spacing w:after="0" w:line="259" w:lineRule="auto"/>
              <w:ind w:left="0" w:firstLine="0"/>
            </w:pPr>
            <w:r>
              <w:rPr>
                <w:sz w:val="16"/>
              </w:rPr>
              <w:t>ABSL ELSS Fund</w:t>
            </w:r>
          </w:p>
        </w:tc>
        <w:tc>
          <w:tcPr>
            <w:tcW w:w="2268" w:type="dxa"/>
            <w:gridSpan w:val="2"/>
            <w:tcBorders>
              <w:top w:val="single" w:sz="3" w:space="0" w:color="D0D7DE"/>
              <w:left w:val="single" w:sz="3" w:space="0" w:color="D0D7DE"/>
              <w:bottom w:val="single" w:sz="3" w:space="0" w:color="D0D7DE"/>
              <w:right w:val="single" w:sz="3" w:space="0" w:color="D0D7DE"/>
            </w:tcBorders>
            <w:shd w:val="clear" w:color="auto" w:fill="F6F8FA"/>
            <w:vAlign w:val="center"/>
          </w:tcPr>
          <w:p w14:paraId="0D978916" w14:textId="77777777" w:rsidR="008F088D" w:rsidRDefault="00000000">
            <w:pPr>
              <w:spacing w:after="0" w:line="259" w:lineRule="auto"/>
              <w:ind w:left="0" w:firstLine="0"/>
            </w:pPr>
            <w:r>
              <w:rPr>
                <w:sz w:val="16"/>
              </w:rPr>
              <w:t>4079.5</w:t>
            </w:r>
          </w:p>
        </w:tc>
      </w:tr>
      <w:tr w:rsidR="008F088D" w14:paraId="37AD30C9" w14:textId="77777777">
        <w:trPr>
          <w:gridBefore w:val="1"/>
          <w:gridAfter w:val="1"/>
          <w:wBefore w:w="567" w:type="dxa"/>
          <w:wAfter w:w="567" w:type="dxa"/>
          <w:trHeight w:val="400"/>
        </w:trPr>
        <w:tc>
          <w:tcPr>
            <w:tcW w:w="5669" w:type="dxa"/>
            <w:gridSpan w:val="2"/>
            <w:tcBorders>
              <w:top w:val="single" w:sz="3" w:space="0" w:color="D0D7DE"/>
              <w:left w:val="single" w:sz="3" w:space="0" w:color="D0D7DE"/>
              <w:bottom w:val="single" w:sz="3" w:space="0" w:color="D0D7DE"/>
              <w:right w:val="single" w:sz="3" w:space="0" w:color="D0D7DE"/>
            </w:tcBorders>
            <w:shd w:val="clear" w:color="auto" w:fill="FFFFFF"/>
            <w:vAlign w:val="center"/>
          </w:tcPr>
          <w:p w14:paraId="15800365" w14:textId="77777777" w:rsidR="008F088D" w:rsidRDefault="00000000">
            <w:pPr>
              <w:spacing w:after="0" w:line="259" w:lineRule="auto"/>
              <w:ind w:left="0" w:firstLine="0"/>
            </w:pPr>
            <w:r>
              <w:rPr>
                <w:sz w:val="16"/>
              </w:rPr>
              <w:t>SBI Flexi Cap Fund</w:t>
            </w:r>
          </w:p>
        </w:tc>
        <w:tc>
          <w:tcPr>
            <w:tcW w:w="2268" w:type="dxa"/>
            <w:gridSpan w:val="2"/>
            <w:tcBorders>
              <w:top w:val="single" w:sz="3" w:space="0" w:color="D0D7DE"/>
              <w:left w:val="single" w:sz="3" w:space="0" w:color="D0D7DE"/>
              <w:bottom w:val="single" w:sz="3" w:space="0" w:color="D0D7DE"/>
              <w:right w:val="single" w:sz="3" w:space="0" w:color="D0D7DE"/>
            </w:tcBorders>
            <w:shd w:val="clear" w:color="auto" w:fill="FFFFFF"/>
            <w:vAlign w:val="center"/>
          </w:tcPr>
          <w:p w14:paraId="6B0EF3D5" w14:textId="77777777" w:rsidR="008F088D" w:rsidRDefault="00000000">
            <w:pPr>
              <w:spacing w:after="0" w:line="259" w:lineRule="auto"/>
              <w:ind w:left="0" w:firstLine="0"/>
            </w:pPr>
            <w:r>
              <w:rPr>
                <w:sz w:val="16"/>
              </w:rPr>
              <w:t>3940.8</w:t>
            </w:r>
          </w:p>
        </w:tc>
      </w:tr>
      <w:tr w:rsidR="008F088D" w14:paraId="0801858A" w14:textId="77777777">
        <w:trPr>
          <w:gridBefore w:val="1"/>
          <w:gridAfter w:val="1"/>
          <w:wBefore w:w="567" w:type="dxa"/>
          <w:wAfter w:w="567" w:type="dxa"/>
          <w:trHeight w:val="400"/>
        </w:trPr>
        <w:tc>
          <w:tcPr>
            <w:tcW w:w="5669" w:type="dxa"/>
            <w:gridSpan w:val="2"/>
            <w:tcBorders>
              <w:top w:val="single" w:sz="3" w:space="0" w:color="D0D7DE"/>
              <w:left w:val="single" w:sz="3" w:space="0" w:color="D0D7DE"/>
              <w:bottom w:val="single" w:sz="3" w:space="0" w:color="D0D7DE"/>
              <w:right w:val="single" w:sz="3" w:space="0" w:color="D0D7DE"/>
            </w:tcBorders>
            <w:shd w:val="clear" w:color="auto" w:fill="F6F8FA"/>
            <w:vAlign w:val="center"/>
          </w:tcPr>
          <w:p w14:paraId="0A3552FC" w14:textId="77777777" w:rsidR="008F088D" w:rsidRDefault="00000000">
            <w:pPr>
              <w:spacing w:after="0" w:line="259" w:lineRule="auto"/>
              <w:ind w:left="0" w:firstLine="0"/>
            </w:pPr>
            <w:r>
              <w:rPr>
                <w:sz w:val="16"/>
              </w:rPr>
              <w:t>UTI Small Cap Fund</w:t>
            </w:r>
          </w:p>
        </w:tc>
        <w:tc>
          <w:tcPr>
            <w:tcW w:w="2268" w:type="dxa"/>
            <w:gridSpan w:val="2"/>
            <w:tcBorders>
              <w:top w:val="single" w:sz="3" w:space="0" w:color="D0D7DE"/>
              <w:left w:val="single" w:sz="3" w:space="0" w:color="D0D7DE"/>
              <w:bottom w:val="single" w:sz="3" w:space="0" w:color="D0D7DE"/>
              <w:right w:val="single" w:sz="3" w:space="0" w:color="D0D7DE"/>
            </w:tcBorders>
            <w:shd w:val="clear" w:color="auto" w:fill="F6F8FA"/>
            <w:vAlign w:val="center"/>
          </w:tcPr>
          <w:p w14:paraId="3ABD375C" w14:textId="77777777" w:rsidR="008F088D" w:rsidRDefault="00000000">
            <w:pPr>
              <w:spacing w:after="0" w:line="259" w:lineRule="auto"/>
              <w:ind w:left="0" w:firstLine="0"/>
            </w:pPr>
            <w:r>
              <w:rPr>
                <w:sz w:val="16"/>
              </w:rPr>
              <w:t>3911.3</w:t>
            </w:r>
          </w:p>
        </w:tc>
      </w:tr>
      <w:tr w:rsidR="008F088D" w14:paraId="16B34800" w14:textId="77777777">
        <w:trPr>
          <w:gridBefore w:val="1"/>
          <w:gridAfter w:val="1"/>
          <w:wBefore w:w="567" w:type="dxa"/>
          <w:wAfter w:w="567" w:type="dxa"/>
          <w:trHeight w:val="400"/>
        </w:trPr>
        <w:tc>
          <w:tcPr>
            <w:tcW w:w="5669" w:type="dxa"/>
            <w:gridSpan w:val="2"/>
            <w:tcBorders>
              <w:top w:val="single" w:sz="3" w:space="0" w:color="D0D7DE"/>
              <w:left w:val="single" w:sz="3" w:space="0" w:color="D0D7DE"/>
              <w:bottom w:val="single" w:sz="3" w:space="0" w:color="D0D7DE"/>
              <w:right w:val="single" w:sz="3" w:space="0" w:color="D0D7DE"/>
            </w:tcBorders>
            <w:shd w:val="clear" w:color="auto" w:fill="FFFFFF"/>
            <w:vAlign w:val="center"/>
          </w:tcPr>
          <w:p w14:paraId="3D6CACB1" w14:textId="77777777" w:rsidR="008F088D" w:rsidRDefault="00000000">
            <w:pPr>
              <w:spacing w:after="0" w:line="259" w:lineRule="auto"/>
              <w:ind w:left="0" w:firstLine="0"/>
            </w:pPr>
            <w:r>
              <w:rPr>
                <w:sz w:val="16"/>
              </w:rPr>
              <w:t>UTI Mid Cap Fund</w:t>
            </w:r>
          </w:p>
        </w:tc>
        <w:tc>
          <w:tcPr>
            <w:tcW w:w="2268" w:type="dxa"/>
            <w:gridSpan w:val="2"/>
            <w:tcBorders>
              <w:top w:val="single" w:sz="3" w:space="0" w:color="D0D7DE"/>
              <w:left w:val="single" w:sz="3" w:space="0" w:color="D0D7DE"/>
              <w:bottom w:val="single" w:sz="3" w:space="0" w:color="D0D7DE"/>
              <w:right w:val="single" w:sz="3" w:space="0" w:color="D0D7DE"/>
            </w:tcBorders>
            <w:shd w:val="clear" w:color="auto" w:fill="FFFFFF"/>
            <w:vAlign w:val="center"/>
          </w:tcPr>
          <w:p w14:paraId="0D29C690" w14:textId="77777777" w:rsidR="008F088D" w:rsidRDefault="00000000">
            <w:pPr>
              <w:spacing w:after="0" w:line="259" w:lineRule="auto"/>
              <w:ind w:left="0" w:firstLine="0"/>
            </w:pPr>
            <w:r>
              <w:rPr>
                <w:sz w:val="16"/>
              </w:rPr>
              <w:t>3881.4</w:t>
            </w:r>
          </w:p>
        </w:tc>
      </w:tr>
    </w:tbl>
    <w:p w14:paraId="76DDD8A0" w14:textId="77777777" w:rsidR="008F088D" w:rsidRDefault="00000000">
      <w:pPr>
        <w:spacing w:after="479" w:line="259" w:lineRule="auto"/>
        <w:ind w:left="277" w:firstLine="0"/>
      </w:pPr>
      <w:r>
        <w:rPr>
          <w:noProof/>
        </w:rPr>
        <w:drawing>
          <wp:inline distT="0" distB="0" distL="0" distR="0" wp14:anchorId="0F1BA12B" wp14:editId="32029B21">
            <wp:extent cx="5760000" cy="3840000"/>
            <wp:effectExtent l="0" t="0" r="0" b="0"/>
            <wp:docPr id="474" name="Picture 474"/>
            <wp:cNvGraphicFramePr/>
            <a:graphic xmlns:a="http://schemas.openxmlformats.org/drawingml/2006/main">
              <a:graphicData uri="http://schemas.openxmlformats.org/drawingml/2006/picture">
                <pic:pic xmlns:pic="http://schemas.openxmlformats.org/drawingml/2006/picture">
                  <pic:nvPicPr>
                    <pic:cNvPr id="474" name="Picture 474"/>
                    <pic:cNvPicPr/>
                  </pic:nvPicPr>
                  <pic:blipFill>
                    <a:blip r:embed="rId10"/>
                    <a:stretch>
                      <a:fillRect/>
                    </a:stretch>
                  </pic:blipFill>
                  <pic:spPr>
                    <a:xfrm>
                      <a:off x="0" y="0"/>
                      <a:ext cx="5760000" cy="3840000"/>
                    </a:xfrm>
                    <a:prstGeom prst="rect">
                      <a:avLst/>
                    </a:prstGeom>
                  </pic:spPr>
                </pic:pic>
              </a:graphicData>
            </a:graphic>
          </wp:inline>
        </w:drawing>
      </w:r>
    </w:p>
    <w:p w14:paraId="37CC6DE8" w14:textId="77777777" w:rsidR="008F088D" w:rsidRDefault="00000000">
      <w:pPr>
        <w:pStyle w:val="Heading2"/>
        <w:spacing w:after="92"/>
        <w:ind w:left="-5"/>
      </w:pPr>
      <w:r>
        <w:t>Investor Cohort Analysis</w:t>
      </w:r>
    </w:p>
    <w:p w14:paraId="38A139D2" w14:textId="77777777" w:rsidR="008F088D" w:rsidRDefault="00000000">
      <w:pPr>
        <w:spacing w:after="0"/>
        <w:ind w:left="-5"/>
      </w:pPr>
      <w:r>
        <w:t>Investors were grouped by first-transaction year. Later cohorts (2024-2025) contain substantially more investors, consistent with accelerating industry-wide SIP adoption; average SIP ticket size (~Rs 5,300-5,500) is broadly stable across cohorts.</w:t>
      </w:r>
    </w:p>
    <w:tbl>
      <w:tblPr>
        <w:tblStyle w:val="TableGrid"/>
        <w:tblW w:w="8504" w:type="dxa"/>
        <w:tblInd w:w="560" w:type="dxa"/>
        <w:tblCellMar>
          <w:left w:w="120" w:type="dxa"/>
          <w:right w:w="115" w:type="dxa"/>
        </w:tblCellMar>
        <w:tblLook w:val="04A0" w:firstRow="1" w:lastRow="0" w:firstColumn="1" w:lastColumn="0" w:noHBand="0" w:noVBand="1"/>
      </w:tblPr>
      <w:tblGrid>
        <w:gridCol w:w="1588"/>
        <w:gridCol w:w="1587"/>
        <w:gridCol w:w="1587"/>
        <w:gridCol w:w="2041"/>
        <w:gridCol w:w="1701"/>
      </w:tblGrid>
      <w:tr w:rsidR="008F088D" w14:paraId="56609FD6" w14:textId="77777777">
        <w:trPr>
          <w:trHeight w:val="400"/>
        </w:trPr>
        <w:tc>
          <w:tcPr>
            <w:tcW w:w="1587" w:type="dxa"/>
            <w:tcBorders>
              <w:top w:val="single" w:sz="3" w:space="0" w:color="D0D7DE"/>
              <w:left w:val="single" w:sz="3" w:space="0" w:color="D0D7DE"/>
              <w:bottom w:val="single" w:sz="3" w:space="0" w:color="D0D7DE"/>
              <w:right w:val="single" w:sz="3" w:space="0" w:color="D0D7DE"/>
            </w:tcBorders>
            <w:shd w:val="clear" w:color="auto" w:fill="0D1117"/>
            <w:vAlign w:val="center"/>
          </w:tcPr>
          <w:p w14:paraId="1C33ED48" w14:textId="77777777" w:rsidR="008F088D" w:rsidRDefault="00000000">
            <w:pPr>
              <w:spacing w:after="0" w:line="259" w:lineRule="auto"/>
              <w:ind w:left="0" w:firstLine="0"/>
            </w:pPr>
            <w:r>
              <w:rPr>
                <w:color w:val="FFFFFF"/>
                <w:sz w:val="16"/>
              </w:rPr>
              <w:t>Cohort Year</w:t>
            </w:r>
          </w:p>
        </w:tc>
        <w:tc>
          <w:tcPr>
            <w:tcW w:w="1587" w:type="dxa"/>
            <w:tcBorders>
              <w:top w:val="single" w:sz="3" w:space="0" w:color="D0D7DE"/>
              <w:left w:val="single" w:sz="3" w:space="0" w:color="D0D7DE"/>
              <w:bottom w:val="single" w:sz="3" w:space="0" w:color="D0D7DE"/>
              <w:right w:val="single" w:sz="3" w:space="0" w:color="D0D7DE"/>
            </w:tcBorders>
            <w:shd w:val="clear" w:color="auto" w:fill="0D1117"/>
            <w:vAlign w:val="center"/>
          </w:tcPr>
          <w:p w14:paraId="0F229B48" w14:textId="77777777" w:rsidR="008F088D" w:rsidRDefault="00000000">
            <w:pPr>
              <w:spacing w:after="0" w:line="259" w:lineRule="auto"/>
              <w:ind w:left="0" w:firstLine="0"/>
            </w:pPr>
            <w:r>
              <w:rPr>
                <w:color w:val="FFFFFF"/>
                <w:sz w:val="16"/>
              </w:rPr>
              <w:t>Investors</w:t>
            </w:r>
          </w:p>
        </w:tc>
        <w:tc>
          <w:tcPr>
            <w:tcW w:w="1587" w:type="dxa"/>
            <w:tcBorders>
              <w:top w:val="single" w:sz="3" w:space="0" w:color="D0D7DE"/>
              <w:left w:val="single" w:sz="3" w:space="0" w:color="D0D7DE"/>
              <w:bottom w:val="single" w:sz="3" w:space="0" w:color="D0D7DE"/>
              <w:right w:val="single" w:sz="3" w:space="0" w:color="D0D7DE"/>
            </w:tcBorders>
            <w:shd w:val="clear" w:color="auto" w:fill="0D1117"/>
            <w:vAlign w:val="center"/>
          </w:tcPr>
          <w:p w14:paraId="3DABCE81" w14:textId="77777777" w:rsidR="008F088D" w:rsidRDefault="00000000">
            <w:pPr>
              <w:spacing w:after="0" w:line="259" w:lineRule="auto"/>
              <w:ind w:left="0" w:firstLine="0"/>
            </w:pPr>
            <w:r>
              <w:rPr>
                <w:color w:val="FFFFFF"/>
                <w:sz w:val="16"/>
              </w:rPr>
              <w:t>Avg SIP Amt</w:t>
            </w:r>
          </w:p>
        </w:tc>
        <w:tc>
          <w:tcPr>
            <w:tcW w:w="2041" w:type="dxa"/>
            <w:tcBorders>
              <w:top w:val="single" w:sz="3" w:space="0" w:color="D0D7DE"/>
              <w:left w:val="single" w:sz="3" w:space="0" w:color="D0D7DE"/>
              <w:bottom w:val="single" w:sz="3" w:space="0" w:color="D0D7DE"/>
              <w:right w:val="single" w:sz="3" w:space="0" w:color="D0D7DE"/>
            </w:tcBorders>
            <w:shd w:val="clear" w:color="auto" w:fill="0D1117"/>
            <w:vAlign w:val="center"/>
          </w:tcPr>
          <w:p w14:paraId="031E114B" w14:textId="77777777" w:rsidR="008F088D" w:rsidRDefault="00000000">
            <w:pPr>
              <w:spacing w:after="0" w:line="259" w:lineRule="auto"/>
              <w:ind w:left="0" w:firstLine="0"/>
            </w:pPr>
            <w:r>
              <w:rPr>
                <w:color w:val="FFFFFF"/>
                <w:sz w:val="16"/>
              </w:rPr>
              <w:t>Total Invested</w:t>
            </w:r>
          </w:p>
        </w:tc>
        <w:tc>
          <w:tcPr>
            <w:tcW w:w="1701" w:type="dxa"/>
            <w:tcBorders>
              <w:top w:val="single" w:sz="3" w:space="0" w:color="D0D7DE"/>
              <w:left w:val="single" w:sz="3" w:space="0" w:color="D0D7DE"/>
              <w:bottom w:val="single" w:sz="3" w:space="0" w:color="D0D7DE"/>
              <w:right w:val="single" w:sz="3" w:space="0" w:color="D0D7DE"/>
            </w:tcBorders>
            <w:shd w:val="clear" w:color="auto" w:fill="0D1117"/>
            <w:vAlign w:val="center"/>
          </w:tcPr>
          <w:p w14:paraId="338A2956" w14:textId="77777777" w:rsidR="008F088D" w:rsidRDefault="00000000">
            <w:pPr>
              <w:spacing w:after="0" w:line="259" w:lineRule="auto"/>
              <w:ind w:left="0" w:firstLine="0"/>
            </w:pPr>
            <w:r>
              <w:rPr>
                <w:color w:val="FFFFFF"/>
                <w:sz w:val="16"/>
              </w:rPr>
              <w:t>Top Category</w:t>
            </w:r>
          </w:p>
        </w:tc>
      </w:tr>
      <w:tr w:rsidR="008F088D" w14:paraId="6459EDC6" w14:textId="77777777">
        <w:trPr>
          <w:trHeight w:val="400"/>
        </w:trPr>
        <w:tc>
          <w:tcPr>
            <w:tcW w:w="1587" w:type="dxa"/>
            <w:tcBorders>
              <w:top w:val="single" w:sz="3" w:space="0" w:color="D0D7DE"/>
              <w:left w:val="single" w:sz="3" w:space="0" w:color="D0D7DE"/>
              <w:bottom w:val="single" w:sz="3" w:space="0" w:color="D0D7DE"/>
              <w:right w:val="single" w:sz="3" w:space="0" w:color="D0D7DE"/>
            </w:tcBorders>
            <w:shd w:val="clear" w:color="auto" w:fill="FFFFFF"/>
            <w:vAlign w:val="center"/>
          </w:tcPr>
          <w:p w14:paraId="53E0AC2F" w14:textId="77777777" w:rsidR="008F088D" w:rsidRDefault="00000000">
            <w:pPr>
              <w:spacing w:after="0" w:line="259" w:lineRule="auto"/>
              <w:ind w:left="0" w:firstLine="0"/>
            </w:pPr>
            <w:r>
              <w:rPr>
                <w:sz w:val="16"/>
              </w:rPr>
              <w:t>2022</w:t>
            </w:r>
          </w:p>
        </w:tc>
        <w:tc>
          <w:tcPr>
            <w:tcW w:w="1587" w:type="dxa"/>
            <w:tcBorders>
              <w:top w:val="single" w:sz="3" w:space="0" w:color="D0D7DE"/>
              <w:left w:val="single" w:sz="3" w:space="0" w:color="D0D7DE"/>
              <w:bottom w:val="single" w:sz="3" w:space="0" w:color="D0D7DE"/>
              <w:right w:val="single" w:sz="3" w:space="0" w:color="D0D7DE"/>
            </w:tcBorders>
            <w:shd w:val="clear" w:color="auto" w:fill="FFFFFF"/>
            <w:vAlign w:val="center"/>
          </w:tcPr>
          <w:p w14:paraId="6D3A5FF0" w14:textId="77777777" w:rsidR="008F088D" w:rsidRDefault="00000000">
            <w:pPr>
              <w:spacing w:after="0" w:line="259" w:lineRule="auto"/>
              <w:ind w:left="0" w:firstLine="0"/>
            </w:pPr>
            <w:r>
              <w:rPr>
                <w:sz w:val="16"/>
              </w:rPr>
              <w:t>773</w:t>
            </w:r>
          </w:p>
        </w:tc>
        <w:tc>
          <w:tcPr>
            <w:tcW w:w="1587" w:type="dxa"/>
            <w:tcBorders>
              <w:top w:val="single" w:sz="3" w:space="0" w:color="D0D7DE"/>
              <w:left w:val="single" w:sz="3" w:space="0" w:color="D0D7DE"/>
              <w:bottom w:val="single" w:sz="3" w:space="0" w:color="D0D7DE"/>
              <w:right w:val="single" w:sz="3" w:space="0" w:color="D0D7DE"/>
            </w:tcBorders>
            <w:shd w:val="clear" w:color="auto" w:fill="FFFFFF"/>
            <w:vAlign w:val="center"/>
          </w:tcPr>
          <w:p w14:paraId="737F645C" w14:textId="77777777" w:rsidR="008F088D" w:rsidRDefault="00000000">
            <w:pPr>
              <w:spacing w:after="0" w:line="259" w:lineRule="auto"/>
              <w:ind w:left="0" w:firstLine="0"/>
            </w:pPr>
            <w:r>
              <w:rPr>
                <w:sz w:val="16"/>
              </w:rPr>
              <w:t>5472.0</w:t>
            </w:r>
          </w:p>
        </w:tc>
        <w:tc>
          <w:tcPr>
            <w:tcW w:w="2041" w:type="dxa"/>
            <w:tcBorders>
              <w:top w:val="single" w:sz="3" w:space="0" w:color="D0D7DE"/>
              <w:left w:val="single" w:sz="3" w:space="0" w:color="D0D7DE"/>
              <w:bottom w:val="single" w:sz="3" w:space="0" w:color="D0D7DE"/>
              <w:right w:val="single" w:sz="3" w:space="0" w:color="D0D7DE"/>
            </w:tcBorders>
            <w:shd w:val="clear" w:color="auto" w:fill="FFFFFF"/>
            <w:vAlign w:val="center"/>
          </w:tcPr>
          <w:p w14:paraId="793A0618" w14:textId="77777777" w:rsidR="008F088D" w:rsidRDefault="00000000">
            <w:pPr>
              <w:spacing w:after="0" w:line="259" w:lineRule="auto"/>
              <w:ind w:left="0" w:firstLine="0"/>
            </w:pPr>
            <w:r>
              <w:rPr>
                <w:sz w:val="16"/>
              </w:rPr>
              <w:t>85595500</w:t>
            </w:r>
          </w:p>
        </w:tc>
        <w:tc>
          <w:tcPr>
            <w:tcW w:w="1701" w:type="dxa"/>
            <w:tcBorders>
              <w:top w:val="single" w:sz="3" w:space="0" w:color="D0D7DE"/>
              <w:left w:val="single" w:sz="3" w:space="0" w:color="D0D7DE"/>
              <w:bottom w:val="single" w:sz="3" w:space="0" w:color="D0D7DE"/>
              <w:right w:val="single" w:sz="3" w:space="0" w:color="D0D7DE"/>
            </w:tcBorders>
            <w:shd w:val="clear" w:color="auto" w:fill="FFFFFF"/>
            <w:vAlign w:val="center"/>
          </w:tcPr>
          <w:p w14:paraId="4208BD7B" w14:textId="77777777" w:rsidR="008F088D" w:rsidRDefault="00000000">
            <w:pPr>
              <w:spacing w:after="0" w:line="259" w:lineRule="auto"/>
              <w:ind w:left="0" w:firstLine="0"/>
            </w:pPr>
            <w:r>
              <w:rPr>
                <w:sz w:val="16"/>
              </w:rPr>
              <w:t>Equity</w:t>
            </w:r>
          </w:p>
        </w:tc>
      </w:tr>
      <w:tr w:rsidR="008F088D" w14:paraId="4568F69C" w14:textId="77777777">
        <w:trPr>
          <w:trHeight w:val="400"/>
        </w:trPr>
        <w:tc>
          <w:tcPr>
            <w:tcW w:w="1587" w:type="dxa"/>
            <w:tcBorders>
              <w:top w:val="single" w:sz="3" w:space="0" w:color="D0D7DE"/>
              <w:left w:val="single" w:sz="3" w:space="0" w:color="D0D7DE"/>
              <w:bottom w:val="single" w:sz="3" w:space="0" w:color="D0D7DE"/>
              <w:right w:val="single" w:sz="3" w:space="0" w:color="D0D7DE"/>
            </w:tcBorders>
            <w:shd w:val="clear" w:color="auto" w:fill="F6F8FA"/>
            <w:vAlign w:val="center"/>
          </w:tcPr>
          <w:p w14:paraId="6903B9D1" w14:textId="77777777" w:rsidR="008F088D" w:rsidRDefault="00000000">
            <w:pPr>
              <w:spacing w:after="0" w:line="259" w:lineRule="auto"/>
              <w:ind w:left="0" w:firstLine="0"/>
            </w:pPr>
            <w:r>
              <w:rPr>
                <w:sz w:val="16"/>
              </w:rPr>
              <w:t>2023</w:t>
            </w:r>
          </w:p>
        </w:tc>
        <w:tc>
          <w:tcPr>
            <w:tcW w:w="1587" w:type="dxa"/>
            <w:tcBorders>
              <w:top w:val="single" w:sz="3" w:space="0" w:color="D0D7DE"/>
              <w:left w:val="single" w:sz="3" w:space="0" w:color="D0D7DE"/>
              <w:bottom w:val="single" w:sz="3" w:space="0" w:color="D0D7DE"/>
              <w:right w:val="single" w:sz="3" w:space="0" w:color="D0D7DE"/>
            </w:tcBorders>
            <w:shd w:val="clear" w:color="auto" w:fill="F6F8FA"/>
            <w:vAlign w:val="center"/>
          </w:tcPr>
          <w:p w14:paraId="4EFC6E8D" w14:textId="77777777" w:rsidR="008F088D" w:rsidRDefault="00000000">
            <w:pPr>
              <w:spacing w:after="0" w:line="259" w:lineRule="auto"/>
              <w:ind w:left="0" w:firstLine="0"/>
            </w:pPr>
            <w:r>
              <w:rPr>
                <w:sz w:val="16"/>
              </w:rPr>
              <w:t>1180</w:t>
            </w:r>
          </w:p>
        </w:tc>
        <w:tc>
          <w:tcPr>
            <w:tcW w:w="1587" w:type="dxa"/>
            <w:tcBorders>
              <w:top w:val="single" w:sz="3" w:space="0" w:color="D0D7DE"/>
              <w:left w:val="single" w:sz="3" w:space="0" w:color="D0D7DE"/>
              <w:bottom w:val="single" w:sz="3" w:space="0" w:color="D0D7DE"/>
              <w:right w:val="single" w:sz="3" w:space="0" w:color="D0D7DE"/>
            </w:tcBorders>
            <w:shd w:val="clear" w:color="auto" w:fill="F6F8FA"/>
            <w:vAlign w:val="center"/>
          </w:tcPr>
          <w:p w14:paraId="4529F914" w14:textId="77777777" w:rsidR="008F088D" w:rsidRDefault="00000000">
            <w:pPr>
              <w:spacing w:after="0" w:line="259" w:lineRule="auto"/>
              <w:ind w:left="0" w:firstLine="0"/>
            </w:pPr>
            <w:r>
              <w:rPr>
                <w:sz w:val="16"/>
              </w:rPr>
              <w:t>5278.0</w:t>
            </w:r>
          </w:p>
        </w:tc>
        <w:tc>
          <w:tcPr>
            <w:tcW w:w="2041" w:type="dxa"/>
            <w:tcBorders>
              <w:top w:val="single" w:sz="3" w:space="0" w:color="D0D7DE"/>
              <w:left w:val="single" w:sz="3" w:space="0" w:color="D0D7DE"/>
              <w:bottom w:val="single" w:sz="3" w:space="0" w:color="D0D7DE"/>
              <w:right w:val="single" w:sz="3" w:space="0" w:color="D0D7DE"/>
            </w:tcBorders>
            <w:shd w:val="clear" w:color="auto" w:fill="F6F8FA"/>
            <w:vAlign w:val="center"/>
          </w:tcPr>
          <w:p w14:paraId="764556A5" w14:textId="77777777" w:rsidR="008F088D" w:rsidRDefault="00000000">
            <w:pPr>
              <w:spacing w:after="0" w:line="259" w:lineRule="auto"/>
              <w:ind w:left="0" w:firstLine="0"/>
            </w:pPr>
            <w:r>
              <w:rPr>
                <w:sz w:val="16"/>
              </w:rPr>
              <w:t>128694000</w:t>
            </w:r>
          </w:p>
        </w:tc>
        <w:tc>
          <w:tcPr>
            <w:tcW w:w="1701" w:type="dxa"/>
            <w:tcBorders>
              <w:top w:val="single" w:sz="3" w:space="0" w:color="D0D7DE"/>
              <w:left w:val="single" w:sz="3" w:space="0" w:color="D0D7DE"/>
              <w:bottom w:val="single" w:sz="3" w:space="0" w:color="D0D7DE"/>
              <w:right w:val="single" w:sz="3" w:space="0" w:color="D0D7DE"/>
            </w:tcBorders>
            <w:shd w:val="clear" w:color="auto" w:fill="F6F8FA"/>
            <w:vAlign w:val="center"/>
          </w:tcPr>
          <w:p w14:paraId="5D19E4BC" w14:textId="77777777" w:rsidR="008F088D" w:rsidRDefault="00000000">
            <w:pPr>
              <w:spacing w:after="0" w:line="259" w:lineRule="auto"/>
              <w:ind w:left="0" w:firstLine="0"/>
            </w:pPr>
            <w:r>
              <w:rPr>
                <w:sz w:val="16"/>
              </w:rPr>
              <w:t>Equity</w:t>
            </w:r>
          </w:p>
        </w:tc>
      </w:tr>
      <w:tr w:rsidR="008F088D" w14:paraId="0F4BE04E" w14:textId="77777777">
        <w:trPr>
          <w:trHeight w:val="400"/>
        </w:trPr>
        <w:tc>
          <w:tcPr>
            <w:tcW w:w="1587" w:type="dxa"/>
            <w:tcBorders>
              <w:top w:val="single" w:sz="3" w:space="0" w:color="D0D7DE"/>
              <w:left w:val="single" w:sz="3" w:space="0" w:color="D0D7DE"/>
              <w:bottom w:val="single" w:sz="3" w:space="0" w:color="D0D7DE"/>
              <w:right w:val="single" w:sz="3" w:space="0" w:color="D0D7DE"/>
            </w:tcBorders>
            <w:shd w:val="clear" w:color="auto" w:fill="FFFFFF"/>
            <w:vAlign w:val="center"/>
          </w:tcPr>
          <w:p w14:paraId="66C9913E" w14:textId="77777777" w:rsidR="008F088D" w:rsidRDefault="00000000">
            <w:pPr>
              <w:spacing w:after="0" w:line="259" w:lineRule="auto"/>
              <w:ind w:left="0" w:firstLine="0"/>
            </w:pPr>
            <w:r>
              <w:rPr>
                <w:sz w:val="16"/>
              </w:rPr>
              <w:t>2024</w:t>
            </w:r>
          </w:p>
        </w:tc>
        <w:tc>
          <w:tcPr>
            <w:tcW w:w="1587" w:type="dxa"/>
            <w:tcBorders>
              <w:top w:val="single" w:sz="3" w:space="0" w:color="D0D7DE"/>
              <w:left w:val="single" w:sz="3" w:space="0" w:color="D0D7DE"/>
              <w:bottom w:val="single" w:sz="3" w:space="0" w:color="D0D7DE"/>
              <w:right w:val="single" w:sz="3" w:space="0" w:color="D0D7DE"/>
            </w:tcBorders>
            <w:shd w:val="clear" w:color="auto" w:fill="FFFFFF"/>
            <w:vAlign w:val="center"/>
          </w:tcPr>
          <w:p w14:paraId="5DD5D7CE" w14:textId="77777777" w:rsidR="008F088D" w:rsidRDefault="00000000">
            <w:pPr>
              <w:spacing w:after="0" w:line="259" w:lineRule="auto"/>
              <w:ind w:left="0" w:firstLine="0"/>
            </w:pPr>
            <w:r>
              <w:rPr>
                <w:sz w:val="16"/>
              </w:rPr>
              <w:t>1616</w:t>
            </w:r>
          </w:p>
        </w:tc>
        <w:tc>
          <w:tcPr>
            <w:tcW w:w="1587" w:type="dxa"/>
            <w:tcBorders>
              <w:top w:val="single" w:sz="3" w:space="0" w:color="D0D7DE"/>
              <w:left w:val="single" w:sz="3" w:space="0" w:color="D0D7DE"/>
              <w:bottom w:val="single" w:sz="3" w:space="0" w:color="D0D7DE"/>
              <w:right w:val="single" w:sz="3" w:space="0" w:color="D0D7DE"/>
            </w:tcBorders>
            <w:shd w:val="clear" w:color="auto" w:fill="FFFFFF"/>
            <w:vAlign w:val="center"/>
          </w:tcPr>
          <w:p w14:paraId="6FC4E355" w14:textId="77777777" w:rsidR="008F088D" w:rsidRDefault="00000000">
            <w:pPr>
              <w:spacing w:after="0" w:line="259" w:lineRule="auto"/>
              <w:ind w:left="0" w:firstLine="0"/>
            </w:pPr>
            <w:r>
              <w:rPr>
                <w:sz w:val="16"/>
              </w:rPr>
              <w:t>5503.0</w:t>
            </w:r>
          </w:p>
        </w:tc>
        <w:tc>
          <w:tcPr>
            <w:tcW w:w="2041" w:type="dxa"/>
            <w:tcBorders>
              <w:top w:val="single" w:sz="3" w:space="0" w:color="D0D7DE"/>
              <w:left w:val="single" w:sz="3" w:space="0" w:color="D0D7DE"/>
              <w:bottom w:val="single" w:sz="3" w:space="0" w:color="D0D7DE"/>
              <w:right w:val="single" w:sz="3" w:space="0" w:color="D0D7DE"/>
            </w:tcBorders>
            <w:shd w:val="clear" w:color="auto" w:fill="FFFFFF"/>
            <w:vAlign w:val="center"/>
          </w:tcPr>
          <w:p w14:paraId="6F522A7D" w14:textId="77777777" w:rsidR="008F088D" w:rsidRDefault="00000000">
            <w:pPr>
              <w:spacing w:after="0" w:line="259" w:lineRule="auto"/>
              <w:ind w:left="0" w:firstLine="0"/>
            </w:pPr>
            <w:r>
              <w:rPr>
                <w:sz w:val="16"/>
              </w:rPr>
              <w:t>180502000</w:t>
            </w:r>
          </w:p>
        </w:tc>
        <w:tc>
          <w:tcPr>
            <w:tcW w:w="1701" w:type="dxa"/>
            <w:tcBorders>
              <w:top w:val="single" w:sz="3" w:space="0" w:color="D0D7DE"/>
              <w:left w:val="single" w:sz="3" w:space="0" w:color="D0D7DE"/>
              <w:bottom w:val="single" w:sz="3" w:space="0" w:color="D0D7DE"/>
              <w:right w:val="single" w:sz="3" w:space="0" w:color="D0D7DE"/>
            </w:tcBorders>
            <w:shd w:val="clear" w:color="auto" w:fill="FFFFFF"/>
            <w:vAlign w:val="center"/>
          </w:tcPr>
          <w:p w14:paraId="3E34EBEE" w14:textId="77777777" w:rsidR="008F088D" w:rsidRDefault="00000000">
            <w:pPr>
              <w:spacing w:after="0" w:line="259" w:lineRule="auto"/>
              <w:ind w:left="0" w:firstLine="0"/>
            </w:pPr>
            <w:r>
              <w:rPr>
                <w:sz w:val="16"/>
              </w:rPr>
              <w:t>Equity</w:t>
            </w:r>
          </w:p>
        </w:tc>
      </w:tr>
      <w:tr w:rsidR="008F088D" w14:paraId="0DFA14CB" w14:textId="77777777">
        <w:trPr>
          <w:trHeight w:val="400"/>
        </w:trPr>
        <w:tc>
          <w:tcPr>
            <w:tcW w:w="1587" w:type="dxa"/>
            <w:tcBorders>
              <w:top w:val="single" w:sz="3" w:space="0" w:color="D0D7DE"/>
              <w:left w:val="single" w:sz="3" w:space="0" w:color="D0D7DE"/>
              <w:bottom w:val="single" w:sz="3" w:space="0" w:color="D0D7DE"/>
              <w:right w:val="single" w:sz="3" w:space="0" w:color="D0D7DE"/>
            </w:tcBorders>
            <w:shd w:val="clear" w:color="auto" w:fill="F6F8FA"/>
            <w:vAlign w:val="center"/>
          </w:tcPr>
          <w:p w14:paraId="6CE8D7D1" w14:textId="77777777" w:rsidR="008F088D" w:rsidRDefault="00000000">
            <w:pPr>
              <w:spacing w:after="0" w:line="259" w:lineRule="auto"/>
              <w:ind w:left="0" w:firstLine="0"/>
            </w:pPr>
            <w:r>
              <w:rPr>
                <w:sz w:val="16"/>
              </w:rPr>
              <w:t>2025</w:t>
            </w:r>
          </w:p>
        </w:tc>
        <w:tc>
          <w:tcPr>
            <w:tcW w:w="1587" w:type="dxa"/>
            <w:tcBorders>
              <w:top w:val="single" w:sz="3" w:space="0" w:color="D0D7DE"/>
              <w:left w:val="single" w:sz="3" w:space="0" w:color="D0D7DE"/>
              <w:bottom w:val="single" w:sz="3" w:space="0" w:color="D0D7DE"/>
              <w:right w:val="single" w:sz="3" w:space="0" w:color="D0D7DE"/>
            </w:tcBorders>
            <w:shd w:val="clear" w:color="auto" w:fill="F6F8FA"/>
            <w:vAlign w:val="center"/>
          </w:tcPr>
          <w:p w14:paraId="3BAC51B4" w14:textId="77777777" w:rsidR="008F088D" w:rsidRDefault="00000000">
            <w:pPr>
              <w:spacing w:after="0" w:line="259" w:lineRule="auto"/>
              <w:ind w:left="0" w:firstLine="0"/>
            </w:pPr>
            <w:r>
              <w:rPr>
                <w:sz w:val="16"/>
              </w:rPr>
              <w:t>1431</w:t>
            </w:r>
          </w:p>
        </w:tc>
        <w:tc>
          <w:tcPr>
            <w:tcW w:w="1587" w:type="dxa"/>
            <w:tcBorders>
              <w:top w:val="single" w:sz="3" w:space="0" w:color="D0D7DE"/>
              <w:left w:val="single" w:sz="3" w:space="0" w:color="D0D7DE"/>
              <w:bottom w:val="single" w:sz="3" w:space="0" w:color="D0D7DE"/>
              <w:right w:val="single" w:sz="3" w:space="0" w:color="D0D7DE"/>
            </w:tcBorders>
            <w:shd w:val="clear" w:color="auto" w:fill="F6F8FA"/>
            <w:vAlign w:val="center"/>
          </w:tcPr>
          <w:p w14:paraId="5CC74C11" w14:textId="77777777" w:rsidR="008F088D" w:rsidRDefault="00000000">
            <w:pPr>
              <w:spacing w:after="0" w:line="259" w:lineRule="auto"/>
              <w:ind w:left="0" w:firstLine="0"/>
            </w:pPr>
            <w:r>
              <w:rPr>
                <w:sz w:val="16"/>
              </w:rPr>
              <w:t>5413.0</w:t>
            </w:r>
          </w:p>
        </w:tc>
        <w:tc>
          <w:tcPr>
            <w:tcW w:w="2041" w:type="dxa"/>
            <w:tcBorders>
              <w:top w:val="single" w:sz="3" w:space="0" w:color="D0D7DE"/>
              <w:left w:val="single" w:sz="3" w:space="0" w:color="D0D7DE"/>
              <w:bottom w:val="single" w:sz="3" w:space="0" w:color="D0D7DE"/>
              <w:right w:val="single" w:sz="3" w:space="0" w:color="D0D7DE"/>
            </w:tcBorders>
            <w:shd w:val="clear" w:color="auto" w:fill="F6F8FA"/>
            <w:vAlign w:val="center"/>
          </w:tcPr>
          <w:p w14:paraId="64BE14AC" w14:textId="77777777" w:rsidR="008F088D" w:rsidRDefault="00000000">
            <w:pPr>
              <w:spacing w:after="0" w:line="259" w:lineRule="auto"/>
              <w:ind w:left="0" w:firstLine="0"/>
            </w:pPr>
            <w:r>
              <w:rPr>
                <w:sz w:val="16"/>
              </w:rPr>
              <w:t>151892500</w:t>
            </w:r>
          </w:p>
        </w:tc>
        <w:tc>
          <w:tcPr>
            <w:tcW w:w="1701" w:type="dxa"/>
            <w:tcBorders>
              <w:top w:val="single" w:sz="3" w:space="0" w:color="D0D7DE"/>
              <w:left w:val="single" w:sz="3" w:space="0" w:color="D0D7DE"/>
              <w:bottom w:val="single" w:sz="3" w:space="0" w:color="D0D7DE"/>
              <w:right w:val="single" w:sz="3" w:space="0" w:color="D0D7DE"/>
            </w:tcBorders>
            <w:shd w:val="clear" w:color="auto" w:fill="F6F8FA"/>
            <w:vAlign w:val="center"/>
          </w:tcPr>
          <w:p w14:paraId="6B2BE4EC" w14:textId="77777777" w:rsidR="008F088D" w:rsidRDefault="00000000">
            <w:pPr>
              <w:spacing w:after="0" w:line="259" w:lineRule="auto"/>
              <w:ind w:left="0" w:firstLine="0"/>
            </w:pPr>
            <w:r>
              <w:rPr>
                <w:sz w:val="16"/>
              </w:rPr>
              <w:t>Equity</w:t>
            </w:r>
          </w:p>
        </w:tc>
      </w:tr>
    </w:tbl>
    <w:p w14:paraId="4DFC6851" w14:textId="77777777" w:rsidR="008F088D" w:rsidRDefault="00000000">
      <w:pPr>
        <w:spacing w:after="0"/>
        <w:ind w:left="-5"/>
      </w:pPr>
      <w:r>
        <w:t>Of 2,317 investors with 6+ SIP transactions, 2,174 (93.8%) show an average gap between SIP instalments exceeding 35 days — flagged as 'at-risk' for SIP discontinuation and a useful signal for retention outreach.</w:t>
      </w:r>
      <w:r>
        <w:br w:type="page"/>
      </w:r>
    </w:p>
    <w:p w14:paraId="673ACA95" w14:textId="77777777" w:rsidR="008F088D" w:rsidRDefault="00000000">
      <w:pPr>
        <w:pStyle w:val="Heading1"/>
        <w:ind w:left="385" w:hanging="400"/>
      </w:pPr>
      <w:r>
        <w:lastRenderedPageBreak/>
        <w:t>Recommendations</w:t>
      </w:r>
    </w:p>
    <w:p w14:paraId="557AAA31" w14:textId="77777777" w:rsidR="008F088D" w:rsidRDefault="00000000">
      <w:pPr>
        <w:numPr>
          <w:ilvl w:val="0"/>
          <w:numId w:val="2"/>
        </w:numPr>
        <w:ind w:hanging="126"/>
      </w:pPr>
      <w:proofErr w:type="spellStart"/>
      <w:r>
        <w:t>Prioritise</w:t>
      </w:r>
      <w:proofErr w:type="spellEnd"/>
      <w:r>
        <w:t xml:space="preserve"> the top-scorecard funds (Kotak </w:t>
      </w:r>
      <w:proofErr w:type="spellStart"/>
      <w:r>
        <w:t>Bluechip</w:t>
      </w:r>
      <w:proofErr w:type="spellEnd"/>
      <w:r>
        <w:t xml:space="preserve">, Nippon India Aggressive Hybrid, Axis </w:t>
      </w:r>
      <w:proofErr w:type="spellStart"/>
      <w:r>
        <w:t>AggressiveHybrid</w:t>
      </w:r>
      <w:proofErr w:type="spellEnd"/>
      <w:r>
        <w:t>) for investors seeking risk-adjusted outperformance; each combines strong 3-year returns with Sharpe ratios above 1.4 and positive alpha vs Nifty 100.</w:t>
      </w:r>
    </w:p>
    <w:p w14:paraId="5DE00180" w14:textId="77777777" w:rsidR="008F088D" w:rsidRDefault="00000000">
      <w:pPr>
        <w:numPr>
          <w:ilvl w:val="0"/>
          <w:numId w:val="2"/>
        </w:numPr>
        <w:ind w:hanging="126"/>
      </w:pPr>
      <w:r>
        <w:t xml:space="preserve">Flag Small Cap schemes for investors with genuinely </w:t>
      </w:r>
      <w:proofErr w:type="gramStart"/>
      <w:r>
        <w:t>high risk</w:t>
      </w:r>
      <w:proofErr w:type="gramEnd"/>
      <w:r>
        <w:t xml:space="preserve"> tolerance only — this category shows </w:t>
      </w:r>
      <w:proofErr w:type="spellStart"/>
      <w:r>
        <w:t>boththe</w:t>
      </w:r>
      <w:proofErr w:type="spellEnd"/>
      <w:r>
        <w:t xml:space="preserve"> highest returns and the deepest drawdowns/</w:t>
      </w:r>
      <w:proofErr w:type="spellStart"/>
      <w:r>
        <w:t>VaR</w:t>
      </w:r>
      <w:proofErr w:type="spellEnd"/>
      <w:r>
        <w:t xml:space="preserve"> in the dataset.</w:t>
      </w:r>
    </w:p>
    <w:p w14:paraId="75A67452" w14:textId="77777777" w:rsidR="008F088D" w:rsidRDefault="00000000">
      <w:pPr>
        <w:numPr>
          <w:ilvl w:val="0"/>
          <w:numId w:val="2"/>
        </w:numPr>
        <w:ind w:hanging="126"/>
      </w:pPr>
      <w:r>
        <w:t>Target SIP-retention campaigns at the roughly 94% of long-tenure SIP investors currently flagged 'at-risk'(average instalment gap &gt; 35 days), starting with the largest-ticket segments.</w:t>
      </w:r>
    </w:p>
    <w:p w14:paraId="0DC9726A" w14:textId="77777777" w:rsidR="008F088D" w:rsidRDefault="00000000">
      <w:pPr>
        <w:numPr>
          <w:ilvl w:val="0"/>
          <w:numId w:val="2"/>
        </w:numPr>
        <w:ind w:hanging="126"/>
      </w:pPr>
      <w:r>
        <w:t>Use the sector-HHI output to flag concentration risk to investors holding multiple high-HHI Small Cap /ELSS funds simultaneously — real diversification may be lower than the fund count suggests.</w:t>
      </w:r>
    </w:p>
    <w:p w14:paraId="04371378" w14:textId="77777777" w:rsidR="008F088D" w:rsidRDefault="00000000">
      <w:pPr>
        <w:numPr>
          <w:ilvl w:val="0"/>
          <w:numId w:val="2"/>
        </w:numPr>
        <w:spacing w:after="3"/>
        <w:ind w:hanging="126"/>
      </w:pPr>
      <w:r>
        <w:t>Continue to grow the T30-city base while specifically targeting the identified B30 states (Uttar Pradesh,</w:t>
      </w:r>
    </w:p>
    <w:p w14:paraId="4FF29698" w14:textId="77777777" w:rsidR="008F088D" w:rsidRDefault="00000000">
      <w:pPr>
        <w:spacing w:after="439"/>
        <w:ind w:left="-5"/>
      </w:pPr>
      <w:r>
        <w:t>Rajasthan, Punjab, Kerala, Madhya Pradesh) where AMFI's own push for B30 penetration remains a stated industry priority.</w:t>
      </w:r>
    </w:p>
    <w:p w14:paraId="2888214F" w14:textId="77777777" w:rsidR="008F088D" w:rsidRDefault="00000000">
      <w:pPr>
        <w:pStyle w:val="Heading1"/>
        <w:ind w:left="385" w:hanging="400"/>
      </w:pPr>
      <w:r>
        <w:t>Limitations</w:t>
      </w:r>
    </w:p>
    <w:p w14:paraId="0972903F" w14:textId="77777777" w:rsidR="008F088D" w:rsidRDefault="00000000">
      <w:pPr>
        <w:numPr>
          <w:ilvl w:val="0"/>
          <w:numId w:val="3"/>
        </w:numPr>
      </w:pPr>
      <w:r>
        <w:t xml:space="preserve">Daily NAV and the 5,000-investor transaction dataset are simulated forward from real anchor points, </w:t>
      </w:r>
      <w:proofErr w:type="spellStart"/>
      <w:r>
        <w:t>notsourced</w:t>
      </w:r>
      <w:proofErr w:type="spellEnd"/>
      <w:r>
        <w:t xml:space="preserve"> live from AMFI/NSE/BSE — absolute NAV levels and individual transaction records should not be treated as real historical market data.</w:t>
      </w:r>
    </w:p>
    <w:p w14:paraId="0B146B60" w14:textId="77777777" w:rsidR="008F088D" w:rsidRDefault="00000000">
      <w:pPr>
        <w:numPr>
          <w:ilvl w:val="0"/>
          <w:numId w:val="3"/>
        </w:numPr>
      </w:pPr>
      <w:r>
        <w:t xml:space="preserve">Benchmark index levels (Nifty 50/100/Midcap150, BSE SmallCap, CRISIL indices) are simulated </w:t>
      </w:r>
      <w:proofErr w:type="spellStart"/>
      <w:r>
        <w:t>withrealistic</w:t>
      </w:r>
      <w:proofErr w:type="spellEnd"/>
      <w:r>
        <w:t xml:space="preserve"> parameters rather than fetched from NSE/BSE </w:t>
      </w:r>
      <w:proofErr w:type="spellStart"/>
      <w:r>
        <w:t>bhavcopy</w:t>
      </w:r>
      <w:proofErr w:type="spellEnd"/>
      <w:r>
        <w:t xml:space="preserve"> files, due to network access restrictions in this build environment.</w:t>
      </w:r>
    </w:p>
    <w:p w14:paraId="2967F4FA" w14:textId="77777777" w:rsidR="008F088D" w:rsidRDefault="00000000">
      <w:pPr>
        <w:numPr>
          <w:ilvl w:val="0"/>
          <w:numId w:val="3"/>
        </w:numPr>
      </w:pPr>
      <w:r>
        <w:t xml:space="preserve">The Power BI/Tableau dashboard itself was not built in this environment (no desktop BI tool available) — </w:t>
      </w:r>
      <w:proofErr w:type="spellStart"/>
      <w:r>
        <w:t>acomplete</w:t>
      </w:r>
      <w:proofErr w:type="spellEnd"/>
      <w:r>
        <w:t xml:space="preserve">, page-by-page build guide is provided instead in </w:t>
      </w:r>
      <w:r>
        <w:rPr>
          <w:b/>
        </w:rPr>
        <w:t>dashboard/POWERBI_GUIDE.md</w:t>
      </w:r>
      <w:r>
        <w:t>.</w:t>
      </w:r>
    </w:p>
    <w:p w14:paraId="142DF004" w14:textId="77777777" w:rsidR="008F088D" w:rsidRDefault="00000000">
      <w:pPr>
        <w:numPr>
          <w:ilvl w:val="0"/>
          <w:numId w:val="3"/>
        </w:numPr>
        <w:spacing w:after="210"/>
      </w:pPr>
      <w:r>
        <w:t xml:space="preserve">Risk-free rate is held constant at 6.5% (RBI repo-rate proxy) for the full period rather than using the </w:t>
      </w:r>
      <w:proofErr w:type="spellStart"/>
      <w:r>
        <w:t>actualhistorical</w:t>
      </w:r>
      <w:proofErr w:type="spellEnd"/>
      <w:r>
        <w:t xml:space="preserve"> repo-rate path.</w:t>
      </w:r>
    </w:p>
    <w:p w14:paraId="415D9116" w14:textId="77777777" w:rsidR="008F088D" w:rsidRDefault="00000000">
      <w:pPr>
        <w:spacing w:after="245" w:line="259" w:lineRule="auto"/>
        <w:ind w:left="0" w:firstLine="0"/>
      </w:pPr>
      <w:r>
        <w:rPr>
          <w:rFonts w:ascii="Calibri" w:eastAsia="Calibri" w:hAnsi="Calibri" w:cs="Calibri"/>
          <w:noProof/>
          <w:sz w:val="22"/>
        </w:rPr>
        <mc:AlternateContent>
          <mc:Choice Requires="wpg">
            <w:drawing>
              <wp:inline distT="0" distB="0" distL="0" distR="0" wp14:anchorId="290616C8" wp14:editId="69A4CFAB">
                <wp:extent cx="6111600" cy="7620"/>
                <wp:effectExtent l="0" t="0" r="0" b="0"/>
                <wp:docPr id="7723" name="Group 7723"/>
                <wp:cNvGraphicFramePr/>
                <a:graphic xmlns:a="http://schemas.openxmlformats.org/drawingml/2006/main">
                  <a:graphicData uri="http://schemas.microsoft.com/office/word/2010/wordprocessingGroup">
                    <wpg:wgp>
                      <wpg:cNvGrpSpPr/>
                      <wpg:grpSpPr>
                        <a:xfrm>
                          <a:off x="0" y="0"/>
                          <a:ext cx="6111600" cy="7620"/>
                          <a:chOff x="0" y="0"/>
                          <a:chExt cx="6111600" cy="7620"/>
                        </a:xfrm>
                      </wpg:grpSpPr>
                      <wps:wsp>
                        <wps:cNvPr id="558" name="Shape 558"/>
                        <wps:cNvSpPr/>
                        <wps:spPr>
                          <a:xfrm>
                            <a:off x="0" y="0"/>
                            <a:ext cx="6111600" cy="0"/>
                          </a:xfrm>
                          <a:custGeom>
                            <a:avLst/>
                            <a:gdLst/>
                            <a:ahLst/>
                            <a:cxnLst/>
                            <a:rect l="0" t="0" r="0" b="0"/>
                            <a:pathLst>
                              <a:path w="6111600">
                                <a:moveTo>
                                  <a:pt x="0" y="0"/>
                                </a:moveTo>
                                <a:lnTo>
                                  <a:pt x="6111600" y="0"/>
                                </a:lnTo>
                              </a:path>
                            </a:pathLst>
                          </a:custGeom>
                          <a:ln w="7620" cap="rnd">
                            <a:miter lim="127000"/>
                          </a:ln>
                        </wps:spPr>
                        <wps:style>
                          <a:lnRef idx="1">
                            <a:srgbClr val="D0D7DE"/>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7723" style="width:481.228pt;height:0.6pt;mso-position-horizontal-relative:char;mso-position-vertical-relative:line" coordsize="61116,76">
                <v:shape id="Shape 558" style="position:absolute;width:61116;height:0;left:0;top:0;" coordsize="6111600,0" path="m0,0l6111600,0">
                  <v:stroke weight="0.6pt" endcap="round" joinstyle="miter" miterlimit="10" on="true" color="#d0d7de"/>
                  <v:fill on="false" color="#000000" opacity="0"/>
                </v:shape>
              </v:group>
            </w:pict>
          </mc:Fallback>
        </mc:AlternateContent>
      </w:r>
    </w:p>
    <w:p w14:paraId="3D93C558" w14:textId="77777777" w:rsidR="008F088D" w:rsidRDefault="00000000">
      <w:pPr>
        <w:spacing w:after="220" w:line="261" w:lineRule="auto"/>
        <w:ind w:left="-5"/>
      </w:pPr>
      <w:r>
        <w:rPr>
          <w:color w:val="808080"/>
          <w:sz w:val="16"/>
        </w:rPr>
        <w:t>Bluestock Fintech | Mutual Fund Analytics Capstone — Final Report. Educational project; not investment advice. Mutual fund investments are subject to market risks.</w:t>
      </w:r>
    </w:p>
    <w:sectPr w:rsidR="008F088D">
      <w:pgSz w:w="11906" w:h="16838"/>
      <w:pgMar w:top="1027" w:right="1140" w:bottom="1202" w:left="11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684B22"/>
    <w:multiLevelType w:val="hybridMultilevel"/>
    <w:tmpl w:val="406E50DE"/>
    <w:lvl w:ilvl="0" w:tplc="B1A6A92E">
      <w:start w:val="1"/>
      <w:numFmt w:val="bullet"/>
      <w:lvlText w:val="•"/>
      <w:lvlJc w:val="left"/>
      <w:pPr>
        <w:ind w:left="1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7AC4B70">
      <w:start w:val="1"/>
      <w:numFmt w:val="bullet"/>
      <w:lvlText w:val="o"/>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8F9E1E54">
      <w:start w:val="1"/>
      <w:numFmt w:val="bullet"/>
      <w:lvlText w:val="▪"/>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D2FEED16">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B2EDEA0">
      <w:start w:val="1"/>
      <w:numFmt w:val="bullet"/>
      <w:lvlText w:val="o"/>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360CFC6C">
      <w:start w:val="1"/>
      <w:numFmt w:val="bullet"/>
      <w:lvlText w:val="▪"/>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4E4E55CC">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864F5FE">
      <w:start w:val="1"/>
      <w:numFmt w:val="bullet"/>
      <w:lvlText w:val="o"/>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ADB8D918">
      <w:start w:val="1"/>
      <w:numFmt w:val="bullet"/>
      <w:lvlText w:val="▪"/>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35B46B76"/>
    <w:multiLevelType w:val="hybridMultilevel"/>
    <w:tmpl w:val="9B3A9814"/>
    <w:lvl w:ilvl="0" w:tplc="A99C7550">
      <w:start w:val="1"/>
      <w:numFmt w:val="bullet"/>
      <w:lvlText w:val="•"/>
      <w:lvlJc w:val="left"/>
      <w:pPr>
        <w:ind w:left="12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5AA03BA">
      <w:start w:val="1"/>
      <w:numFmt w:val="bullet"/>
      <w:lvlText w:val="o"/>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701AEF22">
      <w:start w:val="1"/>
      <w:numFmt w:val="bullet"/>
      <w:lvlText w:val="▪"/>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8118E6B2">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60886C8">
      <w:start w:val="1"/>
      <w:numFmt w:val="bullet"/>
      <w:lvlText w:val="o"/>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1B3E602C">
      <w:start w:val="1"/>
      <w:numFmt w:val="bullet"/>
      <w:lvlText w:val="▪"/>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E616755A">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C0E94D4">
      <w:start w:val="1"/>
      <w:numFmt w:val="bullet"/>
      <w:lvlText w:val="o"/>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18AAA65C">
      <w:start w:val="1"/>
      <w:numFmt w:val="bullet"/>
      <w:lvlText w:val="▪"/>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64D22329"/>
    <w:multiLevelType w:val="hybridMultilevel"/>
    <w:tmpl w:val="1D127DDA"/>
    <w:lvl w:ilvl="0" w:tplc="A49ECBE8">
      <w:start w:val="1"/>
      <w:numFmt w:val="decimal"/>
      <w:pStyle w:val="Heading1"/>
      <w:lvlText w:val="%1."/>
      <w:lvlJc w:val="left"/>
      <w:pPr>
        <w:ind w:left="0"/>
      </w:pPr>
      <w:rPr>
        <w:rFonts w:ascii="Arial" w:eastAsia="Arial" w:hAnsi="Arial" w:cs="Arial"/>
        <w:b/>
        <w:bCs/>
        <w:i w:val="0"/>
        <w:strike w:val="0"/>
        <w:dstrike w:val="0"/>
        <w:color w:val="0D1117"/>
        <w:sz w:val="36"/>
        <w:szCs w:val="36"/>
        <w:u w:val="none" w:color="000000"/>
        <w:bdr w:val="none" w:sz="0" w:space="0" w:color="auto"/>
        <w:shd w:val="clear" w:color="auto" w:fill="auto"/>
        <w:vertAlign w:val="baseline"/>
      </w:rPr>
    </w:lvl>
    <w:lvl w:ilvl="1" w:tplc="218090F4">
      <w:start w:val="1"/>
      <w:numFmt w:val="lowerLetter"/>
      <w:lvlText w:val="%2"/>
      <w:lvlJc w:val="left"/>
      <w:pPr>
        <w:ind w:left="1080"/>
      </w:pPr>
      <w:rPr>
        <w:rFonts w:ascii="Arial" w:eastAsia="Arial" w:hAnsi="Arial" w:cs="Arial"/>
        <w:b/>
        <w:bCs/>
        <w:i w:val="0"/>
        <w:strike w:val="0"/>
        <w:dstrike w:val="0"/>
        <w:color w:val="0D1117"/>
        <w:sz w:val="36"/>
        <w:szCs w:val="36"/>
        <w:u w:val="none" w:color="000000"/>
        <w:bdr w:val="none" w:sz="0" w:space="0" w:color="auto"/>
        <w:shd w:val="clear" w:color="auto" w:fill="auto"/>
        <w:vertAlign w:val="baseline"/>
      </w:rPr>
    </w:lvl>
    <w:lvl w:ilvl="2" w:tplc="56A6879E">
      <w:start w:val="1"/>
      <w:numFmt w:val="lowerRoman"/>
      <w:lvlText w:val="%3"/>
      <w:lvlJc w:val="left"/>
      <w:pPr>
        <w:ind w:left="1800"/>
      </w:pPr>
      <w:rPr>
        <w:rFonts w:ascii="Arial" w:eastAsia="Arial" w:hAnsi="Arial" w:cs="Arial"/>
        <w:b/>
        <w:bCs/>
        <w:i w:val="0"/>
        <w:strike w:val="0"/>
        <w:dstrike w:val="0"/>
        <w:color w:val="0D1117"/>
        <w:sz w:val="36"/>
        <w:szCs w:val="36"/>
        <w:u w:val="none" w:color="000000"/>
        <w:bdr w:val="none" w:sz="0" w:space="0" w:color="auto"/>
        <w:shd w:val="clear" w:color="auto" w:fill="auto"/>
        <w:vertAlign w:val="baseline"/>
      </w:rPr>
    </w:lvl>
    <w:lvl w:ilvl="3" w:tplc="4A1A55FE">
      <w:start w:val="1"/>
      <w:numFmt w:val="decimal"/>
      <w:lvlText w:val="%4"/>
      <w:lvlJc w:val="left"/>
      <w:pPr>
        <w:ind w:left="2520"/>
      </w:pPr>
      <w:rPr>
        <w:rFonts w:ascii="Arial" w:eastAsia="Arial" w:hAnsi="Arial" w:cs="Arial"/>
        <w:b/>
        <w:bCs/>
        <w:i w:val="0"/>
        <w:strike w:val="0"/>
        <w:dstrike w:val="0"/>
        <w:color w:val="0D1117"/>
        <w:sz w:val="36"/>
        <w:szCs w:val="36"/>
        <w:u w:val="none" w:color="000000"/>
        <w:bdr w:val="none" w:sz="0" w:space="0" w:color="auto"/>
        <w:shd w:val="clear" w:color="auto" w:fill="auto"/>
        <w:vertAlign w:val="baseline"/>
      </w:rPr>
    </w:lvl>
    <w:lvl w:ilvl="4" w:tplc="4A2283EA">
      <w:start w:val="1"/>
      <w:numFmt w:val="lowerLetter"/>
      <w:lvlText w:val="%5"/>
      <w:lvlJc w:val="left"/>
      <w:pPr>
        <w:ind w:left="3240"/>
      </w:pPr>
      <w:rPr>
        <w:rFonts w:ascii="Arial" w:eastAsia="Arial" w:hAnsi="Arial" w:cs="Arial"/>
        <w:b/>
        <w:bCs/>
        <w:i w:val="0"/>
        <w:strike w:val="0"/>
        <w:dstrike w:val="0"/>
        <w:color w:val="0D1117"/>
        <w:sz w:val="36"/>
        <w:szCs w:val="36"/>
        <w:u w:val="none" w:color="000000"/>
        <w:bdr w:val="none" w:sz="0" w:space="0" w:color="auto"/>
        <w:shd w:val="clear" w:color="auto" w:fill="auto"/>
        <w:vertAlign w:val="baseline"/>
      </w:rPr>
    </w:lvl>
    <w:lvl w:ilvl="5" w:tplc="10864E3C">
      <w:start w:val="1"/>
      <w:numFmt w:val="lowerRoman"/>
      <w:lvlText w:val="%6"/>
      <w:lvlJc w:val="left"/>
      <w:pPr>
        <w:ind w:left="3960"/>
      </w:pPr>
      <w:rPr>
        <w:rFonts w:ascii="Arial" w:eastAsia="Arial" w:hAnsi="Arial" w:cs="Arial"/>
        <w:b/>
        <w:bCs/>
        <w:i w:val="0"/>
        <w:strike w:val="0"/>
        <w:dstrike w:val="0"/>
        <w:color w:val="0D1117"/>
        <w:sz w:val="36"/>
        <w:szCs w:val="36"/>
        <w:u w:val="none" w:color="000000"/>
        <w:bdr w:val="none" w:sz="0" w:space="0" w:color="auto"/>
        <w:shd w:val="clear" w:color="auto" w:fill="auto"/>
        <w:vertAlign w:val="baseline"/>
      </w:rPr>
    </w:lvl>
    <w:lvl w:ilvl="6" w:tplc="E8721FF6">
      <w:start w:val="1"/>
      <w:numFmt w:val="decimal"/>
      <w:lvlText w:val="%7"/>
      <w:lvlJc w:val="left"/>
      <w:pPr>
        <w:ind w:left="4680"/>
      </w:pPr>
      <w:rPr>
        <w:rFonts w:ascii="Arial" w:eastAsia="Arial" w:hAnsi="Arial" w:cs="Arial"/>
        <w:b/>
        <w:bCs/>
        <w:i w:val="0"/>
        <w:strike w:val="0"/>
        <w:dstrike w:val="0"/>
        <w:color w:val="0D1117"/>
        <w:sz w:val="36"/>
        <w:szCs w:val="36"/>
        <w:u w:val="none" w:color="000000"/>
        <w:bdr w:val="none" w:sz="0" w:space="0" w:color="auto"/>
        <w:shd w:val="clear" w:color="auto" w:fill="auto"/>
        <w:vertAlign w:val="baseline"/>
      </w:rPr>
    </w:lvl>
    <w:lvl w:ilvl="7" w:tplc="966086CC">
      <w:start w:val="1"/>
      <w:numFmt w:val="lowerLetter"/>
      <w:lvlText w:val="%8"/>
      <w:lvlJc w:val="left"/>
      <w:pPr>
        <w:ind w:left="5400"/>
      </w:pPr>
      <w:rPr>
        <w:rFonts w:ascii="Arial" w:eastAsia="Arial" w:hAnsi="Arial" w:cs="Arial"/>
        <w:b/>
        <w:bCs/>
        <w:i w:val="0"/>
        <w:strike w:val="0"/>
        <w:dstrike w:val="0"/>
        <w:color w:val="0D1117"/>
        <w:sz w:val="36"/>
        <w:szCs w:val="36"/>
        <w:u w:val="none" w:color="000000"/>
        <w:bdr w:val="none" w:sz="0" w:space="0" w:color="auto"/>
        <w:shd w:val="clear" w:color="auto" w:fill="auto"/>
        <w:vertAlign w:val="baseline"/>
      </w:rPr>
    </w:lvl>
    <w:lvl w:ilvl="8" w:tplc="E5E06FC2">
      <w:start w:val="1"/>
      <w:numFmt w:val="lowerRoman"/>
      <w:lvlText w:val="%9"/>
      <w:lvlJc w:val="left"/>
      <w:pPr>
        <w:ind w:left="6120"/>
      </w:pPr>
      <w:rPr>
        <w:rFonts w:ascii="Arial" w:eastAsia="Arial" w:hAnsi="Arial" w:cs="Arial"/>
        <w:b/>
        <w:bCs/>
        <w:i w:val="0"/>
        <w:strike w:val="0"/>
        <w:dstrike w:val="0"/>
        <w:color w:val="0D1117"/>
        <w:sz w:val="36"/>
        <w:szCs w:val="36"/>
        <w:u w:val="none" w:color="000000"/>
        <w:bdr w:val="none" w:sz="0" w:space="0" w:color="auto"/>
        <w:shd w:val="clear" w:color="auto" w:fill="auto"/>
        <w:vertAlign w:val="baseline"/>
      </w:rPr>
    </w:lvl>
  </w:abstractNum>
  <w:abstractNum w:abstractNumId="3" w15:restartNumberingAfterBreak="0">
    <w:nsid w:val="64FC608D"/>
    <w:multiLevelType w:val="hybridMultilevel"/>
    <w:tmpl w:val="BE1A93FA"/>
    <w:lvl w:ilvl="0" w:tplc="6F2A2D1C">
      <w:start w:val="1"/>
      <w:numFmt w:val="decimal"/>
      <w:lvlText w:val="%1."/>
      <w:lvlJc w:val="left"/>
      <w:pPr>
        <w:ind w:left="3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EB06E92">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4B52F576">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54524B18">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6F28766">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FE128EF0">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FB3601F6">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24CFA30">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8E84F9FE">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num w:numId="1" w16cid:durableId="1486706057">
    <w:abstractNumId w:val="3"/>
  </w:num>
  <w:num w:numId="2" w16cid:durableId="2071075356">
    <w:abstractNumId w:val="1"/>
  </w:num>
  <w:num w:numId="3" w16cid:durableId="1750421414">
    <w:abstractNumId w:val="0"/>
  </w:num>
  <w:num w:numId="4" w16cid:durableId="156429660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F088D"/>
    <w:rsid w:val="006D6962"/>
    <w:rsid w:val="008F088D"/>
    <w:rsid w:val="00D61FEF"/>
    <w:rsid w:val="00ED1942"/>
    <w:rsid w:val="00F13784"/>
    <w:rsid w:val="00F414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421E11"/>
  <w15:docId w15:val="{CFB692E2-319A-484E-911D-4FBE3F31DA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1" w:line="293" w:lineRule="auto"/>
      <w:ind w:left="10" w:hanging="10"/>
    </w:pPr>
    <w:rPr>
      <w:rFonts w:ascii="Arial" w:eastAsia="Arial" w:hAnsi="Arial" w:cs="Arial"/>
      <w:color w:val="000000"/>
      <w:sz w:val="20"/>
    </w:rPr>
  </w:style>
  <w:style w:type="paragraph" w:styleId="Heading1">
    <w:name w:val="heading 1"/>
    <w:next w:val="Normal"/>
    <w:link w:val="Heading1Char"/>
    <w:uiPriority w:val="9"/>
    <w:qFormat/>
    <w:pPr>
      <w:keepNext/>
      <w:keepLines/>
      <w:numPr>
        <w:numId w:val="4"/>
      </w:numPr>
      <w:spacing w:after="33" w:line="259" w:lineRule="auto"/>
      <w:ind w:left="10" w:hanging="10"/>
      <w:outlineLvl w:val="0"/>
    </w:pPr>
    <w:rPr>
      <w:rFonts w:ascii="Arial" w:eastAsia="Arial" w:hAnsi="Arial" w:cs="Arial"/>
      <w:b/>
      <w:color w:val="0D1117"/>
      <w:sz w:val="36"/>
    </w:rPr>
  </w:style>
  <w:style w:type="paragraph" w:styleId="Heading2">
    <w:name w:val="heading 2"/>
    <w:next w:val="Normal"/>
    <w:link w:val="Heading2Char"/>
    <w:uiPriority w:val="9"/>
    <w:unhideWhenUsed/>
    <w:qFormat/>
    <w:pPr>
      <w:keepNext/>
      <w:keepLines/>
      <w:spacing w:after="0" w:line="259" w:lineRule="auto"/>
      <w:ind w:left="10" w:hanging="10"/>
      <w:outlineLvl w:val="1"/>
    </w:pPr>
    <w:rPr>
      <w:rFonts w:ascii="Arial" w:eastAsia="Arial" w:hAnsi="Arial" w:cs="Arial"/>
      <w:b/>
      <w:color w:val="1F6FEB"/>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Arial" w:eastAsia="Arial" w:hAnsi="Arial" w:cs="Arial"/>
      <w:b/>
      <w:color w:val="1F6FEB"/>
      <w:sz w:val="28"/>
    </w:rPr>
  </w:style>
  <w:style w:type="character" w:customStyle="1" w:styleId="Heading1Char">
    <w:name w:val="Heading 1 Char"/>
    <w:link w:val="Heading1"/>
    <w:rPr>
      <w:rFonts w:ascii="Arial" w:eastAsia="Arial" w:hAnsi="Arial" w:cs="Arial"/>
      <w:b/>
      <w:color w:val="0D1117"/>
      <w:sz w:val="36"/>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g"/><Relationship Id="rId3" Type="http://schemas.openxmlformats.org/officeDocument/2006/relationships/settings" Target="settings.xml"/><Relationship Id="rId7" Type="http://schemas.openxmlformats.org/officeDocument/2006/relationships/image" Target="media/image3.jp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jpg"/><Relationship Id="rId10" Type="http://schemas.openxmlformats.org/officeDocument/2006/relationships/image" Target="media/image6.jpg"/><Relationship Id="rId4" Type="http://schemas.openxmlformats.org/officeDocument/2006/relationships/webSettings" Target="webSettings.xml"/><Relationship Id="rId9"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TotalTime>
  <Pages>1</Pages>
  <Words>1602</Words>
  <Characters>9135</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(anonymous)</vt:lpstr>
    </vt:vector>
  </TitlesOfParts>
  <Company/>
  <LinksUpToDate>false</LinksUpToDate>
  <CharactersWithSpaces>10716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(anonymous)</dc:title>
  <dc:subject>(unspecified)</dc:subject>
  <dc:creator>(anonymous)</dc:creator>
  <cp:keywords/>
  <cp:lastModifiedBy>gopimuppuri369@outlook.com</cp:lastModifiedBy>
  <cp:revision>4</cp:revision>
  <cp:lastPrinted>2026-07-10T16:49:00Z</cp:lastPrinted>
  <dcterms:created xsi:type="dcterms:W3CDTF">2026-07-10T05:19:00Z</dcterms:created>
  <dcterms:modified xsi:type="dcterms:W3CDTF">2026-07-10T16:51:00Z</dcterms:modified>
</cp:coreProperties>
</file>