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4200"/>
            </w:pPr>
          </w:p>
          <w:p>
            <w:pPr>
              <w:spacing w:after="120" w:line="552" w:lineRule="atLeast"/>
              <w:jc w:val="center"/>
            </w:pPr>
            <w:r>
              <w:rPr>
                <w:rFonts w:ascii="Times New Roman" w:cs="Times New Roman" w:eastAsia="Times New Roman" w:hAnsi="Times New Roman"/>
                <w:b/>
                <w:bCs/>
                <w:sz w:val="48"/>
                <w:szCs w:val="48"/>
              </w:rPr>
              <w:t xml:space="preserve">Marco Teorico del Analisis</w:t>
            </w:r>
          </w:p>
          <w:p>
            <w:pPr>
              <w:spacing w:after="120" w:line="552" w:lineRule="atLeast"/>
              <w:jc w:val="center"/>
            </w:pPr>
            <w:r>
              <w:rPr>
                <w:rFonts w:ascii="Times New Roman" w:cs="Times New Roman" w:eastAsia="Times New Roman" w:hAnsi="Times New Roman"/>
                <w:b/>
                <w:bCs/>
                <w:sz w:val="48"/>
                <w:szCs w:val="48"/>
              </w:rPr>
              <w:t xml:space="preserve">Tecnico-Economico de una Linea</w:t>
            </w:r>
          </w:p>
          <w:p>
            <w:pPr>
              <w:spacing w:after="300" w:line="552" w:lineRule="atLeast"/>
              <w:jc w:val="center"/>
            </w:pPr>
            <w:r>
              <w:rPr>
                <w:rFonts w:ascii="Times New Roman" w:cs="Times New Roman" w:eastAsia="Times New Roman" w:hAnsi="Times New Roman"/>
                <w:b/>
                <w:bCs/>
                <w:sz w:val="48"/>
                <w:szCs w:val="48"/>
              </w:rPr>
              <w:t xml:space="preserve">de Envasado de Pulpa de Frutas</w:t>
            </w:r>
          </w:p>
          <w:p>
            <w:pPr>
              <w:spacing w:before="1615"/>
            </w:pPr>
          </w:p>
          <w:tbl>
            <w:tblPr>
              <w:tblW w:type="pct" w:w="7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sz w:val="24"/>
                      <w:szCs w:val="24"/>
                    </w:rPr>
                    <w:t xml:space="preserve">Materia:</w:t>
                  </w:r>
                </w:p>
              </w:tc>
              <w:tc>
                <w:tcPr>
                  <w:tcW w:type="pct" w:w="6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sz w:val="24"/>
                      <w:szCs w:val="24"/>
                    </w:rPr>
                    <w:t xml:space="preserve">Gestion de Operaciones</w:t>
                  </w:r>
                </w:p>
              </w:tc>
            </w:tr>
            <w:tr>
              <w:tc>
                <w:tcPr>
                  <w:tcW w:type="pct" w:w="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sz w:val="24"/>
                      <w:szCs w:val="24"/>
                    </w:rPr>
                    <w:t xml:space="preserve">Integrantes:</w:t>
                  </w:r>
                </w:p>
              </w:tc>
              <w:tc>
                <w:tcPr>
                  <w:tcW w:type="pct" w:w="6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sz w:val="24"/>
                      <w:szCs w:val="24"/>
                    </w:rPr>
                    <w:t xml:space="preserve">Bryan Villegas, Hernan Bobecca, Jason Zambrano, Lluvy Villan</w:t>
                  </w:r>
                </w:p>
              </w:tc>
            </w:tr>
            <w:tr>
              <w:tc>
                <w:tcPr>
                  <w:tcW w:type="pct" w:w="4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s="Times New Roman" w:eastAsia="Times New Roman" w:hAnsi="Times New Roman"/>
                      <w:sz w:val="24"/>
                      <w:szCs w:val="24"/>
                    </w:rPr>
                    <w:t xml:space="preserve">Carrera:</w:t>
                  </w:r>
                </w:p>
              </w:tc>
              <w:tc>
                <w:tcPr>
                  <w:tcW w:type="pct" w:w="6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s="Times New Roman" w:eastAsia="Times New Roman" w:hAnsi="Times New Roman"/>
                      <w:sz w:val="24"/>
                      <w:szCs w:val="24"/>
                    </w:rPr>
                    <w:t xml:space="preserve">Ingenieria Industrial</w:t>
                  </w:r>
                </w:p>
              </w:tc>
            </w:tr>
          </w:tbl>
          <w:p>
            <w:pPr>
              <w:spacing w:before="4800"/>
            </w:pPr>
          </w:p>
        </w:tc>
      </w:tr>
    </w:tbl>
    <w:p>
      <w:pPr>
        <w:sectPr>
          <w:pgSz w:w="11906" w:h="16838" w:orient="portrait"/>
          <w:pgMar w:top="0" w:right="0" w:bottom="0" w:left="0" w:header="708" w:footer="708" w:gutter="0"/>
          <w:pgNumType/>
          <w:docGrid w:linePitch="360"/>
        </w:sectPr>
      </w:pPr>
    </w:p>
    <w:p>
      <w:pPr>
        <w:spacing w:after="300"/>
        <w:jc w:val="center"/>
      </w:pPr>
      <w:r>
        <w:rPr>
          <w:rFonts w:ascii="Times New Roman" w:cs="Times New Roman" w:eastAsia="Times New Roman" w:hAnsi="Times New Roman"/>
          <w:b/>
          <w:bCs/>
          <w:color w:val="000000"/>
          <w:sz w:val="32"/>
          <w:szCs w:val="32"/>
        </w:rPr>
        <w:t xml:space="preserve">Tabla de Contenidos</w:t>
      </w:r>
    </w:p>
    <w:sdt>
      <w:sdtPr>
        <w:alias w:val="Tabla de Contenido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Introduccion al Estudio de Operaciones en la Industria Alimentaria</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Indicadores de Eficiencia de Equipos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Disponibilidad</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Rendimiento</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Calidad</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Eficiencia General de los Equipos (OEE)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2.5 Tiempo Medio de Reparacion (MTTR)</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3. Analisis Economico de Inversiones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3.1 Factor de Recuperacion de Capital (FRC)</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3.2 Costo Anual Equivalente (CAE)</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4. Distribucion en Planta</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4.1 Metodo de Layout Guerchet</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5. Balance de Masa en Procesos Alimentarios</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6. Planificacion de la Mano de Obra Directa</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Referencias Bibliograficas</w:t>
            </w:r>
            <w:r>
              <w:tab/>
            </w:r>
            <w:r>
              <w:fldChar w:fldCharType="begin"/>
            </w:r>
            <w:r>
              <w:instrText xml:space="preserve"> PAGEREF _Toc100014 \h </w:instrText>
            </w:r>
            <w:r>
              <w:fldChar w:fldCharType="separate"/>
            </w:r>
            <w:r>
              <w:t>9</w:t>
            </w:r>
            <w:r>
              <w:fldChar w:fldCharType="end"/>
            </w:r>
          </w:hyperlink>
        </w:p>
        <w:p>
          <w:r>
            <w:fldChar w:fldCharType="end"/>
          </w:r>
        </w:p>
      </w:sdtContent>
    </w:sdt>
    <w:p>
      <w:pPr>
        <w:spacing w:after="200" w:before="200"/>
        <w:jc w:val="center"/>
      </w:pPr>
      <w:r>
        <w:rPr>
          <w:rFonts w:ascii="Times New Roman" w:cs="Times New Roman" w:eastAsia="Times New Roman" w:hAnsi="Times New Roman"/>
          <w:i/>
          <w:iCs/>
          <w:color w:val="999999"/>
          <w:sz w:val="18"/>
          <w:szCs w:val="18"/>
        </w:rPr>
        <w:t xml:space="preserve">(Haga clic derecho sobre la tabla de contenidos y seleccione "Actualizar campo" para actualizar los numeros de pagina)</w:t>
      </w:r>
    </w:p>
    <w:p>
      <w:r>
        <w:rPr>
          <w:sz w:val="10"/>
          <w:szCs w:val="10"/>
        </w:rPr>
        <w:t xml:space="preserve"/>
      </w:r>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Times New Roman" w:cs="Times New Roman" w:eastAsia="Times New Roman" w:hAnsi="Times New Roman"/>
          <w:b/>
          <w:bCs/>
          <w:color w:val="000000"/>
          <w:sz w:val="32"/>
          <w:szCs w:val="32"/>
        </w:rPr>
        <w:t xml:space="preserve">1. Introduccion al Estudio de Operaciones en la Industria Alimentaria</w:t>
      </w:r>
      <w:bookmarkEnd w:id="100000"/>
    </w:p>
    <w:p>
      <w:pPr>
        <w:spacing w:after="60" w:line="360"/>
        <w:ind w:firstLine="480"/>
        <w:jc w:val="both"/>
      </w:pPr>
      <w:r>
        <w:rPr>
          <w:rFonts w:ascii="Times New Roman" w:cs="Times New Roman" w:eastAsia="Times New Roman" w:hAnsi="Times New Roman"/>
          <w:color w:val="000000"/>
          <w:sz w:val="24"/>
          <w:szCs w:val="24"/>
        </w:rPr>
        <w:t xml:space="preserve">La gestion de operaciones constituye uno de los pilares fundamentales de la ingenieria industrial, especialmente en el sector agroalimentario, donde la eficiencia de los procesos productivos determina tanto la rentabilidad empresarial como la calidad del producto final. En el contexto de una linea de envasado de pulpa de frutas, el analisis tecnico-economico integra multiples disciplinas: la evaluacion de desempeno de equipos, la economia de la ingenieria, la distribucion en planta y el balance de masa, conformando un enfoque holistico que permite identificar oportunidades de mejora continua.</w:t>
      </w:r>
    </w:p>
    <w:p>
      <w:pPr>
        <w:spacing w:after="60" w:line="360"/>
        <w:ind w:firstLine="480"/>
        <w:jc w:val="both"/>
      </w:pPr>
      <w:r>
        <w:rPr>
          <w:rFonts w:ascii="Times New Roman" w:cs="Times New Roman" w:eastAsia="Times New Roman" w:hAnsi="Times New Roman"/>
          <w:color w:val="000000"/>
          <w:sz w:val="24"/>
          <w:szCs w:val="24"/>
        </w:rPr>
        <w:t xml:space="preserve">El presente marco teorico desarrolla los conceptos fundamentales que sustentan el analisis realizado en el trabajo grupal, abarcando desde los indicadores clave de eficiencia de equipos (OEE, disponibilidad, MTTR) hasta las herramientas de evaluacion economica (FRC, CAE), pasando por metodologias de distribucion en planta (layout Guerchet) y el balance de masa aplicado a la elaboracion de pulpa y miel de frutas. Cada concepto se presenta con su definicion formal, fundamentacion matematica y, cuando es pertinente, su aplicacion concreta al caso de estudio.</w:t>
      </w:r>
    </w:p>
    <w:p>
      <w:pPr>
        <w:spacing w:after="60" w:line="360"/>
        <w:ind w:firstLine="480"/>
        <w:jc w:val="both"/>
      </w:pPr>
      <w:r>
        <w:rPr>
          <w:rFonts w:ascii="Times New Roman" w:cs="Times New Roman" w:eastAsia="Times New Roman" w:hAnsi="Times New Roman"/>
          <w:color w:val="000000"/>
          <w:sz w:val="24"/>
          <w:szCs w:val="24"/>
        </w:rPr>
        <w:t xml:space="preserve">La industria de procesamiento de frutas representa un sector de gran relevancia economica en muchos paises latinoamericanos, donde la transformacion de materias primas frescas en productos con valor agregado requiere de una gestion operativa rigurosa. Los procesos de envasado, en particular, involucran equipos automatizados cuyo desempeno debe ser monitoreado mediante indicadores estandarizados a nivel internacional, como la Eficiencia General de los Equipos (OEE, por sus siglas en ingles), desarrollada originalmente por Seiichi Nakajima en el marco del Mantenimiento Productivo Total (TPM).</w:t>
      </w:r>
    </w:p>
    <w:p>
      <w:pPr>
        <w:pStyle w:val="Heading1"/>
        <w:spacing w:after="240" w:before="480" w:line="360"/>
      </w:pPr>
      <w:bookmarkStart w:id="100001" w:name="_Toc100001"/>
      <w:r>
        <w:rPr>
          <w:rFonts w:ascii="Times New Roman" w:cs="Times New Roman" w:eastAsia="Times New Roman" w:hAnsi="Times New Roman"/>
          <w:b/>
          <w:bCs/>
          <w:color w:val="000000"/>
          <w:sz w:val="32"/>
          <w:szCs w:val="32"/>
        </w:rPr>
        <w:t xml:space="preserve">2. Indicadores de Eficiencia de Equipos</w:t>
      </w:r>
      <w:bookmarkEnd w:id="100001"/>
    </w:p>
    <w:p>
      <w:pPr>
        <w:spacing w:after="60" w:line="360"/>
        <w:ind w:firstLine="480"/>
        <w:jc w:val="both"/>
      </w:pPr>
      <w:r>
        <w:rPr>
          <w:rFonts w:ascii="Times New Roman" w:cs="Times New Roman" w:eastAsia="Times New Roman" w:hAnsi="Times New Roman"/>
          <w:color w:val="000000"/>
          <w:sz w:val="24"/>
          <w:szCs w:val="24"/>
        </w:rPr>
        <w:t xml:space="preserve">Los indicadores de eficiencia de equipos constituyen un conjunto de metricas cuantitativas que permiten evaluar de manera sistematica el desempeno de los activos productivos en una planta industrial. Estos indicadores son esenciales para la toma de decisiones basada en datos, ya que proporcionan informacion objetiva sobre la utilization real de la maquinaria, las perdidas por paradas no planificadas y la calidad del producto manufacturado. Su origen se remonta a las practicas del Mantenimiento Productivo Total (TPM) desarrolladas en Japon durante la decada de 1970, y desde entonces se han convertido en estandares de la gestion de mantenimiento a nivel mundial.</w:t>
      </w:r>
    </w:p>
    <w:p>
      <w:pPr>
        <w:pStyle w:val="Heading2"/>
        <w:spacing w:after="180" w:before="360" w:line="360"/>
      </w:pPr>
      <w:bookmarkStart w:id="100002" w:name="_Toc100002"/>
      <w:r>
        <w:rPr>
          <w:rFonts w:ascii="Times New Roman" w:cs="Times New Roman" w:eastAsia="Times New Roman" w:hAnsi="Times New Roman"/>
          <w:b/>
          <w:bCs/>
          <w:color w:val="000000"/>
          <w:sz w:val="28"/>
          <w:szCs w:val="28"/>
        </w:rPr>
        <w:t xml:space="preserve">2.1 Disponibilidad</w:t>
      </w:r>
      <w:bookmarkEnd w:id="100002"/>
    </w:p>
    <w:p>
      <w:pPr>
        <w:spacing w:after="60" w:line="360"/>
        <w:ind w:firstLine="480"/>
        <w:jc w:val="both"/>
      </w:pPr>
      <w:r>
        <w:rPr>
          <w:rFonts w:ascii="Times New Roman" w:cs="Times New Roman" w:eastAsia="Times New Roman" w:hAnsi="Times New Roman"/>
          <w:color w:val="000000"/>
          <w:sz w:val="24"/>
          <w:szCs w:val="24"/>
        </w:rPr>
        <w:t xml:space="preserve">La disponibilidad es un indicador que mide la proporcion de tiempo durante la cual un equipo se encuentra en condiciones operativas para realizar su funcion productiva, en relacion con el tiempo total programado de produccion. Este indicador refleja directamente el impacto de las paradas no planificadas (fallas, averias, ajustes imprevistos) y las paradas planificadas (mantenimiento preventivo, cambios de turno) sobre la capacidad productiva de la linea. Segun Nakajima (1988), la disponibilidad es el primer componente del OEE y se calcula como la razon entre el tiempo neto de operacion y el tiempo total planificado de produccion.</w:t>
      </w:r>
    </w:p>
    <w:p>
      <w:pPr>
        <w:spacing w:after="60" w:line="360"/>
        <w:ind w:firstLine="480"/>
        <w:jc w:val="both"/>
      </w:pPr>
      <w:r>
        <w:rPr>
          <w:rFonts w:ascii="Times New Roman" w:cs="Times New Roman" w:eastAsia="Times New Roman" w:hAnsi="Times New Roman"/>
          <w:color w:val="000000"/>
          <w:sz w:val="24"/>
          <w:szCs w:val="24"/>
        </w:rPr>
        <w:t xml:space="preserve">Matematicamente, la disponibilidad se expresa mediante la siguiente ecuacion:</w:t>
      </w:r>
    </w:p>
    <w:p>
      <w:pPr>
        <w:spacing w:after="120" w:before="120" w:line="360"/>
        <w:jc w:val="center"/>
      </w:pPr>
      <w:r>
        <w:rPr>
          <w:rFonts w:ascii="Times New Roman" w:cs="Times New Roman" w:eastAsia="Times New Roman" w:hAnsi="Times New Roman"/>
          <w:i/>
          <w:iCs/>
          <w:color w:val="000000"/>
          <w:sz w:val="24"/>
          <w:szCs w:val="24"/>
        </w:rPr>
        <w:t xml:space="preserve">Disponibilidad (%) = [(Tiempo Total Planificado - Tiempo de Parada) / Tiempo Total Planificado] x 100</w:t>
      </w:r>
    </w:p>
    <w:p>
      <w:pPr>
        <w:spacing w:after="60" w:line="360"/>
        <w:ind w:firstLine="480"/>
        <w:jc w:val="both"/>
      </w:pPr>
      <w:r>
        <w:rPr>
          <w:rFonts w:ascii="Times New Roman" w:cs="Times New Roman" w:eastAsia="Times New Roman" w:hAnsi="Times New Roman"/>
          <w:color w:val="000000"/>
          <w:sz w:val="24"/>
          <w:szCs w:val="24"/>
        </w:rPr>
        <w:t xml:space="preserve">Donde el tiempo total planificado corresponde al horario de produccion programado (por ejemplo, 480 minutos en un turno de 8 horas), y el tiempo de parada incluye todas las interrupciones no productivas, ya sean por fallas del equipo, falta de materia prima o cualquier otra causa que impida la operacion. Una disponibilidad del 93.75%, como la obtenida en el caso de estudio, indica que el equipo opera durante el 93.75% del turno programado, lo cual se considera un nivel aceptable en la industria alimentaria, aunque existen oportunidades de mejora hacia el benchmark internacional del 90% o superior.</w:t>
      </w:r>
    </w:p>
    <w:p>
      <w:pPr>
        <w:spacing w:after="60" w:line="360"/>
        <w:ind w:firstLine="480"/>
        <w:jc w:val="both"/>
      </w:pPr>
      <w:r>
        <w:rPr>
          <w:rFonts w:ascii="Times New Roman" w:cs="Times New Roman" w:eastAsia="Times New Roman" w:hAnsi="Times New Roman"/>
          <w:color w:val="000000"/>
          <w:sz w:val="24"/>
          <w:szCs w:val="24"/>
        </w:rPr>
        <w:t xml:space="preserve">Es importante distinguir entre la disponibilidad intrinseca del equipo (determinada por su diseno y estado de mantenimiento) y la disponibilidad operativa (que incluye factores externos como la logistica de materias primas y la disponibilidad de personal). La primera se mejora mediante estrategias de mantenimiento preventivo y predictivo, mientras que la segunda requiere optimizacion de la cadena de suministro y la planificacion de la produccion. Ambas perspectivas son necesarias para lograr una gestion integral de la disponibilidad en la linea de envasado.</w:t>
      </w:r>
    </w:p>
    <w:p>
      <w:pPr>
        <w:pStyle w:val="Heading2"/>
        <w:spacing w:after="180" w:before="360" w:line="360"/>
      </w:pPr>
      <w:bookmarkStart w:id="100003" w:name="_Toc100003"/>
      <w:r>
        <w:rPr>
          <w:rFonts w:ascii="Times New Roman" w:cs="Times New Roman" w:eastAsia="Times New Roman" w:hAnsi="Times New Roman"/>
          <w:b/>
          <w:bCs/>
          <w:color w:val="000000"/>
          <w:sz w:val="28"/>
          <w:szCs w:val="28"/>
        </w:rPr>
        <w:t xml:space="preserve">2.2 Rendimiento</w:t>
      </w:r>
      <w:bookmarkEnd w:id="100003"/>
    </w:p>
    <w:p>
      <w:pPr>
        <w:spacing w:after="60" w:line="360"/>
        <w:ind w:firstLine="480"/>
        <w:jc w:val="both"/>
      </w:pPr>
      <w:r>
        <w:rPr>
          <w:rFonts w:ascii="Times New Roman" w:cs="Times New Roman" w:eastAsia="Times New Roman" w:hAnsi="Times New Roman"/>
          <w:color w:val="000000"/>
          <w:sz w:val="24"/>
          <w:szCs w:val="24"/>
        </w:rPr>
        <w:t xml:space="preserve">El rendimiento, tambien denominado eficiencia de operacion o performance rate, mide la relacion entre la cantidad real producida y la cantidad teorica que deberia haberse producido durante el tiempo efectivo de operacion. Este indicador captura las perdidas por velocidad reducida, paradas menores y arrancadas lentas del equipo. En el contexto de una envasadora, el rendimiento refleja si la maquina esta operando a su velocidad nominal de diseno o si, por el contrario, factores como el desgaste de componentes, la variabilidad en la consistencia del producto o las regulaciones manuales reducen la velocidad efectiva de produccion.</w:t>
      </w:r>
    </w:p>
    <w:p>
      <w:pPr>
        <w:spacing w:after="60" w:line="360"/>
        <w:ind w:firstLine="480"/>
        <w:jc w:val="both"/>
      </w:pPr>
      <w:r>
        <w:rPr>
          <w:rFonts w:ascii="Times New Roman" w:cs="Times New Roman" w:eastAsia="Times New Roman" w:hAnsi="Times New Roman"/>
          <w:color w:val="000000"/>
          <w:sz w:val="24"/>
          <w:szCs w:val="24"/>
        </w:rPr>
        <w:t xml:space="preserve">El rendimiento puede calcularse de forma directa como la razon entre la produccion real y la produccion teorica, o mediante el concepto de rendimiento ponderado cuando se manejan diferentes productos o presentaciones con distintas velocidades de procesamiento. El rendimiento ponderado se calcula como la suma de los rendimientos parciales ponderados por su participacion relativa en la produccion total.</w:t>
      </w:r>
    </w:p>
    <w:p>
      <w:pPr>
        <w:spacing w:after="120" w:before="120" w:line="360"/>
        <w:jc w:val="center"/>
      </w:pPr>
      <w:r>
        <w:rPr>
          <w:rFonts w:ascii="Times New Roman" w:cs="Times New Roman" w:eastAsia="Times New Roman" w:hAnsi="Times New Roman"/>
          <w:i/>
          <w:iCs/>
          <w:color w:val="000000"/>
          <w:sz w:val="24"/>
          <w:szCs w:val="24"/>
        </w:rPr>
        <w:t xml:space="preserve">Rendimiento Ponderado = (w1 x R1) + (w2 x R2) + ... + (wn x Rn)</w:t>
      </w:r>
    </w:p>
    <w:p>
      <w:pPr>
        <w:spacing w:after="60" w:line="360"/>
        <w:ind w:firstLine="480"/>
        <w:jc w:val="both"/>
      </w:pPr>
      <w:r>
        <w:rPr>
          <w:rFonts w:ascii="Times New Roman" w:cs="Times New Roman" w:eastAsia="Times New Roman" w:hAnsi="Times New Roman"/>
          <w:color w:val="000000"/>
          <w:sz w:val="24"/>
          <w:szCs w:val="24"/>
        </w:rPr>
        <w:t xml:space="preserve">Donde w_i representa la proporcion o peso relativo del producto i en la mezcla de produccion, y R_i es el rendimiento del producto i expresado en la misma unidad. En el caso de estudio, con dos tipos de presentaciones cuyas participaciones son del 40% y 60% respectivamente, y rendimientos de 8 y 9 unidades, el rendimiento ponderado resulta en 8.6 unidades. Este enfoque resulta particularmente util en lineas de envasado flexibles que manejan multiples formatos o tamanos de envase.</w:t>
      </w:r>
    </w:p>
    <w:p>
      <w:pPr>
        <w:pStyle w:val="Heading2"/>
        <w:spacing w:after="180" w:before="360" w:line="360"/>
      </w:pPr>
      <w:bookmarkStart w:id="100004" w:name="_Toc100004"/>
      <w:r>
        <w:rPr>
          <w:rFonts w:ascii="Times New Roman" w:cs="Times New Roman" w:eastAsia="Times New Roman" w:hAnsi="Times New Roman"/>
          <w:b/>
          <w:bCs/>
          <w:color w:val="000000"/>
          <w:sz w:val="28"/>
          <w:szCs w:val="28"/>
        </w:rPr>
        <w:t xml:space="preserve">2.3 Calidad</w:t>
      </w:r>
      <w:bookmarkEnd w:id="100004"/>
    </w:p>
    <w:p>
      <w:pPr>
        <w:spacing w:after="60" w:line="360"/>
        <w:ind w:firstLine="480"/>
        <w:jc w:val="both"/>
      </w:pPr>
      <w:r>
        <w:rPr>
          <w:rFonts w:ascii="Times New Roman" w:cs="Times New Roman" w:eastAsia="Times New Roman" w:hAnsi="Times New Roman"/>
          <w:color w:val="000000"/>
          <w:sz w:val="24"/>
          <w:szCs w:val="24"/>
        </w:rPr>
        <w:t xml:space="preserve">El indice de calidad mide la proporcion de unidades producidas que cumplen con las especificaciones tecnicas establecidas, en relacion con el total de unidades procesadas. Este indicador captura las perdidas por defectos de fabricacion, rechazos de calidad, reprocesos y unidades fuera de tolerancia. En la industria alimentaria, la calidad es un parametro critico tanto por las regulaciones sanitarias como por la expectativa del consumidor final, por lo que un alto indice de calidad es indispensable para la viabilidad comercial del producto.</w:t>
      </w:r>
    </w:p>
    <w:p>
      <w:pPr>
        <w:spacing w:after="120" w:before="120" w:line="360"/>
        <w:jc w:val="center"/>
      </w:pPr>
      <w:r>
        <w:rPr>
          <w:rFonts w:ascii="Times New Roman" w:cs="Times New Roman" w:eastAsia="Times New Roman" w:hAnsi="Times New Roman"/>
          <w:i/>
          <w:iCs/>
          <w:color w:val="000000"/>
          <w:sz w:val="24"/>
          <w:szCs w:val="24"/>
        </w:rPr>
        <w:t xml:space="preserve">Indice de Calidad (%) = (Unidades Buenas / Unidades Totales Producidas) x 100</w:t>
      </w:r>
    </w:p>
    <w:p>
      <w:pPr>
        <w:spacing w:after="60" w:line="360"/>
        <w:ind w:firstLine="480"/>
        <w:jc w:val="both"/>
      </w:pPr>
      <w:r>
        <w:rPr>
          <w:rFonts w:ascii="Times New Roman" w:cs="Times New Roman" w:eastAsia="Times New Roman" w:hAnsi="Times New Roman"/>
          <w:color w:val="000000"/>
          <w:sz w:val="24"/>
          <w:szCs w:val="24"/>
        </w:rPr>
        <w:t xml:space="preserve">Un indice de calidad del 99%, como el del caso de estudio, indica un nivel de control de calidad excelente, consistente con las practicas de manufactura alimentaria que requieren niveles de defectos muy bajos. Las causas de defectos en una linea de envasado pueden incluir: fallos en el sellado de envases, llenado incompleto o excesivo, contaminacion cruzada, problemas de etiquetado y alteraciones en las caracteristicas organolepticas del producto. La implementacion de sistemas de control estadistico de procesos (CEP) y el analisis de causas raiz son herramientas complementarias que permiten mantener y mejorar el indice de calidad a lo largo del tiempo.</w:t>
      </w:r>
    </w:p>
    <w:p>
      <w:pPr>
        <w:pStyle w:val="Heading2"/>
        <w:spacing w:after="180" w:before="360" w:line="360"/>
      </w:pPr>
      <w:bookmarkStart w:id="100005" w:name="_Toc100005"/>
      <w:r>
        <w:rPr>
          <w:rFonts w:ascii="Times New Roman" w:cs="Times New Roman" w:eastAsia="Times New Roman" w:hAnsi="Times New Roman"/>
          <w:b/>
          <w:bCs/>
          <w:color w:val="000000"/>
          <w:sz w:val="28"/>
          <w:szCs w:val="28"/>
        </w:rPr>
        <w:t xml:space="preserve">2.4 Eficiencia General de los Equipos (OEE)</w:t>
      </w:r>
      <w:bookmarkEnd w:id="100005"/>
    </w:p>
    <w:p>
      <w:pPr>
        <w:spacing w:after="60" w:line="360"/>
        <w:ind w:firstLine="480"/>
        <w:jc w:val="both"/>
      </w:pPr>
      <w:r>
        <w:rPr>
          <w:rFonts w:ascii="Times New Roman" w:cs="Times New Roman" w:eastAsia="Times New Roman" w:hAnsi="Times New Roman"/>
          <w:color w:val="000000"/>
          <w:sz w:val="24"/>
          <w:szCs w:val="24"/>
        </w:rPr>
        <w:t xml:space="preserve">La Eficiencia General de los Equipos, conocida globalmente por sus siglas en ingles OEE (Overall Equipment Effectiveness), es un indicador compuesto que integra los tres factores anteriores en una metrica unica. Desarrollada originalmente por Seiichi Nakajima como parte del programa TPM en Japony popularizada mundialmente a traves del libro Introduction to TPM (1988), la OEE se ha convertido en el estandar de facto para la medicion de la productividad manufacturera. La OEE proporciona una vision completa del desempeno del equipo al considerar simultaneamente las perdidas por disponibilidad, rendimiento y calidad.</w:t>
      </w:r>
    </w:p>
    <w:p>
      <w:pPr>
        <w:spacing w:after="120" w:before="120" w:line="360"/>
        <w:jc w:val="center"/>
      </w:pPr>
      <w:r>
        <w:rPr>
          <w:rFonts w:ascii="Times New Roman" w:cs="Times New Roman" w:eastAsia="Times New Roman" w:hAnsi="Times New Roman"/>
          <w:i/>
          <w:iCs/>
          <w:color w:val="000000"/>
          <w:sz w:val="24"/>
          <w:szCs w:val="24"/>
        </w:rPr>
        <w:t xml:space="preserve">OEE (%) = Disponibilidad x Rendimiento x Calidad x 100</w:t>
      </w:r>
    </w:p>
    <w:p>
      <w:pPr>
        <w:spacing w:after="60" w:line="360"/>
        <w:ind w:firstLine="480"/>
        <w:jc w:val="both"/>
      </w:pPr>
      <w:r>
        <w:rPr>
          <w:rFonts w:ascii="Times New Roman" w:cs="Times New Roman" w:eastAsia="Times New Roman" w:hAnsi="Times New Roman"/>
          <w:color w:val="000000"/>
          <w:sz w:val="24"/>
          <w:szCs w:val="24"/>
        </w:rPr>
        <w:t xml:space="preserve">La interpretacion de la OEE sigue la clasificacion mundial establecida por Nakajima, donde un equipo se considera clase mundial cuando alcanza un OEE superior al 85%. Un valor del 83.53%, como el obtenido en el caso de estudio, se encuentra muy cercano a este benchmark, lo que indica un desempeno sobresaliente de la envasadora. Es importante notar que la OEE no es un objetivo en si mismo, sino un indicador de diagnostico que permite identificar cual de los tres componentes contribuye en mayor medida a las perdidas y, por tanto, donde deben concentrarse los esfuerzos de mejora.</w:t>
      </w:r>
    </w:p>
    <w:p>
      <w:pPr>
        <w:spacing w:after="60" w:line="360"/>
        <w:ind w:firstLine="480"/>
        <w:jc w:val="both"/>
      </w:pPr>
      <w:r>
        <w:rPr>
          <w:rFonts w:ascii="Times New Roman" w:cs="Times New Roman" w:eastAsia="Times New Roman" w:hAnsi="Times New Roman"/>
          <w:color w:val="000000"/>
          <w:sz w:val="24"/>
          <w:szCs w:val="24"/>
        </w:rPr>
        <w:t xml:space="preserve">Las llamadas seis grandes perdidas del TPM se agrupan en tres categorias que corresponden a los componentes de la OEE: (1) perdidas por fallas del equipo y por preparacion/ajustes afectan la disponibilidad; (2) perdidas por reduccion de velocidad y por paradas menores afectan el rendimiento; y (3) perdidas por defectos de proceso y por arranque reducido afectan la calidad. La eliminacion sistematica de estas perdidas es el objetivo central del TPM y constituye la base para la mejora continua en cualquier operacion manufacturera.</w:t>
      </w:r>
    </w:p>
    <w:p>
      <w:pPr>
        <w:pStyle w:val="Heading2"/>
        <w:spacing w:after="180" w:before="360" w:line="360"/>
      </w:pPr>
      <w:bookmarkStart w:id="100006" w:name="_Toc100006"/>
      <w:r>
        <w:rPr>
          <w:rFonts w:ascii="Times New Roman" w:cs="Times New Roman" w:eastAsia="Times New Roman" w:hAnsi="Times New Roman"/>
          <w:b/>
          <w:bCs/>
          <w:color w:val="000000"/>
          <w:sz w:val="28"/>
          <w:szCs w:val="28"/>
        </w:rPr>
        <w:t xml:space="preserve">2.5 Tiempo Medio de Reparacion (MTTR)</w:t>
      </w:r>
      <w:bookmarkEnd w:id="100006"/>
    </w:p>
    <w:p>
      <w:pPr>
        <w:spacing w:after="60" w:line="360"/>
        <w:ind w:firstLine="480"/>
        <w:jc w:val="both"/>
      </w:pPr>
      <w:r>
        <w:rPr>
          <w:rFonts w:ascii="Times New Roman" w:cs="Times New Roman" w:eastAsia="Times New Roman" w:hAnsi="Times New Roman"/>
          <w:color w:val="000000"/>
          <w:sz w:val="24"/>
          <w:szCs w:val="24"/>
        </w:rPr>
        <w:t xml:space="preserve">El Tiempo Medio de Reparacion (MTTR, Mean Time To Repair) es un indicador de mantenibilidad que mide el tiempo promedio necesario para restaurar un equipo a su condicion operativa despues de una falla. Este indicador es fundamental para la gestion del mantenimiento, ya que permite evaluar la capacidad del equipo de mantenimiento para responder ante las averias y, en consecuencia, minimizar el tiempo de inactividad del equipo productivo. Un MTTR bajo indica que el equipo de mantenimiento es eficiente en el diagnostico y reparacion de fallas, lo cual contribuye directamente a mejorar la disponibilidad del equipo.</w:t>
      </w:r>
    </w:p>
    <w:p>
      <w:pPr>
        <w:spacing w:after="120" w:before="120" w:line="360"/>
        <w:jc w:val="center"/>
      </w:pPr>
      <w:r>
        <w:rPr>
          <w:rFonts w:ascii="Times New Roman" w:cs="Times New Roman" w:eastAsia="Times New Roman" w:hAnsi="Times New Roman"/>
          <w:i/>
          <w:iCs/>
          <w:color w:val="000000"/>
          <w:sz w:val="24"/>
          <w:szCs w:val="24"/>
        </w:rPr>
        <w:t xml:space="preserve">MTTR = Tiempo Total de Reparacion / Numero de Fallos</w:t>
      </w:r>
    </w:p>
    <w:p>
      <w:pPr>
        <w:spacing w:after="60" w:line="360"/>
        <w:ind w:firstLine="480"/>
        <w:jc w:val="both"/>
      </w:pPr>
      <w:r>
        <w:rPr>
          <w:rFonts w:ascii="Times New Roman" w:cs="Times New Roman" w:eastAsia="Times New Roman" w:hAnsi="Times New Roman"/>
          <w:color w:val="000000"/>
          <w:sz w:val="24"/>
          <w:szCs w:val="24"/>
        </w:rPr>
        <w:t xml:space="preserve">En el caso de estudio, un MTTR de 2 horas por fallo (resultado de 10 horas totales de reparacion distribuidas en 5 fallos) proporciona una referencia cuantitativa para evaluar la eficiencia del servicio de mantenimiento. Este valor debe analizarse en funcion de la complejidad del equipo, la disponibilidad de repuestos y la capacitacion del personal tecnico. Segun la literatura especializada en mantenimiento industrial (Moubray, 1997), la reduccion del MTTR se logra mediante estrategias como la formacion continua del personal de mantenimiento, el establecimiento de procedimientos estandarizados de reparacion, la disponibilidad de repuestos criticos y la implementacion de sistemas de diagnostico predictivo que permitan anticipar las fallas antes de que ocurran.</w:t>
      </w:r>
    </w:p>
    <w:p>
      <w:pPr>
        <w:pStyle w:val="Heading1"/>
        <w:spacing w:after="240" w:before="480" w:line="360"/>
      </w:pPr>
      <w:bookmarkStart w:id="100007" w:name="_Toc100007"/>
      <w:r>
        <w:rPr>
          <w:rFonts w:ascii="Times New Roman" w:cs="Times New Roman" w:eastAsia="Times New Roman" w:hAnsi="Times New Roman"/>
          <w:b/>
          <w:bCs/>
          <w:color w:val="000000"/>
          <w:sz w:val="32"/>
          <w:szCs w:val="32"/>
        </w:rPr>
        <w:t xml:space="preserve">3. Analisis Economico de Inversiones</w:t>
      </w:r>
      <w:bookmarkEnd w:id="100007"/>
    </w:p>
    <w:p>
      <w:pPr>
        <w:spacing w:after="60" w:line="360"/>
        <w:ind w:firstLine="480"/>
        <w:jc w:val="both"/>
      </w:pPr>
      <w:r>
        <w:rPr>
          <w:rFonts w:ascii="Times New Roman" w:cs="Times New Roman" w:eastAsia="Times New Roman" w:hAnsi="Times New Roman"/>
          <w:color w:val="000000"/>
          <w:sz w:val="24"/>
          <w:szCs w:val="24"/>
        </w:rPr>
        <w:t xml:space="preserve">El analisis economico de inversiones proporciona los fundamentos para la toma de decisiones racionales respecto a la adquisicion, renovacion o reemplazo de equipos industriales. En el contexto de una linea de envasado, donde las inversiones de capital suelen ser significativas, es imprescindible contar con herramientas que permitan evaluar la conveniencia economica de las alternativas disponibles. Las dos principales metricas utilizadas en el caso de estudio son el Factor de Recuperacion de Capital (FRC) y el Costo Anual Equivalente (CAE), ambas fundamentales en la ingenieria economica.</w:t>
      </w:r>
    </w:p>
    <w:p>
      <w:pPr>
        <w:pStyle w:val="Heading2"/>
        <w:spacing w:after="180" w:before="360" w:line="360"/>
      </w:pPr>
      <w:bookmarkStart w:id="100008" w:name="_Toc100008"/>
      <w:r>
        <w:rPr>
          <w:rFonts w:ascii="Times New Roman" w:cs="Times New Roman" w:eastAsia="Times New Roman" w:hAnsi="Times New Roman"/>
          <w:b/>
          <w:bCs/>
          <w:color w:val="000000"/>
          <w:sz w:val="28"/>
          <w:szCs w:val="28"/>
        </w:rPr>
        <w:t xml:space="preserve">3.1 Factor de Recuperacion de Capital (FRC)</w:t>
      </w:r>
      <w:bookmarkEnd w:id="100008"/>
    </w:p>
    <w:p>
      <w:pPr>
        <w:spacing w:after="60" w:line="360"/>
        <w:ind w:firstLine="480"/>
        <w:jc w:val="both"/>
      </w:pPr>
      <w:r>
        <w:rPr>
          <w:rFonts w:ascii="Times New Roman" w:cs="Times New Roman" w:eastAsia="Times New Roman" w:hAnsi="Times New Roman"/>
          <w:color w:val="000000"/>
          <w:sz w:val="24"/>
          <w:szCs w:val="24"/>
        </w:rPr>
        <w:t xml:space="preserve">El Factor de Recuperacion de Capital (FRC), tambien conocido como factor de anualizacion o factor de capitalizacion, es un coeficiente que permite convertir un monto unico de inversion en una serie uniforme de pagos periodicos a lo largo de la vida util del activo. Este concepto es esencial en la ingenieria economica, ya que facilita la comparacion de alternativas de inversion con diferentes vidas utiles y estructuras de costos al expresar todos los flujos en terminos anuales equivalentes. Segun Blank y Tarquin (2018), el FRC se basa en el principio del valor del dinero en el tiempo y se calcula a partir de la tasa de interes y el numero de periodos.</w:t>
      </w:r>
    </w:p>
    <w:p>
      <w:pPr>
        <w:spacing w:after="120" w:before="120" w:line="360"/>
        <w:jc w:val="center"/>
      </w:pPr>
      <w:r>
        <w:rPr>
          <w:rFonts w:ascii="Times New Roman" w:cs="Times New Roman" w:eastAsia="Times New Roman" w:hAnsi="Times New Roman"/>
          <w:i/>
          <w:iCs/>
          <w:color w:val="000000"/>
          <w:sz w:val="24"/>
          <w:szCs w:val="24"/>
        </w:rPr>
        <w:t xml:space="preserve">FRC = [i(1+i)^n] / [(1+i)^n - 1]</w:t>
      </w:r>
    </w:p>
    <w:p>
      <w:pPr>
        <w:spacing w:after="60" w:line="360"/>
        <w:ind w:firstLine="480"/>
        <w:jc w:val="both"/>
      </w:pPr>
      <w:r>
        <w:rPr>
          <w:rFonts w:ascii="Times New Roman" w:cs="Times New Roman" w:eastAsia="Times New Roman" w:hAnsi="Times New Roman"/>
          <w:color w:val="000000"/>
          <w:sz w:val="24"/>
          <w:szCs w:val="24"/>
        </w:rPr>
        <w:t xml:space="preserve">Donde i representa la tasa de interes o tasa minima aceptable de retorno (TMAR), y n es el numero de periodos (generalmente anos) que corresponde a la vida util del equipo. Para el caso de estudio, con una tasa de interes del 8% (i = 0.08) y una vida util de 8 anos, el FRC resulta en 0.17401. Esto significa que, por cada unidad monetaria invertida, se debe recuperar anualmente la fraccion de 0.17401 para cubrir tanto la recuperacion del capital como el costo de oportunidad del dinero invertido durante los 8 anos de vida util del equipo. El FRC tambien se denomina factor de amortizacion uniforme y es ampliamente utilizado en calculos de depreciacion y en la evaluacion de proyectos de inversion a traves del metodo de costo anual equivalente.</w:t>
      </w:r>
    </w:p>
    <w:p>
      <w:pPr>
        <w:pStyle w:val="Heading2"/>
        <w:spacing w:after="180" w:before="360" w:line="360"/>
      </w:pPr>
      <w:bookmarkStart w:id="100009" w:name="_Toc100009"/>
      <w:r>
        <w:rPr>
          <w:rFonts w:ascii="Times New Roman" w:cs="Times New Roman" w:eastAsia="Times New Roman" w:hAnsi="Times New Roman"/>
          <w:b/>
          <w:bCs/>
          <w:color w:val="000000"/>
          <w:sz w:val="28"/>
          <w:szCs w:val="28"/>
        </w:rPr>
        <w:t xml:space="preserve">3.2 Costo Anual Equivalente (CAE)</w:t>
      </w:r>
      <w:bookmarkEnd w:id="100009"/>
    </w:p>
    <w:p>
      <w:pPr>
        <w:spacing w:after="60" w:line="360"/>
        <w:ind w:firstLine="480"/>
        <w:jc w:val="both"/>
      </w:pPr>
      <w:r>
        <w:rPr>
          <w:rFonts w:ascii="Times New Roman" w:cs="Times New Roman" w:eastAsia="Times New Roman" w:hAnsi="Times New Roman"/>
          <w:color w:val="000000"/>
          <w:sz w:val="24"/>
          <w:szCs w:val="24"/>
        </w:rPr>
        <w:t xml:space="preserve">El Costo Anual Equivalente (CAE) es una metrica de evaluacion economica que expresa el costo total de posesion y operacion de un equipo como una anualidad uniforme a lo largo de su vida util. Esta metrica permite comparar alternativas de inversion con diferentes vidas utiles, costos iniciales y perfiles de gastos operativos, al convertir todos los flujos de caja a una base anual comun. El CAE es particularmente util en decisiones de reemplazo de equipos, donde se compara el costo anual del equipo existente con el costo anual de un equipo nuevo. Segun Sullivan, Wicks y Koelling (2015), el CAE es el criterio mas apropiado cuando la duracion del servicio requerido es indefinida o cuando no se conocen las vidas utiles futuras de las alternativas.</w:t>
      </w:r>
    </w:p>
    <w:p>
      <w:pPr>
        <w:spacing w:after="120" w:before="120" w:line="360"/>
        <w:jc w:val="center"/>
      </w:pPr>
      <w:r>
        <w:rPr>
          <w:rFonts w:ascii="Times New Roman" w:cs="Times New Roman" w:eastAsia="Times New Roman" w:hAnsi="Times New Roman"/>
          <w:i/>
          <w:iCs/>
          <w:color w:val="000000"/>
          <w:sz w:val="24"/>
          <w:szCs w:val="24"/>
        </w:rPr>
        <w:t xml:space="preserve">CAE = (Inversion Inicial x FRC) + Costo Anual de Operacion</w:t>
      </w:r>
    </w:p>
    <w:p>
      <w:pPr>
        <w:spacing w:after="60" w:line="360"/>
        <w:ind w:firstLine="480"/>
        <w:jc w:val="both"/>
      </w:pPr>
      <w:r>
        <w:rPr>
          <w:rFonts w:ascii="Times New Roman" w:cs="Times New Roman" w:eastAsia="Times New Roman" w:hAnsi="Times New Roman"/>
          <w:color w:val="000000"/>
          <w:sz w:val="24"/>
          <w:szCs w:val="24"/>
        </w:rPr>
        <w:t xml:space="preserve">El CAE incorpora dos componentes principales: la porcion de recuperacion de capital (que distribuye la inversion inicial a lo largo de la vida util mediante el FRC) y los costos anuales recurrentes de operacion y mantenimiento. Para el caso de la envasadora, con una inversion de aproximadamente $32,000 y costos operativos anuales de $5,000, el CAE asciende a $10,664 anuales. Este valor representa el costo uniforme anual que la empresa debe cubrir para justificar economicamente la inversion en el equipo de envasado. La comparacion del CAE entre diferentes alternativas de equipos permite seleccionar la opcion de menor costo anualizado, lo cual constituye la base para la toma de decisiones de inversion informada y racional.</w:t>
      </w:r>
    </w:p>
    <w:p>
      <w:pPr>
        <w:pStyle w:val="Heading1"/>
        <w:spacing w:after="240" w:before="480" w:line="360"/>
      </w:pPr>
      <w:bookmarkStart w:id="100010" w:name="_Toc100010"/>
      <w:r>
        <w:rPr>
          <w:rFonts w:ascii="Times New Roman" w:cs="Times New Roman" w:eastAsia="Times New Roman" w:hAnsi="Times New Roman"/>
          <w:b/>
          <w:bCs/>
          <w:color w:val="000000"/>
          <w:sz w:val="32"/>
          <w:szCs w:val="32"/>
        </w:rPr>
        <w:t xml:space="preserve">4. Distribucion en Planta</w:t>
      </w:r>
      <w:bookmarkEnd w:id="100010"/>
    </w:p>
    <w:p>
      <w:pPr>
        <w:spacing w:after="60" w:line="360"/>
        <w:ind w:firstLine="480"/>
        <w:jc w:val="both"/>
      </w:pPr>
      <w:r>
        <w:rPr>
          <w:rFonts w:ascii="Times New Roman" w:cs="Times New Roman" w:eastAsia="Times New Roman" w:hAnsi="Times New Roman"/>
          <w:color w:val="000000"/>
          <w:sz w:val="24"/>
          <w:szCs w:val="24"/>
        </w:rPr>
        <w:t xml:space="preserve">La distribucion en planta, tambien conocida como layout o distribucion fisica, es el arreglo espacial de los centros de produccion, areas de almacenamiento, zonas de servicios y rutas de circulacion dentro de una instalacion industrial. Una distribucion adecuada es fundamental para la eficiencia operativa, ya que afecta directamente los tiempos de ciclo, los costos de manipulacion de materiales, la seguridad laboral y la flexibilidad para adaptarse a cambios en la demanda. Segun Muther (1968), pionero en la metodologia SLP (Systematic Layout Planning), la distribucion en planta debe ser el resultado de un proceso sistematico que considere las relaciones entre actividades, los flujos de materiales y las restricciones espaciales.</w:t>
      </w:r>
    </w:p>
    <w:p>
      <w:pPr>
        <w:pStyle w:val="Heading2"/>
        <w:spacing w:after="180" w:before="360" w:line="360"/>
      </w:pPr>
      <w:bookmarkStart w:id="100011" w:name="_Toc100011"/>
      <w:r>
        <w:rPr>
          <w:rFonts w:ascii="Times New Roman" w:cs="Times New Roman" w:eastAsia="Times New Roman" w:hAnsi="Times New Roman"/>
          <w:b/>
          <w:bCs/>
          <w:color w:val="000000"/>
          <w:sz w:val="28"/>
          <w:szCs w:val="28"/>
        </w:rPr>
        <w:t xml:space="preserve">4.1 Metodo de Layout Guerchet</w:t>
      </w:r>
      <w:bookmarkEnd w:id="100011"/>
    </w:p>
    <w:p>
      <w:pPr>
        <w:spacing w:after="60" w:line="360"/>
        <w:ind w:firstLine="480"/>
        <w:jc w:val="both"/>
      </w:pPr>
      <w:r>
        <w:rPr>
          <w:rFonts w:ascii="Times New Roman" w:cs="Times New Roman" w:eastAsia="Times New Roman" w:hAnsi="Times New Roman"/>
          <w:color w:val="000000"/>
          <w:sz w:val="24"/>
          <w:szCs w:val="24"/>
        </w:rPr>
        <w:t xml:space="preserve">El metodo de Guerchet es una tecnica de analisis de distribucion en planta que clasifica las areas de la instalacion segun su funcion y calcula una superficie total optimizada. Este metodo divide las areas en tres categorias principales: areas de produccion o transformacion (St), areas de almacenamiento o deposito (Sd) y areas de servicio o apoyo (Ss). La superficie total resultante proporciona una base cuantitativa para el diseno de la distribucion, permitiendo asignar espacios proporcionales a las necesidades de cada actividad. El metodo Guerchet es especialmente util en industrias de proceso continuo o por lotes, como la industria alimentaria, donde las relaciones entre areas de proceso y almacenamiento son criticas para la eficiencia global.</w:t>
      </w:r>
    </w:p>
    <w:p>
      <w:pPr>
        <w:spacing w:after="120" w:before="120" w:line="360"/>
        <w:jc w:val="center"/>
      </w:pPr>
      <w:r>
        <w:rPr>
          <w:rFonts w:ascii="Times New Roman" w:cs="Times New Roman" w:eastAsia="Times New Roman" w:hAnsi="Times New Roman"/>
          <w:i/>
          <w:iCs/>
          <w:color w:val="000000"/>
          <w:sz w:val="24"/>
          <w:szCs w:val="24"/>
        </w:rPr>
        <w:t xml:space="preserve">St (Superficie Total Guerchet) = Sa + Sg + Sc</w:t>
      </w:r>
    </w:p>
    <w:p>
      <w:pPr>
        <w:spacing w:after="60" w:line="360"/>
        <w:ind w:firstLine="480"/>
        <w:jc w:val="both"/>
      </w:pPr>
      <w:r>
        <w:rPr>
          <w:rFonts w:ascii="Times New Roman" w:cs="Times New Roman" w:eastAsia="Times New Roman" w:hAnsi="Times New Roman"/>
          <w:color w:val="000000"/>
          <w:sz w:val="24"/>
          <w:szCs w:val="24"/>
        </w:rPr>
        <w:t xml:space="preserve">Donde Sa representa el area de almacenamiento, Sg el area de produccion o procesamiento (guerchet propio), y Sc el area complementaria de servicios (oficinas, laboratorios, vestuarios, entre otros). En el caso de estudio, la superficie total calculada mediante el metodo Guerchet es de 8.4 unidades de area, lo cual proporciona una referencia para la planificacion espacial de la linea de envasado. Es importante destacar que el metodo tambien contempla el concepto de densificacion, que mide la diferencia entre el numero de areas o estaciones inicialmente planificadas y el numero optimizado tras el analisis de layout, reflejando la eficiencia en la utilizacion del espacio disponible.</w:t>
      </w:r>
    </w:p>
    <w:p>
      <w:pPr>
        <w:spacing w:after="60" w:line="360"/>
        <w:ind w:firstLine="480"/>
        <w:jc w:val="both"/>
      </w:pPr>
      <w:r>
        <w:rPr>
          <w:rFonts w:ascii="Times New Roman" w:cs="Times New Roman" w:eastAsia="Times New Roman" w:hAnsi="Times New Roman"/>
          <w:color w:val="000000"/>
          <w:sz w:val="24"/>
          <w:szCs w:val="24"/>
        </w:rPr>
        <w:t xml:space="preserve">La densificacion en el contexto del layout Guerchet se calcula como la diferencia entre las estaciones iniciales y las estaciones finales consolidadas. Un valor de densificacion de 3 (resultado de 7 - 4) indica que se logro una reduccion significativa en el numero de estaciones de trabajo, lo cual se traduce en menores recorridos de materiales, reduccion de tiempos de transporte y optimization del espacio fisico. Esta consolidacion de areas es un objetivo clave en el diseno de layouts eficientes, ya que permite mantener la produccion con menos infraestructura, reduciendo costos fijos y simplificando la supervision operativa.</w:t>
      </w:r>
    </w:p>
    <w:p>
      <w:pPr>
        <w:pStyle w:val="Heading1"/>
        <w:spacing w:after="240" w:before="480" w:line="360"/>
      </w:pPr>
      <w:bookmarkStart w:id="100012" w:name="_Toc100012"/>
      <w:r>
        <w:rPr>
          <w:rFonts w:ascii="Times New Roman" w:cs="Times New Roman" w:eastAsia="Times New Roman" w:hAnsi="Times New Roman"/>
          <w:b/>
          <w:bCs/>
          <w:color w:val="000000"/>
          <w:sz w:val="32"/>
          <w:szCs w:val="32"/>
        </w:rPr>
        <w:t xml:space="preserve">5. Balance de Masa en Procesos Alimentarios</w:t>
      </w:r>
      <w:bookmarkEnd w:id="100012"/>
    </w:p>
    <w:p>
      <w:pPr>
        <w:spacing w:after="60" w:line="360"/>
        <w:ind w:firstLine="480"/>
        <w:jc w:val="both"/>
      </w:pPr>
      <w:r>
        <w:rPr>
          <w:rFonts w:ascii="Times New Roman" w:cs="Times New Roman" w:eastAsia="Times New Roman" w:hAnsi="Times New Roman"/>
          <w:color w:val="000000"/>
          <w:sz w:val="24"/>
          <w:szCs w:val="24"/>
        </w:rPr>
        <w:t xml:space="preserve">El balance de masa es una herramienta fundamental de la ingenieria de procesos que aplica el principio de conservacion de la materia para cuantificar los flujos de materiales que entran, se transforman y salen de un sistema productivo. En la industria alimentaria, el balance de masa permite determinar los rendimientos de cada etapa del proceso, identificar las perdidas y calcular las cantidades de materia prima necesarias para obtener un volumen determinado de producto final. Segun Singh y Heldman (2014), el balance de masa es el primer paso en el diseno y evaluacion de cualquier proceso de manufactura de alimentos.</w:t>
      </w:r>
    </w:p>
    <w:p>
      <w:pPr>
        <w:spacing w:after="60" w:line="360"/>
        <w:ind w:firstLine="480"/>
        <w:jc w:val="both"/>
      </w:pPr>
      <w:r>
        <w:rPr>
          <w:rFonts w:ascii="Times New Roman" w:cs="Times New Roman" w:eastAsia="Times New Roman" w:hAnsi="Times New Roman"/>
          <w:color w:val="000000"/>
          <w:sz w:val="24"/>
          <w:szCs w:val="24"/>
        </w:rPr>
        <w:t xml:space="preserve">En el caso especifico de la produccion de miel de frutas a partir de pulpa, el proceso involucra multiples etapas de transformacion. Primero, a partir de la materia prima fresca (pulpa) se obtiene el peso util eliminando las mermas y residuos; por ejemplo, de 350 kg de pulpa con un 10% de merma se obtienen 315 kg de pulpa util, o de 300 kg con una eficiencia del 90% se obtienen 270 kg. Posteriormente, la pulpa util se mezcla con azucar en una proporcion tipica de 1:1, generando una mezcla de 540 kg (270 kg de pulpa + 270 kg de azucar). Finalmente, el proceso de evaporacion reduce la mezcla a aproximadamente el 65% de su peso, resultando en 351 kg de producto final.</w:t>
      </w:r>
    </w:p>
    <w:p>
      <w:pPr>
        <w:spacing w:after="120" w:before="120" w:line="360"/>
        <w:jc w:val="center"/>
      </w:pPr>
      <w:r>
        <w:rPr>
          <w:rFonts w:ascii="Times New Roman" w:cs="Times New Roman" w:eastAsia="Times New Roman" w:hAnsi="Times New Roman"/>
          <w:i/>
          <w:iCs/>
          <w:color w:val="000000"/>
          <w:sz w:val="24"/>
          <w:szCs w:val="24"/>
        </w:rPr>
        <w:t xml:space="preserve">Peso Util = Masa Total x (1 - Porcentaje de Merma)</w:t>
      </w:r>
    </w:p>
    <w:p>
      <w:pPr>
        <w:spacing w:after="120" w:before="120" w:line="360"/>
        <w:jc w:val="center"/>
      </w:pPr>
      <w:r>
        <w:rPr>
          <w:rFonts w:ascii="Times New Roman" w:cs="Times New Roman" w:eastAsia="Times New Roman" w:hAnsi="Times New Roman"/>
          <w:i/>
          <w:iCs/>
          <w:color w:val="000000"/>
          <w:sz w:val="24"/>
          <w:szCs w:val="24"/>
        </w:rPr>
        <w:t xml:space="preserve">Masa Mezcla = Peso Util Pulpa + Peso Azucar (proporcion 1:1)</w:t>
      </w:r>
    </w:p>
    <w:p>
      <w:pPr>
        <w:spacing w:after="120" w:before="120" w:line="360"/>
        <w:jc w:val="center"/>
      </w:pPr>
      <w:r>
        <w:rPr>
          <w:rFonts w:ascii="Times New Roman" w:cs="Times New Roman" w:eastAsia="Times New Roman" w:hAnsi="Times New Roman"/>
          <w:i/>
          <w:iCs/>
          <w:color w:val="000000"/>
          <w:sz w:val="24"/>
          <w:szCs w:val="24"/>
        </w:rPr>
        <w:t xml:space="preserve">Producto Final = Masa Mezcla x Rendimiento Evaporacion</w:t>
      </w:r>
    </w:p>
    <w:p>
      <w:pPr>
        <w:spacing w:after="60" w:line="360"/>
        <w:ind w:firstLine="480"/>
        <w:jc w:val="both"/>
      </w:pPr>
      <w:r>
        <w:rPr>
          <w:rFonts w:ascii="Times New Roman" w:cs="Times New Roman" w:eastAsia="Times New Roman" w:hAnsi="Times New Roman"/>
          <w:color w:val="000000"/>
          <w:sz w:val="24"/>
          <w:szCs w:val="24"/>
        </w:rPr>
        <w:t xml:space="preserve">El balance de masa no solo es importante para la planificacion de la produccion y el calculo de costos de materia prima, sino que tambien es un requisito regulatorio en la industria alimentaria. Las normativas de inocuidad alimentaria exigen documentar los rendimientos y perdidas en cada etapa del proceso como parte de los sistemas de trazabilidad. Ademas, el analisis de balance de masa permite identificar oportunidades de mejora en la eficiencia del proceso, tales como la reduccion de mermas en la etapa de limpieza de la fruta, la optimization de la relacion azucar-pulpa o la mejora de la eficiencia termica en la evaporacion, contribuyendo asi a la sostenibilidad economica y ambiental de la operacion productiva.</w:t>
      </w:r>
    </w:p>
    <w:p>
      <w:pPr>
        <w:pStyle w:val="Heading1"/>
        <w:spacing w:after="240" w:before="480" w:line="360"/>
      </w:pPr>
      <w:bookmarkStart w:id="100013" w:name="_Toc100013"/>
      <w:r>
        <w:rPr>
          <w:rFonts w:ascii="Times New Roman" w:cs="Times New Roman" w:eastAsia="Times New Roman" w:hAnsi="Times New Roman"/>
          <w:b/>
          <w:bCs/>
          <w:color w:val="000000"/>
          <w:sz w:val="32"/>
          <w:szCs w:val="32"/>
        </w:rPr>
        <w:t xml:space="preserve">6. Planificacion de la Mano de Obra Directa</w:t>
      </w:r>
      <w:bookmarkEnd w:id="100013"/>
    </w:p>
    <w:p>
      <w:pPr>
        <w:spacing w:after="60" w:line="360"/>
        <w:ind w:firstLine="480"/>
        <w:jc w:val="both"/>
      </w:pPr>
      <w:r>
        <w:rPr>
          <w:rFonts w:ascii="Times New Roman" w:cs="Times New Roman" w:eastAsia="Times New Roman" w:hAnsi="Times New Roman"/>
          <w:color w:val="000000"/>
          <w:sz w:val="24"/>
          <w:szCs w:val="24"/>
        </w:rPr>
        <w:t xml:space="preserve">La planificacion de la mano de obra directa (MOD) es un componente esencial de la gestion de operaciones, ya que el personal operativo representa tanto un factor critico para la productividad como uno de los costos mas significativos en la manufactura. La determinacion del numero optimo de operarios necesarios para atender una linea de produccion se basa en la relacion entre la demanda de produccion y la capacidad individual de cada trabajador, expresada en terminos de unidades producidas por operario por turno. Segun Chase, Jacobs y Aquilano (2004), la planificacion de la fuerza laboral debe equilibrar la capacidad productiva con la demanda, minimizando los costos laborales mientras se asegura el cumplimiento de los objetivos de produccion.</w:t>
      </w:r>
    </w:p>
    <w:p>
      <w:pPr>
        <w:spacing w:after="120" w:before="120" w:line="360"/>
        <w:jc w:val="center"/>
      </w:pPr>
      <w:r>
        <w:rPr>
          <w:rFonts w:ascii="Times New Roman" w:cs="Times New Roman" w:eastAsia="Times New Roman" w:hAnsi="Times New Roman"/>
          <w:i/>
          <w:iCs/>
          <w:color w:val="000000"/>
          <w:sz w:val="24"/>
          <w:szCs w:val="24"/>
        </w:rPr>
        <w:t xml:space="preserve">Numero de Operarios = Produccion Requerida / Produccion por Operario</w:t>
      </w:r>
    </w:p>
    <w:p>
      <w:pPr>
        <w:spacing w:after="60" w:line="360"/>
        <w:ind w:firstLine="480"/>
        <w:jc w:val="both"/>
      </w:pPr>
      <w:r>
        <w:rPr>
          <w:rFonts w:ascii="Times New Roman" w:cs="Times New Roman" w:eastAsia="Times New Roman" w:hAnsi="Times New Roman"/>
          <w:color w:val="000000"/>
          <w:sz w:val="24"/>
          <w:szCs w:val="24"/>
        </w:rPr>
        <w:t xml:space="preserve">En el caso de la linea de envasado, para atender una produccion diaria de 6,000 frascos con un rendimiento estandar de 500 frascos por operario, se requieren 12 operarios. Este calculo supone condiciones ideales de trabajo y una distribucion equitativa de las tareas. Sin embargo, en la practica, es necesario considerar factores adicionales como la polivalencia de los trabajadores, la cobertura de turnos, los permisos y ausencias, y la curva de aprendizaje. El concepto de area estatica de la envasadora (1.96 metros cuadrados, resultado de 3.1 m por 1.4 m) tambien es relevante para la planificacion de la mano de obra, ya que define el espacio fisico disponible y las condiciones ergonomicas bajo las cuales los operarios realizan sus tareas.</w:t>
      </w:r>
    </w:p>
    <w:p>
      <w:pPr>
        <w:spacing w:after="60" w:line="360"/>
        <w:ind w:firstLine="480"/>
        <w:jc w:val="both"/>
      </w:pPr>
      <w:r>
        <w:rPr>
          <w:rFonts w:ascii="Times New Roman" w:cs="Times New Roman" w:eastAsia="Times New Roman" w:hAnsi="Times New Roman"/>
          <w:color w:val="000000"/>
          <w:sz w:val="24"/>
          <w:szCs w:val="24"/>
        </w:rPr>
        <w:t xml:space="preserve">La optimizacion de la mano de obra directa no se limita a la determinacion del numero de operarios, sino que incluye la asignacion eficiente de tareas, el diseno de puestos de trabajo ergonomicos, la capacitacion continua y la implementacion de sistemas de incentivos que alineen los objetivos individuales con los organizacionales. En el marco de la manufactura esbelta (Lean Manufacturing), la planificacion de la mano de obra esta intimamente ligada al concepto de cells de manufactura y al balanceo de lineas de produccion, donde se busca distribuir uniformemente la carga de trabajo entre todos los operarios para minimizar los tiempos de espera y maximizar la utilization del recurso humano disponible.</w:t>
      </w:r>
    </w:p>
    <w:p>
      <w:pPr>
        <w:pStyle w:val="Heading1"/>
        <w:spacing w:after="240" w:before="480" w:line="360"/>
      </w:pPr>
      <w:bookmarkStart w:id="100014" w:name="_Toc100014"/>
      <w:r>
        <w:rPr>
          <w:rFonts w:ascii="Times New Roman" w:cs="Times New Roman" w:eastAsia="Times New Roman" w:hAnsi="Times New Roman"/>
          <w:b/>
          <w:bCs/>
          <w:color w:val="000000"/>
          <w:sz w:val="32"/>
          <w:szCs w:val="32"/>
        </w:rPr>
        <w:t xml:space="preserve">Referencias Bibliograficas</w:t>
      </w:r>
      <w:bookmarkEnd w:id="100014"/>
    </w:p>
    <w:p>
      <w:pPr>
        <w:spacing w:after="80" w:line="360"/>
        <w:ind w:left="720" w:hanging="720"/>
        <w:jc w:val="both"/>
      </w:pPr>
      <w:r>
        <w:rPr>
          <w:rFonts w:ascii="Times New Roman" w:cs="Times New Roman" w:eastAsia="Times New Roman" w:hAnsi="Times New Roman"/>
          <w:color w:val="000000"/>
          <w:sz w:val="24"/>
          <w:szCs w:val="24"/>
        </w:rPr>
        <w:t xml:space="preserve">Blank, L. T., &amp; Tarquin, A. J. (2018). Ingenieria economica (7ma ed.). McGraw-Hill Interamericana.</w:t>
      </w:r>
    </w:p>
    <w:p>
      <w:pPr>
        <w:spacing w:after="80" w:line="360"/>
        <w:ind w:left="720" w:hanging="720"/>
        <w:jc w:val="both"/>
      </w:pPr>
      <w:r>
        <w:rPr>
          <w:rFonts w:ascii="Times New Roman" w:cs="Times New Roman" w:eastAsia="Times New Roman" w:hAnsi="Times New Roman"/>
          <w:color w:val="000000"/>
          <w:sz w:val="24"/>
          <w:szCs w:val="24"/>
        </w:rPr>
        <w:t xml:space="preserve">Chase, R. B., Jacobs, F. R., &amp; Aquilano, N. J. (2004). Administracion de operaciones: produccion y cadena de suministros (10ma ed.). McGraw-Hill.</w:t>
      </w:r>
    </w:p>
    <w:p>
      <w:pPr>
        <w:spacing w:after="80" w:line="360"/>
        <w:ind w:left="720" w:hanging="720"/>
        <w:jc w:val="both"/>
      </w:pPr>
      <w:r>
        <w:rPr>
          <w:rFonts w:ascii="Times New Roman" w:cs="Times New Roman" w:eastAsia="Times New Roman" w:hAnsi="Times New Roman"/>
          <w:color w:val="000000"/>
          <w:sz w:val="24"/>
          <w:szCs w:val="24"/>
        </w:rPr>
        <w:t xml:space="preserve">Moubray, J. (1997). Reliability-Centered Maintenance (2nd ed.). Industrial Press Inc.</w:t>
      </w:r>
    </w:p>
    <w:p>
      <w:pPr>
        <w:spacing w:after="80" w:line="360"/>
        <w:ind w:left="720" w:hanging="720"/>
        <w:jc w:val="both"/>
      </w:pPr>
      <w:r>
        <w:rPr>
          <w:rFonts w:ascii="Times New Roman" w:cs="Times New Roman" w:eastAsia="Times New Roman" w:hAnsi="Times New Roman"/>
          <w:color w:val="000000"/>
          <w:sz w:val="24"/>
          <w:szCs w:val="24"/>
        </w:rPr>
        <w:t xml:space="preserve">Muther, R. (1968). Systematic Layout Planning (2nd ed.). Cahners Books.</w:t>
      </w:r>
    </w:p>
    <w:p>
      <w:pPr>
        <w:spacing w:after="80" w:line="360"/>
        <w:ind w:left="720" w:hanging="720"/>
        <w:jc w:val="both"/>
      </w:pPr>
      <w:r>
        <w:rPr>
          <w:rFonts w:ascii="Times New Roman" w:cs="Times New Roman" w:eastAsia="Times New Roman" w:hAnsi="Times New Roman"/>
          <w:color w:val="000000"/>
          <w:sz w:val="24"/>
          <w:szCs w:val="24"/>
        </w:rPr>
        <w:t xml:space="preserve">Nakajima, S. (1988). Introduction to TPM: Total Productive Maintenance. Productivity Press.</w:t>
      </w:r>
    </w:p>
    <w:p>
      <w:pPr>
        <w:spacing w:after="80" w:line="360"/>
        <w:ind w:left="720" w:hanging="720"/>
        <w:jc w:val="both"/>
      </w:pPr>
      <w:r>
        <w:rPr>
          <w:rFonts w:ascii="Times New Roman" w:cs="Times New Roman" w:eastAsia="Times New Roman" w:hAnsi="Times New Roman"/>
          <w:color w:val="000000"/>
          <w:sz w:val="24"/>
          <w:szCs w:val="24"/>
        </w:rPr>
        <w:t xml:space="preserve">Singh, R. P., &amp; Heldman, D. R. (2014). Introduction to Food Engineering (5th ed.). Academic Press.</w:t>
      </w:r>
    </w:p>
    <w:p>
      <w:pPr>
        <w:spacing w:after="80" w:line="360"/>
        <w:ind w:left="720" w:hanging="720"/>
        <w:jc w:val="both"/>
      </w:pPr>
      <w:r>
        <w:rPr>
          <w:rFonts w:ascii="Times New Roman" w:cs="Times New Roman" w:eastAsia="Times New Roman" w:hAnsi="Times New Roman"/>
          <w:color w:val="000000"/>
          <w:sz w:val="24"/>
          <w:szCs w:val="24"/>
        </w:rPr>
        <w:t xml:space="preserve">Sullivan, W. G., Wicks, E. M., &amp; Koelling, C. P. (2015). Engineering Economy (16th ed.). Pearson.</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333333"/>
        <w:sz w:val="18"/>
        <w:szCs w:val="18"/>
      </w:rPr>
      <w:t xml:space="preserve">Marco Teorico - Linea de Envasado de Pulpa de Frutas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333333"/>
        <w:sz w:val="18"/>
        <w:szCs w:val="18"/>
      </w:rPr>
      <w:t xml:space="preserve">Marco Teorico - Linea de Envasado de Pulpa de Frutas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Times New Roman" w:eastAsia="Times New Roman"/>
      <w:b/>
      <w:bCs/>
      <w:color w:val="000000"/>
      <w:sz w:val="32"/>
      <w:szCs w:val="32"/>
    </w:rPr>
  </w:style>
  <w:style w:type="paragraph" w:styleId="Heading2">
    <w:name w:val="Heading 2"/>
    <w:basedOn w:val="Normal"/>
    <w:next w:val="Normal"/>
    <w:qFormat/>
    <w:pPr>
      <w:spacing w:after="180" w:before="360" w:line="360"/>
      <w:outlineLvl w:val="1"/>
    </w:pPr>
    <w:rPr>
      <w:rFonts w:ascii="Times New Roman" w:eastAsia="Times New Roman"/>
      <w:b/>
      <w:bCs/>
      <w:color w:val="00000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2026-08-03T01:14:13.841Z</dcterms:created>
  <dcterms:modified xsi:type="dcterms:W3CDTF">2026-08-03T01:14:13.841Z</dcterms:modified>
</cp:coreProperties>
</file>

<file path=docProps/custom.xml><?xml version="1.0" encoding="utf-8"?>
<Properties xmlns="http://schemas.openxmlformats.org/officeDocument/2006/custom-properties" xmlns:vt="http://schemas.openxmlformats.org/officeDocument/2006/docPropsVTypes"/>
</file>