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s="Arial"/>
          <w:color w:val="000000"/>
          <w:sz w:val="32"/>
        </w:rPr>
        <w:t>Microsoft DCF and Reverse DCF</w:t>
      </w:r>
    </w:p>
    <w:p>
      <w:pPr>
        <w:jc w:val="left"/>
      </w:pPr>
      <w:r>
        <w:rPr>
          <w:rFonts w:ascii="Arial" w:hAnsi="Arial" w:eastAsia="Arial" w:cs="Arial"/>
          <w:color w:val="000000"/>
          <w:sz w:val="18"/>
        </w:rPr>
        <w:t>Portfolio project 02 | Goran Brkich</w:t>
      </w:r>
    </w:p>
    <w:p>
      <w:pPr>
        <w:jc w:val="left"/>
      </w:pPr>
      <w:r>
        <w:rPr>
          <w:rFonts w:ascii="Arial" w:hAnsi="Arial" w:eastAsia="Arial" w:cs="Arial"/>
          <w:color w:val="000000"/>
          <w:sz w:val="18"/>
        </w:rPr>
        <w:t>Valuation and information cutoff 8 October 2026</w:t>
        <w:br/>
        <w:t>Five explicit fiscal years FY2027 to FY2031</w:t>
        <w:br/>
        <w:t>Report prepared 12 October 2026</w:t>
      </w:r>
    </w:p>
    <w:p>
      <w:pPr>
        <w:pStyle w:val="Heading2"/>
        <w:jc w:val="left"/>
      </w:pPr>
      <w:r>
        <w:rPr>
          <w:rFonts w:ascii="Arial" w:hAnsi="Arial" w:eastAsia="Arial" w:cs="Arial"/>
          <w:color w:val="000000"/>
          <w:sz w:val="18"/>
        </w:rPr>
        <w:t>Valuation finding</w:t>
      </w:r>
    </w:p>
    <w:p>
      <w:pPr>
        <w:jc w:val="left"/>
      </w:pPr>
      <w:r>
        <w:rPr>
          <w:rFonts w:ascii="Arial" w:hAnsi="Arial" w:eastAsia="Arial" w:cs="Arial"/>
          <w:color w:val="000000"/>
          <w:sz w:val="18"/>
        </w:rPr>
        <w:t>The selected base assumptions produce a value of $286.35 per share against the observed close of $522.61. The conditional valuation is 45.2% below the close. Upside and downside fiscal cases produce $390.99 and $169.91. These differences measure the effects of the visible forecasts and valuation conventions.</w:t>
      </w:r>
    </w:p>
    <w:p>
      <w:pPr>
        <w:jc w:val="left"/>
      </w:pPr>
      <w:r>
        <w:rPr>
          <w:rFonts w:ascii="Arial" w:hAnsi="Arial" w:eastAsia="Arial" w:cs="Arial"/>
          <w:color w:val="000000"/>
          <w:sz w:val="18"/>
        </w:rPr>
        <w:drawing>
          <wp:inline xmlns:a="http://schemas.openxmlformats.org/drawingml/2006/main" xmlns:pic="http://schemas.openxmlformats.org/drawingml/2006/picture">
            <wp:extent cx="6217920" cy="2753650"/>
            <wp:docPr id="1" name="Picture 1"/>
            <wp:cNvGraphicFramePr>
              <a:graphicFrameLocks noChangeAspect="1"/>
            </wp:cNvGraphicFramePr>
            <a:graphic>
              <a:graphicData uri="http://schemas.openxmlformats.org/drawingml/2006/picture">
                <pic:pic>
                  <pic:nvPicPr>
                    <pic:cNvPr id="0" name="case_values.png"/>
                    <pic:cNvPicPr/>
                  </pic:nvPicPr>
                  <pic:blipFill>
                    <a:blip r:embed="rId10">
                      <a:grayscl/>
                    </a:blip>
                    <a:stretch>
                      <a:fillRect/>
                    </a:stretch>
                  </pic:blipFill>
                  <pic:spPr>
                    <a:xfrm>
                      <a:off x="0" y="0"/>
                      <a:ext cx="6217920" cy="2753650"/>
                    </a:xfrm>
                    <a:prstGeom prst="rect"/>
                  </pic:spPr>
                </pic:pic>
              </a:graphicData>
            </a:graphic>
          </wp:inline>
        </w:drawing>
      </w:r>
    </w:p>
    <w:p>
      <w:pPr>
        <w:pStyle w:val="Caption"/>
        <w:jc w:val="left"/>
      </w:pPr>
      <w:r>
        <w:rPr>
          <w:rFonts w:ascii="Arial" w:hAnsi="Arial" w:eastAsia="Arial" w:cs="Arial"/>
          <w:color w:val="000000"/>
          <w:sz w:val="16"/>
        </w:rPr>
        <w:t>Source Internal DCF calculations and preserved 8 October market observation</w:t>
      </w:r>
    </w:p>
    <w:p>
      <w:pPr>
        <w:jc w:val="left"/>
      </w:pPr>
      <w:r>
        <w:rPr>
          <w:rFonts w:ascii="Arial" w:hAnsi="Arial" w:eastAsia="Arial" w:cs="Arial"/>
          <w:color w:val="000000"/>
          <w:sz w:val="18"/>
        </w:rPr>
        <w:t>The base case discount rate is 9.81%, stable growth 3.0%, stable operating margin 40.0% and stable ROIC 20.0%. The stable period supplies 79.7% of enterprise value. The result is therefore particularly sensitive to long-run cash conversion and the required return.</w:t>
      </w:r>
    </w:p>
    <w:p>
      <w:pPr>
        <w:jc w:val="left"/>
      </w:pPr>
      <w:r>
        <w:rPr>
          <w:rFonts w:ascii="Arial" w:hAnsi="Arial" w:eastAsia="Arial" w:cs="Arial"/>
          <w:color w:val="000000"/>
          <w:sz w:val="18"/>
        </w:rPr>
        <w:t>The reverse analysis explains the market price through one criterion at a time. Revenue CAGR and lower WACC can solve it mathematically, while capex, working capital, tax and lease acquisition tests produce values outside reasonable operating bounds. No positive finite stable ROIC can explain the price alone under the base margins and growth.</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Operating forecast and investment</w:t>
      </w:r>
    </w:p>
    <w:p>
      <w:pPr>
        <w:jc w:val="left"/>
      </w:pPr>
      <w:r>
        <w:rPr>
          <w:rFonts w:ascii="Arial" w:hAnsi="Arial" w:eastAsia="Arial" w:cs="Arial"/>
          <w:color w:val="000000"/>
          <w:sz w:val="18"/>
        </w:rPr>
        <w:t>The annual forecast retains the project 03 fiscal scenario calibration for segment growth, operating margin, operating tax, D&amp;A, cash capital spending, capitalized interest, finance lease assets and operating working capital. The new DCF adds explicit discount timing and stable growth, margin and ROIC assumptions.</w:t>
      </w:r>
    </w:p>
    <w:p>
      <w:pPr>
        <w:jc w:val="left"/>
      </w:pPr>
      <w:r>
        <w:rPr>
          <w:rFonts w:ascii="Arial" w:hAnsi="Arial" w:eastAsia="Arial" w:cs="Arial"/>
          <w:color w:val="000000"/>
          <w:sz w:val="18"/>
        </w:rPr>
        <w:drawing>
          <wp:inline xmlns:a="http://schemas.openxmlformats.org/drawingml/2006/main" xmlns:pic="http://schemas.openxmlformats.org/drawingml/2006/picture">
            <wp:extent cx="6217920" cy="2842478"/>
            <wp:docPr id="2" name="Picture 2"/>
            <wp:cNvGraphicFramePr>
              <a:graphicFrameLocks noChangeAspect="1"/>
            </wp:cNvGraphicFramePr>
            <a:graphic>
              <a:graphicData uri="http://schemas.openxmlformats.org/drawingml/2006/picture">
                <pic:pic>
                  <pic:nvPicPr>
                    <pic:cNvPr id="0" name="forecast_paths.png"/>
                    <pic:cNvPicPr/>
                  </pic:nvPicPr>
                  <pic:blipFill>
                    <a:blip r:embed="rId11">
                      <a:grayscl/>
                    </a:blip>
                    <a:stretch>
                      <a:fillRect/>
                    </a:stretch>
                  </pic:blipFill>
                  <pic:spPr>
                    <a:xfrm>
                      <a:off x="0" y="0"/>
                      <a:ext cx="6217920" cy="2842478"/>
                    </a:xfrm>
                    <a:prstGeom prst="rect"/>
                  </pic:spPr>
                </pic:pic>
              </a:graphicData>
            </a:graphic>
          </wp:inline>
        </w:drawing>
      </w:r>
    </w:p>
    <w:p>
      <w:pPr>
        <w:pStyle w:val="Caption"/>
        <w:jc w:val="left"/>
      </w:pPr>
      <w:r>
        <w:rPr>
          <w:rFonts w:ascii="Arial" w:hAnsi="Arial" w:eastAsia="Arial" w:cs="Arial"/>
          <w:color w:val="000000"/>
          <w:sz w:val="16"/>
        </w:rPr>
        <w:t>Full fiscal year amounts before the first year remaining cash flow adjustment</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2448"/>
        <w:gridCol w:w="1469"/>
        <w:gridCol w:w="1469"/>
        <w:gridCol w:w="1469"/>
        <w:gridCol w:w="1469"/>
        <w:gridCol w:w="1469"/>
      </w:tblGrid>
      <w:tr>
        <w:trPr>
          <w:cantSplit/>
          <w:tblHeader/>
        </w:trPr>
        <w:tc>
          <w:tcPr>
            <w:tcW w:type="dxa" w:w="2448"/>
            <w:vAlign w:val="center"/>
            <w:shd w:fill="FFFFFF"/>
            <w:tcBorders>
              <w:bottom w:val="single" w:sz="4" w:color="000000"/>
            </w:tcBorders>
          </w:tcPr>
          <w:p>
            <w:pPr>
              <w:spacing w:after="40" w:before="40"/>
              <w:jc w:val="left"/>
            </w:pPr>
            <w:r>
              <w:rPr>
                <w:rFonts w:ascii="Arial" w:hAnsi="Arial" w:eastAsia="Arial" w:cs="Arial"/>
                <w:b/>
                <w:color w:val="000000"/>
                <w:sz w:val="16"/>
              </w:rPr>
              <w:t>USD billions</w:t>
            </w:r>
          </w:p>
        </w:tc>
        <w:tc>
          <w:tcPr>
            <w:tcW w:type="dxa" w:w="1469"/>
            <w:vAlign w:val="center"/>
            <w:shd w:fill="FFFFFF"/>
            <w:tcBorders>
              <w:bottom w:val="single" w:sz="4" w:color="000000"/>
            </w:tcBorders>
          </w:tcPr>
          <w:p>
            <w:pPr>
              <w:spacing w:after="40" w:before="40"/>
              <w:jc w:val="left"/>
            </w:pPr>
            <w:r>
              <w:rPr>
                <w:rFonts w:ascii="Arial" w:hAnsi="Arial" w:eastAsia="Arial" w:cs="Arial"/>
                <w:b/>
                <w:color w:val="000000"/>
                <w:sz w:val="16"/>
              </w:rPr>
              <w:t>FY2027</w:t>
            </w:r>
          </w:p>
        </w:tc>
        <w:tc>
          <w:tcPr>
            <w:tcW w:type="dxa" w:w="1469"/>
            <w:vAlign w:val="center"/>
            <w:shd w:fill="FFFFFF"/>
            <w:tcBorders>
              <w:bottom w:val="single" w:sz="4" w:color="000000"/>
            </w:tcBorders>
          </w:tcPr>
          <w:p>
            <w:pPr>
              <w:spacing w:after="40" w:before="40"/>
              <w:jc w:val="left"/>
            </w:pPr>
            <w:r>
              <w:rPr>
                <w:rFonts w:ascii="Arial" w:hAnsi="Arial" w:eastAsia="Arial" w:cs="Arial"/>
                <w:b/>
                <w:color w:val="000000"/>
                <w:sz w:val="16"/>
              </w:rPr>
              <w:t>FY2028</w:t>
            </w:r>
          </w:p>
        </w:tc>
        <w:tc>
          <w:tcPr>
            <w:tcW w:type="dxa" w:w="1469"/>
            <w:vAlign w:val="center"/>
            <w:shd w:fill="FFFFFF"/>
            <w:tcBorders>
              <w:bottom w:val="single" w:sz="4" w:color="000000"/>
            </w:tcBorders>
          </w:tcPr>
          <w:p>
            <w:pPr>
              <w:spacing w:after="40" w:before="40"/>
              <w:jc w:val="left"/>
            </w:pPr>
            <w:r>
              <w:rPr>
                <w:rFonts w:ascii="Arial" w:hAnsi="Arial" w:eastAsia="Arial" w:cs="Arial"/>
                <w:b/>
                <w:color w:val="000000"/>
                <w:sz w:val="16"/>
              </w:rPr>
              <w:t>FY2029</w:t>
            </w:r>
          </w:p>
        </w:tc>
        <w:tc>
          <w:tcPr>
            <w:tcW w:type="dxa" w:w="1469"/>
            <w:vAlign w:val="center"/>
            <w:shd w:fill="FFFFFF"/>
            <w:tcBorders>
              <w:bottom w:val="single" w:sz="4" w:color="000000"/>
            </w:tcBorders>
          </w:tcPr>
          <w:p>
            <w:pPr>
              <w:spacing w:after="40" w:before="40"/>
              <w:jc w:val="left"/>
            </w:pPr>
            <w:r>
              <w:rPr>
                <w:rFonts w:ascii="Arial" w:hAnsi="Arial" w:eastAsia="Arial" w:cs="Arial"/>
                <w:b/>
                <w:color w:val="000000"/>
                <w:sz w:val="16"/>
              </w:rPr>
              <w:t>FY2030</w:t>
            </w:r>
          </w:p>
        </w:tc>
        <w:tc>
          <w:tcPr>
            <w:tcW w:type="dxa" w:w="1469"/>
            <w:vAlign w:val="center"/>
            <w:shd w:fill="FFFFFF"/>
            <w:tcBorders>
              <w:bottom w:val="single" w:sz="4" w:color="000000"/>
            </w:tcBorders>
          </w:tcPr>
          <w:p>
            <w:pPr>
              <w:spacing w:after="40" w:before="40"/>
              <w:jc w:val="left"/>
            </w:pPr>
            <w:r>
              <w:rPr>
                <w:rFonts w:ascii="Arial" w:hAnsi="Arial" w:eastAsia="Arial" w:cs="Arial"/>
                <w:b/>
                <w:color w:val="000000"/>
                <w:sz w:val="16"/>
              </w:rPr>
              <w:t>FY2031</w:t>
            </w:r>
          </w:p>
        </w:tc>
      </w:tr>
      <w:tr>
        <w:trPr>
          <w:cantSplit/>
        </w:trPr>
        <w:tc>
          <w:tcPr>
            <w:tcW w:type="dxa" w:w="2448"/>
            <w:vAlign w:val="center"/>
            <w:shd w:fill="E5E5E5"/>
          </w:tcPr>
          <w:p>
            <w:pPr>
              <w:spacing w:after="40" w:before="40"/>
              <w:jc w:val="left"/>
            </w:pPr>
            <w:r>
              <w:rPr>
                <w:rFonts w:ascii="Arial" w:hAnsi="Arial" w:eastAsia="Arial" w:cs="Arial"/>
                <w:b w:val="0"/>
                <w:color w:val="000000"/>
                <w:sz w:val="16"/>
              </w:rPr>
              <w:t>Revenue</w:t>
            </w:r>
          </w:p>
        </w:tc>
        <w:tc>
          <w:tcPr>
            <w:tcW w:type="dxa" w:w="1469"/>
            <w:vAlign w:val="center"/>
            <w:shd w:fill="E5E5E5"/>
          </w:tcPr>
          <w:p>
            <w:pPr>
              <w:spacing w:after="40" w:before="40"/>
              <w:jc w:val="left"/>
            </w:pPr>
            <w:r>
              <w:rPr>
                <w:rFonts w:ascii="Arial" w:hAnsi="Arial" w:eastAsia="Arial" w:cs="Arial"/>
                <w:b w:val="0"/>
                <w:color w:val="000000"/>
                <w:sz w:val="16"/>
              </w:rPr>
              <w:t>385.0</w:t>
            </w:r>
          </w:p>
        </w:tc>
        <w:tc>
          <w:tcPr>
            <w:tcW w:type="dxa" w:w="1469"/>
            <w:vAlign w:val="center"/>
            <w:shd w:fill="E5E5E5"/>
          </w:tcPr>
          <w:p>
            <w:pPr>
              <w:spacing w:after="40" w:before="40"/>
              <w:jc w:val="left"/>
            </w:pPr>
            <w:r>
              <w:rPr>
                <w:rFonts w:ascii="Arial" w:hAnsi="Arial" w:eastAsia="Arial" w:cs="Arial"/>
                <w:b w:val="0"/>
                <w:color w:val="000000"/>
                <w:sz w:val="16"/>
              </w:rPr>
              <w:t>444.5</w:t>
            </w:r>
          </w:p>
        </w:tc>
        <w:tc>
          <w:tcPr>
            <w:tcW w:type="dxa" w:w="1469"/>
            <w:vAlign w:val="center"/>
            <w:shd w:fill="E5E5E5"/>
          </w:tcPr>
          <w:p>
            <w:pPr>
              <w:spacing w:after="40" w:before="40"/>
              <w:jc w:val="left"/>
            </w:pPr>
            <w:r>
              <w:rPr>
                <w:rFonts w:ascii="Arial" w:hAnsi="Arial" w:eastAsia="Arial" w:cs="Arial"/>
                <w:b w:val="0"/>
                <w:color w:val="000000"/>
                <w:sz w:val="16"/>
              </w:rPr>
              <w:t>508.9</w:t>
            </w:r>
          </w:p>
        </w:tc>
        <w:tc>
          <w:tcPr>
            <w:tcW w:type="dxa" w:w="1469"/>
            <w:vAlign w:val="center"/>
            <w:shd w:fill="E5E5E5"/>
          </w:tcPr>
          <w:p>
            <w:pPr>
              <w:spacing w:after="40" w:before="40"/>
              <w:jc w:val="left"/>
            </w:pPr>
            <w:r>
              <w:rPr>
                <w:rFonts w:ascii="Arial" w:hAnsi="Arial" w:eastAsia="Arial" w:cs="Arial"/>
                <w:b w:val="0"/>
                <w:color w:val="000000"/>
                <w:sz w:val="16"/>
              </w:rPr>
              <w:t>577.3</w:t>
            </w:r>
          </w:p>
        </w:tc>
        <w:tc>
          <w:tcPr>
            <w:tcW w:type="dxa" w:w="1469"/>
            <w:vAlign w:val="center"/>
            <w:shd w:fill="E5E5E5"/>
          </w:tcPr>
          <w:p>
            <w:pPr>
              <w:spacing w:after="40" w:before="40"/>
              <w:jc w:val="left"/>
            </w:pPr>
            <w:r>
              <w:rPr>
                <w:rFonts w:ascii="Arial" w:hAnsi="Arial" w:eastAsia="Arial" w:cs="Arial"/>
                <w:b w:val="0"/>
                <w:color w:val="000000"/>
                <w:sz w:val="16"/>
              </w:rPr>
              <w:t>648.1</w:t>
            </w:r>
          </w:p>
        </w:tc>
      </w:tr>
      <w:tr>
        <w:trPr>
          <w:cantSplit/>
        </w:trPr>
        <w:tc>
          <w:tcPr>
            <w:tcW w:type="dxa" w:w="2448"/>
            <w:vAlign w:val="center"/>
            <w:shd w:fill="FFFFFF"/>
          </w:tcPr>
          <w:p>
            <w:pPr>
              <w:spacing w:after="40" w:before="40"/>
              <w:jc w:val="left"/>
            </w:pPr>
            <w:r>
              <w:rPr>
                <w:rFonts w:ascii="Arial" w:hAnsi="Arial" w:eastAsia="Arial" w:cs="Arial"/>
                <w:b w:val="0"/>
                <w:color w:val="000000"/>
                <w:sz w:val="16"/>
              </w:rPr>
              <w:t>Operating profit</w:t>
            </w:r>
          </w:p>
        </w:tc>
        <w:tc>
          <w:tcPr>
            <w:tcW w:type="dxa" w:w="1469"/>
            <w:vAlign w:val="center"/>
            <w:shd w:fill="FFFFFF"/>
          </w:tcPr>
          <w:p>
            <w:pPr>
              <w:spacing w:after="40" w:before="40"/>
              <w:jc w:val="left"/>
            </w:pPr>
            <w:r>
              <w:rPr>
                <w:rFonts w:ascii="Arial" w:hAnsi="Arial" w:eastAsia="Arial" w:cs="Arial"/>
                <w:b w:val="0"/>
                <w:color w:val="000000"/>
                <w:sz w:val="16"/>
              </w:rPr>
              <w:t>175.7</w:t>
            </w:r>
          </w:p>
        </w:tc>
        <w:tc>
          <w:tcPr>
            <w:tcW w:type="dxa" w:w="1469"/>
            <w:vAlign w:val="center"/>
            <w:shd w:fill="FFFFFF"/>
          </w:tcPr>
          <w:p>
            <w:pPr>
              <w:spacing w:after="40" w:before="40"/>
              <w:jc w:val="left"/>
            </w:pPr>
            <w:r>
              <w:rPr>
                <w:rFonts w:ascii="Arial" w:hAnsi="Arial" w:eastAsia="Arial" w:cs="Arial"/>
                <w:b w:val="0"/>
                <w:color w:val="000000"/>
                <w:sz w:val="16"/>
              </w:rPr>
              <w:t>189.2</w:t>
            </w:r>
          </w:p>
        </w:tc>
        <w:tc>
          <w:tcPr>
            <w:tcW w:type="dxa" w:w="1469"/>
            <w:vAlign w:val="center"/>
            <w:shd w:fill="FFFFFF"/>
          </w:tcPr>
          <w:p>
            <w:pPr>
              <w:spacing w:after="40" w:before="40"/>
              <w:jc w:val="left"/>
            </w:pPr>
            <w:r>
              <w:rPr>
                <w:rFonts w:ascii="Arial" w:hAnsi="Arial" w:eastAsia="Arial" w:cs="Arial"/>
                <w:b w:val="0"/>
                <w:color w:val="000000"/>
                <w:sz w:val="16"/>
              </w:rPr>
              <w:t>204.7</w:t>
            </w:r>
          </w:p>
        </w:tc>
        <w:tc>
          <w:tcPr>
            <w:tcW w:type="dxa" w:w="1469"/>
            <w:vAlign w:val="center"/>
            <w:shd w:fill="FFFFFF"/>
          </w:tcPr>
          <w:p>
            <w:pPr>
              <w:spacing w:after="40" w:before="40"/>
              <w:jc w:val="left"/>
            </w:pPr>
            <w:r>
              <w:rPr>
                <w:rFonts w:ascii="Arial" w:hAnsi="Arial" w:eastAsia="Arial" w:cs="Arial"/>
                <w:b w:val="0"/>
                <w:color w:val="000000"/>
                <w:sz w:val="16"/>
              </w:rPr>
              <w:t>223.0</w:t>
            </w:r>
          </w:p>
        </w:tc>
        <w:tc>
          <w:tcPr>
            <w:tcW w:type="dxa" w:w="1469"/>
            <w:vAlign w:val="center"/>
            <w:shd w:fill="FFFFFF"/>
          </w:tcPr>
          <w:p>
            <w:pPr>
              <w:spacing w:after="40" w:before="40"/>
              <w:jc w:val="left"/>
            </w:pPr>
            <w:r>
              <w:rPr>
                <w:rFonts w:ascii="Arial" w:hAnsi="Arial" w:eastAsia="Arial" w:cs="Arial"/>
                <w:b w:val="0"/>
                <w:color w:val="000000"/>
                <w:sz w:val="16"/>
              </w:rPr>
              <w:t>242.8</w:t>
            </w:r>
          </w:p>
        </w:tc>
      </w:tr>
      <w:tr>
        <w:trPr>
          <w:cantSplit/>
        </w:trPr>
        <w:tc>
          <w:tcPr>
            <w:tcW w:type="dxa" w:w="2448"/>
            <w:vAlign w:val="center"/>
            <w:shd w:fill="E5E5E5"/>
          </w:tcPr>
          <w:p>
            <w:pPr>
              <w:spacing w:after="40" w:before="40"/>
              <w:jc w:val="left"/>
            </w:pPr>
            <w:r>
              <w:rPr>
                <w:rFonts w:ascii="Arial" w:hAnsi="Arial" w:eastAsia="Arial" w:cs="Arial"/>
                <w:b w:val="0"/>
                <w:color w:val="000000"/>
                <w:sz w:val="16"/>
              </w:rPr>
              <w:t>NOPAT</w:t>
            </w:r>
          </w:p>
        </w:tc>
        <w:tc>
          <w:tcPr>
            <w:tcW w:type="dxa" w:w="1469"/>
            <w:vAlign w:val="center"/>
            <w:shd w:fill="E5E5E5"/>
          </w:tcPr>
          <w:p>
            <w:pPr>
              <w:spacing w:after="40" w:before="40"/>
              <w:jc w:val="left"/>
            </w:pPr>
            <w:r>
              <w:rPr>
                <w:rFonts w:ascii="Arial" w:hAnsi="Arial" w:eastAsia="Arial" w:cs="Arial"/>
                <w:b w:val="0"/>
                <w:color w:val="000000"/>
                <w:sz w:val="16"/>
              </w:rPr>
              <w:t>140.6</w:t>
            </w:r>
          </w:p>
        </w:tc>
        <w:tc>
          <w:tcPr>
            <w:tcW w:type="dxa" w:w="1469"/>
            <w:vAlign w:val="center"/>
            <w:shd w:fill="E5E5E5"/>
          </w:tcPr>
          <w:p>
            <w:pPr>
              <w:spacing w:after="40" w:before="40"/>
              <w:jc w:val="left"/>
            </w:pPr>
            <w:r>
              <w:rPr>
                <w:rFonts w:ascii="Arial" w:hAnsi="Arial" w:eastAsia="Arial" w:cs="Arial"/>
                <w:b w:val="0"/>
                <w:color w:val="000000"/>
                <w:sz w:val="16"/>
              </w:rPr>
              <w:t>151.3</w:t>
            </w:r>
          </w:p>
        </w:tc>
        <w:tc>
          <w:tcPr>
            <w:tcW w:type="dxa" w:w="1469"/>
            <w:vAlign w:val="center"/>
            <w:shd w:fill="E5E5E5"/>
          </w:tcPr>
          <w:p>
            <w:pPr>
              <w:spacing w:after="40" w:before="40"/>
              <w:jc w:val="left"/>
            </w:pPr>
            <w:r>
              <w:rPr>
                <w:rFonts w:ascii="Arial" w:hAnsi="Arial" w:eastAsia="Arial" w:cs="Arial"/>
                <w:b w:val="0"/>
                <w:color w:val="000000"/>
                <w:sz w:val="16"/>
              </w:rPr>
              <w:t>163.8</w:t>
            </w:r>
          </w:p>
        </w:tc>
        <w:tc>
          <w:tcPr>
            <w:tcW w:type="dxa" w:w="1469"/>
            <w:vAlign w:val="center"/>
            <w:shd w:fill="E5E5E5"/>
          </w:tcPr>
          <w:p>
            <w:pPr>
              <w:spacing w:after="40" w:before="40"/>
              <w:jc w:val="left"/>
            </w:pPr>
            <w:r>
              <w:rPr>
                <w:rFonts w:ascii="Arial" w:hAnsi="Arial" w:eastAsia="Arial" w:cs="Arial"/>
                <w:b w:val="0"/>
                <w:color w:val="000000"/>
                <w:sz w:val="16"/>
              </w:rPr>
              <w:t>178.4</w:t>
            </w:r>
          </w:p>
        </w:tc>
        <w:tc>
          <w:tcPr>
            <w:tcW w:type="dxa" w:w="1469"/>
            <w:vAlign w:val="center"/>
            <w:shd w:fill="E5E5E5"/>
          </w:tcPr>
          <w:p>
            <w:pPr>
              <w:spacing w:after="40" w:before="40"/>
              <w:jc w:val="left"/>
            </w:pPr>
            <w:r>
              <w:rPr>
                <w:rFonts w:ascii="Arial" w:hAnsi="Arial" w:eastAsia="Arial" w:cs="Arial"/>
                <w:b w:val="0"/>
                <w:color w:val="000000"/>
                <w:sz w:val="16"/>
              </w:rPr>
              <w:t>194.2</w:t>
            </w:r>
          </w:p>
        </w:tc>
      </w:tr>
      <w:tr>
        <w:trPr>
          <w:cantSplit/>
        </w:trPr>
        <w:tc>
          <w:tcPr>
            <w:tcW w:type="dxa" w:w="2448"/>
            <w:vAlign w:val="center"/>
            <w:shd w:fill="FFFFFF"/>
          </w:tcPr>
          <w:p>
            <w:pPr>
              <w:spacing w:after="40" w:before="40"/>
              <w:jc w:val="left"/>
            </w:pPr>
            <w:r>
              <w:rPr>
                <w:rFonts w:ascii="Arial" w:hAnsi="Arial" w:eastAsia="Arial" w:cs="Arial"/>
                <w:b w:val="0"/>
                <w:color w:val="000000"/>
                <w:sz w:val="16"/>
              </w:rPr>
              <w:t>Economic capex</w:t>
            </w:r>
          </w:p>
        </w:tc>
        <w:tc>
          <w:tcPr>
            <w:tcW w:type="dxa" w:w="1469"/>
            <w:vAlign w:val="center"/>
            <w:shd w:fill="FFFFFF"/>
          </w:tcPr>
          <w:p>
            <w:pPr>
              <w:spacing w:after="40" w:before="40"/>
              <w:jc w:val="left"/>
            </w:pPr>
            <w:r>
              <w:rPr>
                <w:rFonts w:ascii="Arial" w:hAnsi="Arial" w:eastAsia="Arial" w:cs="Arial"/>
                <w:b w:val="0"/>
                <w:color w:val="000000"/>
                <w:sz w:val="16"/>
              </w:rPr>
              <w:t>151.0</w:t>
            </w:r>
          </w:p>
        </w:tc>
        <w:tc>
          <w:tcPr>
            <w:tcW w:type="dxa" w:w="1469"/>
            <w:vAlign w:val="center"/>
            <w:shd w:fill="FFFFFF"/>
          </w:tcPr>
          <w:p>
            <w:pPr>
              <w:spacing w:after="40" w:before="40"/>
              <w:jc w:val="left"/>
            </w:pPr>
            <w:r>
              <w:rPr>
                <w:rFonts w:ascii="Arial" w:hAnsi="Arial" w:eastAsia="Arial" w:cs="Arial"/>
                <w:b w:val="0"/>
                <w:color w:val="000000"/>
                <w:sz w:val="16"/>
              </w:rPr>
              <w:t>154.4</w:t>
            </w:r>
          </w:p>
        </w:tc>
        <w:tc>
          <w:tcPr>
            <w:tcW w:type="dxa" w:w="1469"/>
            <w:vAlign w:val="center"/>
            <w:shd w:fill="FFFFFF"/>
          </w:tcPr>
          <w:p>
            <w:pPr>
              <w:spacing w:after="40" w:before="40"/>
              <w:jc w:val="left"/>
            </w:pPr>
            <w:r>
              <w:rPr>
                <w:rFonts w:ascii="Arial" w:hAnsi="Arial" w:eastAsia="Arial" w:cs="Arial"/>
                <w:b w:val="0"/>
                <w:color w:val="000000"/>
                <w:sz w:val="16"/>
              </w:rPr>
              <w:t>158.9</w:t>
            </w:r>
          </w:p>
        </w:tc>
        <w:tc>
          <w:tcPr>
            <w:tcW w:type="dxa" w:w="1469"/>
            <w:vAlign w:val="center"/>
            <w:shd w:fill="FFFFFF"/>
          </w:tcPr>
          <w:p>
            <w:pPr>
              <w:spacing w:after="40" w:before="40"/>
              <w:jc w:val="left"/>
            </w:pPr>
            <w:r>
              <w:rPr>
                <w:rFonts w:ascii="Arial" w:hAnsi="Arial" w:eastAsia="Arial" w:cs="Arial"/>
                <w:b w:val="0"/>
                <w:color w:val="000000"/>
                <w:sz w:val="16"/>
              </w:rPr>
              <w:t>160.0</w:t>
            </w:r>
          </w:p>
        </w:tc>
        <w:tc>
          <w:tcPr>
            <w:tcW w:type="dxa" w:w="1469"/>
            <w:vAlign w:val="center"/>
            <w:shd w:fill="FFFFFF"/>
          </w:tcPr>
          <w:p>
            <w:pPr>
              <w:spacing w:after="40" w:before="40"/>
              <w:jc w:val="left"/>
            </w:pPr>
            <w:r>
              <w:rPr>
                <w:rFonts w:ascii="Arial" w:hAnsi="Arial" w:eastAsia="Arial" w:cs="Arial"/>
                <w:b w:val="0"/>
                <w:color w:val="000000"/>
                <w:sz w:val="16"/>
              </w:rPr>
              <w:t>163.4</w:t>
            </w:r>
          </w:p>
        </w:tc>
      </w:tr>
      <w:tr>
        <w:trPr>
          <w:cantSplit/>
        </w:trPr>
        <w:tc>
          <w:tcPr>
            <w:tcW w:type="dxa" w:w="2448"/>
            <w:vAlign w:val="center"/>
            <w:shd w:fill="E5E5E5"/>
          </w:tcPr>
          <w:p>
            <w:pPr>
              <w:spacing w:after="40" w:before="40"/>
              <w:jc w:val="left"/>
            </w:pPr>
            <w:r>
              <w:rPr>
                <w:rFonts w:ascii="Arial" w:hAnsi="Arial" w:eastAsia="Arial" w:cs="Arial"/>
                <w:b w:val="0"/>
                <w:color w:val="000000"/>
                <w:sz w:val="16"/>
              </w:rPr>
              <w:t>D&amp;A</w:t>
            </w:r>
          </w:p>
        </w:tc>
        <w:tc>
          <w:tcPr>
            <w:tcW w:type="dxa" w:w="1469"/>
            <w:vAlign w:val="center"/>
            <w:shd w:fill="E5E5E5"/>
          </w:tcPr>
          <w:p>
            <w:pPr>
              <w:spacing w:after="40" w:before="40"/>
              <w:jc w:val="left"/>
            </w:pPr>
            <w:r>
              <w:rPr>
                <w:rFonts w:ascii="Arial" w:hAnsi="Arial" w:eastAsia="Arial" w:cs="Arial"/>
                <w:b w:val="0"/>
                <w:color w:val="000000"/>
                <w:sz w:val="16"/>
              </w:rPr>
              <w:t>53.4</w:t>
            </w:r>
          </w:p>
        </w:tc>
        <w:tc>
          <w:tcPr>
            <w:tcW w:type="dxa" w:w="1469"/>
            <w:vAlign w:val="center"/>
            <w:shd w:fill="E5E5E5"/>
          </w:tcPr>
          <w:p>
            <w:pPr>
              <w:spacing w:after="40" w:before="40"/>
              <w:jc w:val="left"/>
            </w:pPr>
            <w:r>
              <w:rPr>
                <w:rFonts w:ascii="Arial" w:hAnsi="Arial" w:eastAsia="Arial" w:cs="Arial"/>
                <w:b w:val="0"/>
                <w:color w:val="000000"/>
                <w:sz w:val="16"/>
              </w:rPr>
              <w:t>77.7</w:t>
            </w:r>
          </w:p>
        </w:tc>
        <w:tc>
          <w:tcPr>
            <w:tcW w:type="dxa" w:w="1469"/>
            <w:vAlign w:val="center"/>
            <w:shd w:fill="E5E5E5"/>
          </w:tcPr>
          <w:p>
            <w:pPr>
              <w:spacing w:after="40" w:before="40"/>
              <w:jc w:val="left"/>
            </w:pPr>
            <w:r>
              <w:rPr>
                <w:rFonts w:ascii="Arial" w:hAnsi="Arial" w:eastAsia="Arial" w:cs="Arial"/>
                <w:b w:val="0"/>
                <w:color w:val="000000"/>
                <w:sz w:val="16"/>
              </w:rPr>
              <w:t>103.5</w:t>
            </w:r>
          </w:p>
        </w:tc>
        <w:tc>
          <w:tcPr>
            <w:tcW w:type="dxa" w:w="1469"/>
            <w:vAlign w:val="center"/>
            <w:shd w:fill="E5E5E5"/>
          </w:tcPr>
          <w:p>
            <w:pPr>
              <w:spacing w:after="40" w:before="40"/>
              <w:jc w:val="left"/>
            </w:pPr>
            <w:r>
              <w:rPr>
                <w:rFonts w:ascii="Arial" w:hAnsi="Arial" w:eastAsia="Arial" w:cs="Arial"/>
                <w:b w:val="0"/>
                <w:color w:val="000000"/>
                <w:sz w:val="16"/>
              </w:rPr>
              <w:t>129.5</w:t>
            </w:r>
          </w:p>
        </w:tc>
        <w:tc>
          <w:tcPr>
            <w:tcW w:type="dxa" w:w="1469"/>
            <w:vAlign w:val="center"/>
            <w:shd w:fill="E5E5E5"/>
          </w:tcPr>
          <w:p>
            <w:pPr>
              <w:spacing w:after="40" w:before="40"/>
              <w:jc w:val="left"/>
            </w:pPr>
            <w:r>
              <w:rPr>
                <w:rFonts w:ascii="Arial" w:hAnsi="Arial" w:eastAsia="Arial" w:cs="Arial"/>
                <w:b w:val="0"/>
                <w:color w:val="000000"/>
                <w:sz w:val="16"/>
              </w:rPr>
              <w:t>156.0</w:t>
            </w:r>
          </w:p>
        </w:tc>
      </w:tr>
      <w:tr>
        <w:trPr>
          <w:cantSplit/>
        </w:trPr>
        <w:tc>
          <w:tcPr>
            <w:tcW w:type="dxa" w:w="2448"/>
            <w:vAlign w:val="center"/>
            <w:shd w:fill="FFFFFF"/>
          </w:tcPr>
          <w:p>
            <w:pPr>
              <w:spacing w:after="40" w:before="40"/>
              <w:jc w:val="left"/>
            </w:pPr>
            <w:r>
              <w:rPr>
                <w:rFonts w:ascii="Arial" w:hAnsi="Arial" w:eastAsia="Arial" w:cs="Arial"/>
                <w:b w:val="0"/>
                <w:color w:val="000000"/>
                <w:sz w:val="16"/>
              </w:rPr>
              <w:t>Change in NWC</w:t>
            </w:r>
          </w:p>
        </w:tc>
        <w:tc>
          <w:tcPr>
            <w:tcW w:type="dxa" w:w="1469"/>
            <w:vAlign w:val="center"/>
            <w:shd w:fill="FFFFFF"/>
          </w:tcPr>
          <w:p>
            <w:pPr>
              <w:spacing w:after="40" w:before="40"/>
              <w:jc w:val="left"/>
            </w:pPr>
            <w:r>
              <w:rPr>
                <w:rFonts w:ascii="Arial" w:hAnsi="Arial" w:eastAsia="Arial" w:cs="Arial"/>
                <w:b w:val="0"/>
                <w:color w:val="000000"/>
                <w:sz w:val="16"/>
              </w:rPr>
              <w:t>-3.2</w:t>
            </w:r>
          </w:p>
        </w:tc>
        <w:tc>
          <w:tcPr>
            <w:tcW w:type="dxa" w:w="1469"/>
            <w:vAlign w:val="center"/>
            <w:shd w:fill="FFFFFF"/>
          </w:tcPr>
          <w:p>
            <w:pPr>
              <w:spacing w:after="40" w:before="40"/>
              <w:jc w:val="left"/>
            </w:pPr>
            <w:r>
              <w:rPr>
                <w:rFonts w:ascii="Arial" w:hAnsi="Arial" w:eastAsia="Arial" w:cs="Arial"/>
                <w:b w:val="0"/>
                <w:color w:val="000000"/>
                <w:sz w:val="16"/>
              </w:rPr>
              <w:t>-5.0</w:t>
            </w:r>
          </w:p>
        </w:tc>
        <w:tc>
          <w:tcPr>
            <w:tcW w:type="dxa" w:w="1469"/>
            <w:vAlign w:val="center"/>
            <w:shd w:fill="FFFFFF"/>
          </w:tcPr>
          <w:p>
            <w:pPr>
              <w:spacing w:after="40" w:before="40"/>
              <w:jc w:val="left"/>
            </w:pPr>
            <w:r>
              <w:rPr>
                <w:rFonts w:ascii="Arial" w:hAnsi="Arial" w:eastAsia="Arial" w:cs="Arial"/>
                <w:b w:val="0"/>
                <w:color w:val="000000"/>
                <w:sz w:val="16"/>
              </w:rPr>
              <w:t>-3.7</w:t>
            </w:r>
          </w:p>
        </w:tc>
        <w:tc>
          <w:tcPr>
            <w:tcW w:type="dxa" w:w="1469"/>
            <w:vAlign w:val="center"/>
            <w:shd w:fill="FFFFFF"/>
          </w:tcPr>
          <w:p>
            <w:pPr>
              <w:spacing w:after="40" w:before="40"/>
              <w:jc w:val="left"/>
            </w:pPr>
            <w:r>
              <w:rPr>
                <w:rFonts w:ascii="Arial" w:hAnsi="Arial" w:eastAsia="Arial" w:cs="Arial"/>
                <w:b w:val="0"/>
                <w:color w:val="000000"/>
                <w:sz w:val="16"/>
              </w:rPr>
              <w:t>-4.3</w:t>
            </w:r>
          </w:p>
        </w:tc>
        <w:tc>
          <w:tcPr>
            <w:tcW w:type="dxa" w:w="1469"/>
            <w:vAlign w:val="center"/>
            <w:shd w:fill="FFFFFF"/>
          </w:tcPr>
          <w:p>
            <w:pPr>
              <w:spacing w:after="40" w:before="40"/>
              <w:jc w:val="left"/>
            </w:pPr>
            <w:r>
              <w:rPr>
                <w:rFonts w:ascii="Arial" w:hAnsi="Arial" w:eastAsia="Arial" w:cs="Arial"/>
                <w:b w:val="0"/>
                <w:color w:val="000000"/>
                <w:sz w:val="16"/>
              </w:rPr>
              <w:t>-5.0</w:t>
            </w:r>
          </w:p>
        </w:tc>
      </w:tr>
      <w:tr>
        <w:trPr>
          <w:cantSplit/>
        </w:trPr>
        <w:tc>
          <w:tcPr>
            <w:tcW w:type="dxa" w:w="2448"/>
            <w:vAlign w:val="center"/>
            <w:shd w:fill="E5E5E5"/>
          </w:tcPr>
          <w:p>
            <w:pPr>
              <w:spacing w:after="40" w:before="40"/>
              <w:jc w:val="left"/>
            </w:pPr>
            <w:r>
              <w:rPr>
                <w:rFonts w:ascii="Arial" w:hAnsi="Arial" w:eastAsia="Arial" w:cs="Arial"/>
                <w:b w:val="0"/>
                <w:color w:val="000000"/>
                <w:sz w:val="16"/>
              </w:rPr>
              <w:t>Unlevered FCF</w:t>
            </w:r>
          </w:p>
        </w:tc>
        <w:tc>
          <w:tcPr>
            <w:tcW w:type="dxa" w:w="1469"/>
            <w:vAlign w:val="center"/>
            <w:shd w:fill="E5E5E5"/>
          </w:tcPr>
          <w:p>
            <w:pPr>
              <w:spacing w:after="40" w:before="40"/>
              <w:jc w:val="left"/>
            </w:pPr>
            <w:r>
              <w:rPr>
                <w:rFonts w:ascii="Arial" w:hAnsi="Arial" w:eastAsia="Arial" w:cs="Arial"/>
                <w:b w:val="0"/>
                <w:color w:val="000000"/>
                <w:sz w:val="16"/>
              </w:rPr>
              <w:t>46.2</w:t>
            </w:r>
          </w:p>
        </w:tc>
        <w:tc>
          <w:tcPr>
            <w:tcW w:type="dxa" w:w="1469"/>
            <w:vAlign w:val="center"/>
            <w:shd w:fill="E5E5E5"/>
          </w:tcPr>
          <w:p>
            <w:pPr>
              <w:spacing w:after="40" w:before="40"/>
              <w:jc w:val="left"/>
            </w:pPr>
            <w:r>
              <w:rPr>
                <w:rFonts w:ascii="Arial" w:hAnsi="Arial" w:eastAsia="Arial" w:cs="Arial"/>
                <w:b w:val="0"/>
                <w:color w:val="000000"/>
                <w:sz w:val="16"/>
              </w:rPr>
              <w:t>79.7</w:t>
            </w:r>
          </w:p>
        </w:tc>
        <w:tc>
          <w:tcPr>
            <w:tcW w:type="dxa" w:w="1469"/>
            <w:vAlign w:val="center"/>
            <w:shd w:fill="E5E5E5"/>
          </w:tcPr>
          <w:p>
            <w:pPr>
              <w:spacing w:after="40" w:before="40"/>
              <w:jc w:val="left"/>
            </w:pPr>
            <w:r>
              <w:rPr>
                <w:rFonts w:ascii="Arial" w:hAnsi="Arial" w:eastAsia="Arial" w:cs="Arial"/>
                <w:b w:val="0"/>
                <w:color w:val="000000"/>
                <w:sz w:val="16"/>
              </w:rPr>
              <w:t>112.1</w:t>
            </w:r>
          </w:p>
        </w:tc>
        <w:tc>
          <w:tcPr>
            <w:tcW w:type="dxa" w:w="1469"/>
            <w:vAlign w:val="center"/>
            <w:shd w:fill="E5E5E5"/>
          </w:tcPr>
          <w:p>
            <w:pPr>
              <w:spacing w:after="40" w:before="40"/>
              <w:jc w:val="left"/>
            </w:pPr>
            <w:r>
              <w:rPr>
                <w:rFonts w:ascii="Arial" w:hAnsi="Arial" w:eastAsia="Arial" w:cs="Arial"/>
                <w:b w:val="0"/>
                <w:color w:val="000000"/>
                <w:sz w:val="16"/>
              </w:rPr>
              <w:t>152.2</w:t>
            </w:r>
          </w:p>
        </w:tc>
        <w:tc>
          <w:tcPr>
            <w:tcW w:type="dxa" w:w="1469"/>
            <w:vAlign w:val="center"/>
            <w:shd w:fill="E5E5E5"/>
          </w:tcPr>
          <w:p>
            <w:pPr>
              <w:spacing w:after="40" w:before="40"/>
              <w:jc w:val="left"/>
            </w:pPr>
            <w:r>
              <w:rPr>
                <w:rFonts w:ascii="Arial" w:hAnsi="Arial" w:eastAsia="Arial" w:cs="Arial"/>
                <w:b w:val="0"/>
                <w:color w:val="000000"/>
                <w:sz w:val="16"/>
              </w:rPr>
              <w:t>191.8</w:t>
            </w:r>
          </w:p>
        </w:tc>
      </w:tr>
    </w:tbl>
    <w:p>
      <w:pPr>
        <w:jc w:val="left"/>
      </w:pPr>
    </w:p>
    <w:p>
      <w:pPr>
        <w:pStyle w:val="Heading2"/>
        <w:jc w:val="left"/>
      </w:pPr>
      <w:r>
        <w:rPr>
          <w:rFonts w:ascii="Arial" w:hAnsi="Arial" w:eastAsia="Arial" w:cs="Arial"/>
          <w:color w:val="000000"/>
          <w:sz w:val="18"/>
        </w:rPr>
        <w:t>Economic capital spending</w:t>
      </w:r>
    </w:p>
    <w:p>
      <w:pPr>
        <w:jc w:val="left"/>
      </w:pPr>
      <w:r>
        <w:rPr>
          <w:rFonts w:ascii="Arial" w:hAnsi="Arial" w:eastAsia="Arial" w:cs="Arial"/>
          <w:color w:val="000000"/>
          <w:sz w:val="18"/>
        </w:rPr>
        <w:t>New finance lease assets are included in reinvestment even when acquisition is noncash. Existing finance lease liabilities are deducted in the enterprise-to-equity bridge. Capitalized financing interest is removed from reported cash capex. Operating leases remain inside operating expenses, and their liabilities are removed from operating NWC without an additional financing deduction.</w:t>
      </w:r>
    </w:p>
    <w:p>
      <w:pPr>
        <w:jc w:val="left"/>
      </w:pPr>
      <w:r>
        <w:rPr>
          <w:rFonts w:ascii="Arial" w:hAnsi="Arial" w:eastAsia="Arial" w:cs="Arial"/>
          <w:color w:val="000000"/>
          <w:sz w:val="18"/>
        </w:rPr>
        <w:t>SBC remains expensed in EBIT and is never added back to FCFF. The displayed 3.75% compensation diagnostic retains the original forecast calibration. Future buybacks are not an additional source of value; funded repurchases consume equity value.</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Discounting stable value and the equity bridge</w:t>
      </w:r>
    </w:p>
    <w:p>
      <w:pPr>
        <w:pStyle w:val="Heading2"/>
        <w:jc w:val="left"/>
      </w:pPr>
      <w:r>
        <w:rPr>
          <w:rFonts w:ascii="Arial" w:hAnsi="Arial" w:eastAsia="Arial" w:cs="Arial"/>
          <w:color w:val="000000"/>
          <w:sz w:val="18"/>
        </w:rPr>
        <w:t>Remaining cash flow and timing</w:t>
      </w:r>
    </w:p>
    <w:p>
      <w:pPr>
        <w:jc w:val="left"/>
      </w:pPr>
      <w:r>
        <w:rPr>
          <w:rFonts w:ascii="Arial" w:hAnsi="Arial" w:eastAsia="Arial" w:cs="Arial"/>
          <w:color w:val="000000"/>
          <w:sz w:val="18"/>
        </w:rPr>
        <w:t>The valuation date is 8 October 2026. There are 265 days until 30 June 2027. The model scales annual FY2027 FCFF by 265/365 and discounts the remaining cash flow at the midpoint of that interval. Later explicit cash flows use fiscal midyear timing. A visible timing switch allows fiscal year-end discounting. Stable value is always discounted from 30 June 2031.</w:t>
      </w:r>
    </w:p>
    <w:p>
      <w:pPr>
        <w:pStyle w:val="Heading2"/>
        <w:jc w:val="left"/>
      </w:pPr>
      <w:r>
        <w:rPr>
          <w:rFonts w:ascii="Arial" w:hAnsi="Arial" w:eastAsia="Arial" w:cs="Arial"/>
          <w:color w:val="000000"/>
          <w:sz w:val="18"/>
        </w:rPr>
        <w:t>Stable investment requirement</w:t>
      </w:r>
    </w:p>
    <w:p>
      <w:pPr>
        <w:jc w:val="left"/>
      </w:pPr>
      <w:r>
        <w:rPr>
          <w:rFonts w:ascii="Arial" w:hAnsi="Arial" w:eastAsia="Arial" w:cs="Arial"/>
          <w:color w:val="000000"/>
          <w:sz w:val="18"/>
        </w:rPr>
        <w:t>Normalized FY2032 NOPAT equals FY2031 revenue times one plus stable growth, stable operating margin and one minus the stable tax rate. Reinvestment equals NOPAT times growth divided by ROIC. Normalized FCFF equals NOPAT less that reinvestment. Terminal value equals normalized FCFF divided by WACC less growth.</w:t>
      </w:r>
    </w:p>
    <w:p>
      <w:pPr>
        <w:jc w:val="left"/>
      </w:pPr>
      <w:r>
        <w:rPr>
          <w:rFonts w:ascii="Arial" w:hAnsi="Arial" w:eastAsia="Arial" w:cs="Arial"/>
          <w:color w:val="000000"/>
          <w:sz w:val="18"/>
        </w:rPr>
        <w:t>The primary method requires WACC greater than stable growth and ROIC greater than growth. A simple Gordon method that grows final explicit FCFF is shown as a crosscheck. An editable exit multiple provides a separate terminal convention. Neither replaces the primary reinvestment requirement without an explicit analyst choice.</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6912"/>
        <w:gridCol w:w="2880"/>
      </w:tblGrid>
      <w:tr>
        <w:trPr>
          <w:cantSplit/>
          <w:tblHeader/>
        </w:trPr>
        <w:tc>
          <w:tcPr>
            <w:tcW w:type="dxa" w:w="6912"/>
            <w:vAlign w:val="center"/>
            <w:shd w:fill="FFFFFF"/>
            <w:tcBorders>
              <w:bottom w:val="single" w:sz="4" w:color="000000"/>
            </w:tcBorders>
          </w:tcPr>
          <w:p>
            <w:pPr>
              <w:spacing w:after="40" w:before="40"/>
              <w:jc w:val="left"/>
            </w:pPr>
            <w:r>
              <w:rPr>
                <w:rFonts w:ascii="Arial" w:hAnsi="Arial" w:eastAsia="Arial" w:cs="Arial"/>
                <w:b/>
                <w:color w:val="000000"/>
                <w:sz w:val="16"/>
              </w:rPr>
              <w:t>Valuation component</w:t>
            </w:r>
          </w:p>
        </w:tc>
        <w:tc>
          <w:tcPr>
            <w:tcW w:type="dxa" w:w="2880"/>
            <w:vAlign w:val="center"/>
            <w:shd w:fill="FFFFFF"/>
            <w:tcBorders>
              <w:bottom w:val="single" w:sz="4" w:color="000000"/>
            </w:tcBorders>
          </w:tcPr>
          <w:p>
            <w:pPr>
              <w:spacing w:after="40" w:before="40"/>
              <w:jc w:val="left"/>
            </w:pPr>
            <w:r>
              <w:rPr>
                <w:rFonts w:ascii="Arial" w:hAnsi="Arial" w:eastAsia="Arial" w:cs="Arial"/>
                <w:b/>
                <w:color w:val="000000"/>
                <w:sz w:val="16"/>
              </w:rPr>
              <w:t>USD millions</w:t>
            </w:r>
          </w:p>
        </w:tc>
      </w:tr>
      <w:tr>
        <w:trPr>
          <w:cantSplit/>
        </w:trPr>
        <w:tc>
          <w:tcPr>
            <w:tcW w:type="dxa" w:w="6912"/>
            <w:vAlign w:val="center"/>
            <w:shd w:fill="E5E5E5"/>
          </w:tcPr>
          <w:p>
            <w:pPr>
              <w:spacing w:after="40" w:before="40"/>
              <w:jc w:val="left"/>
            </w:pPr>
            <w:r>
              <w:rPr>
                <w:rFonts w:ascii="Arial" w:hAnsi="Arial" w:eastAsia="Arial" w:cs="Arial"/>
                <w:b w:val="0"/>
                <w:color w:val="000000"/>
                <w:sz w:val="16"/>
              </w:rPr>
              <w:t>Explicit FCFF present value</w:t>
            </w:r>
          </w:p>
        </w:tc>
        <w:tc>
          <w:tcPr>
            <w:tcW w:type="dxa" w:w="2880"/>
            <w:vAlign w:val="center"/>
            <w:shd w:fill="E5E5E5"/>
          </w:tcPr>
          <w:p>
            <w:pPr>
              <w:spacing w:after="40" w:before="40"/>
              <w:jc w:val="left"/>
            </w:pPr>
            <w:r>
              <w:rPr>
                <w:rFonts w:ascii="Arial" w:hAnsi="Arial" w:eastAsia="Arial" w:cs="Arial"/>
                <w:b w:val="0"/>
                <w:color w:val="000000"/>
                <w:sz w:val="16"/>
              </w:rPr>
              <w:t>436,119</w:t>
            </w:r>
          </w:p>
        </w:tc>
      </w:tr>
      <w:tr>
        <w:trPr>
          <w:cantSplit/>
        </w:trPr>
        <w:tc>
          <w:tcPr>
            <w:tcW w:type="dxa" w:w="6912"/>
            <w:vAlign w:val="center"/>
            <w:shd w:fill="FFFFFF"/>
          </w:tcPr>
          <w:p>
            <w:pPr>
              <w:spacing w:after="40" w:before="40"/>
              <w:jc w:val="left"/>
            </w:pPr>
            <w:r>
              <w:rPr>
                <w:rFonts w:ascii="Arial" w:hAnsi="Arial" w:eastAsia="Arial" w:cs="Arial"/>
                <w:b w:val="0"/>
                <w:color w:val="000000"/>
                <w:sz w:val="16"/>
              </w:rPr>
              <w:t>Stable value present value</w:t>
            </w:r>
          </w:p>
        </w:tc>
        <w:tc>
          <w:tcPr>
            <w:tcW w:type="dxa" w:w="2880"/>
            <w:vAlign w:val="center"/>
            <w:shd w:fill="FFFFFF"/>
          </w:tcPr>
          <w:p>
            <w:pPr>
              <w:spacing w:after="40" w:before="40"/>
              <w:jc w:val="left"/>
            </w:pPr>
            <w:r>
              <w:rPr>
                <w:rFonts w:ascii="Arial" w:hAnsi="Arial" w:eastAsia="Arial" w:cs="Arial"/>
                <w:b w:val="0"/>
                <w:color w:val="000000"/>
                <w:sz w:val="16"/>
              </w:rPr>
              <w:t>1,711,979</w:t>
            </w:r>
          </w:p>
        </w:tc>
      </w:tr>
      <w:tr>
        <w:trPr>
          <w:cantSplit/>
        </w:trPr>
        <w:tc>
          <w:tcPr>
            <w:tcW w:type="dxa" w:w="6912"/>
            <w:vAlign w:val="center"/>
            <w:shd w:fill="E5E5E5"/>
          </w:tcPr>
          <w:p>
            <w:pPr>
              <w:spacing w:after="40" w:before="40"/>
              <w:jc w:val="left"/>
            </w:pPr>
            <w:r>
              <w:rPr>
                <w:rFonts w:ascii="Arial" w:hAnsi="Arial" w:eastAsia="Arial" w:cs="Arial"/>
                <w:b w:val="0"/>
                <w:color w:val="000000"/>
                <w:sz w:val="16"/>
              </w:rPr>
              <w:t>Operating enterprise value</w:t>
            </w:r>
          </w:p>
        </w:tc>
        <w:tc>
          <w:tcPr>
            <w:tcW w:type="dxa" w:w="2880"/>
            <w:vAlign w:val="center"/>
            <w:shd w:fill="E5E5E5"/>
          </w:tcPr>
          <w:p>
            <w:pPr>
              <w:spacing w:after="40" w:before="40"/>
              <w:jc w:val="left"/>
            </w:pPr>
            <w:r>
              <w:rPr>
                <w:rFonts w:ascii="Arial" w:hAnsi="Arial" w:eastAsia="Arial" w:cs="Arial"/>
                <w:b w:val="0"/>
                <w:color w:val="000000"/>
                <w:sz w:val="16"/>
              </w:rPr>
              <w:t>2,148,097</w:t>
            </w:r>
          </w:p>
        </w:tc>
      </w:tr>
      <w:tr>
        <w:trPr>
          <w:cantSplit/>
        </w:trPr>
        <w:tc>
          <w:tcPr>
            <w:tcW w:type="dxa" w:w="6912"/>
            <w:vAlign w:val="center"/>
            <w:shd w:fill="FFFFFF"/>
          </w:tcPr>
          <w:p>
            <w:pPr>
              <w:spacing w:after="40" w:before="40"/>
              <w:jc w:val="left"/>
            </w:pPr>
            <w:r>
              <w:rPr>
                <w:rFonts w:ascii="Arial" w:hAnsi="Arial" w:eastAsia="Arial" w:cs="Arial"/>
                <w:b w:val="0"/>
                <w:color w:val="000000"/>
                <w:sz w:val="16"/>
              </w:rPr>
              <w:t>Excess liquid assets</w:t>
            </w:r>
          </w:p>
        </w:tc>
        <w:tc>
          <w:tcPr>
            <w:tcW w:type="dxa" w:w="2880"/>
            <w:vAlign w:val="center"/>
            <w:shd w:fill="FFFFFF"/>
          </w:tcPr>
          <w:p>
            <w:pPr>
              <w:spacing w:after="40" w:before="40"/>
              <w:jc w:val="left"/>
            </w:pPr>
            <w:r>
              <w:rPr>
                <w:rFonts w:ascii="Arial" w:hAnsi="Arial" w:eastAsia="Arial" w:cs="Arial"/>
                <w:b w:val="0"/>
                <w:color w:val="000000"/>
                <w:sz w:val="16"/>
              </w:rPr>
              <w:t>51,843</w:t>
            </w:r>
          </w:p>
        </w:tc>
      </w:tr>
      <w:tr>
        <w:trPr>
          <w:cantSplit/>
        </w:trPr>
        <w:tc>
          <w:tcPr>
            <w:tcW w:type="dxa" w:w="6912"/>
            <w:vAlign w:val="center"/>
            <w:shd w:fill="E5E5E5"/>
          </w:tcPr>
          <w:p>
            <w:pPr>
              <w:spacing w:after="40" w:before="40"/>
              <w:jc w:val="left"/>
            </w:pPr>
            <w:r>
              <w:rPr>
                <w:rFonts w:ascii="Arial" w:hAnsi="Arial" w:eastAsia="Arial" w:cs="Arial"/>
                <w:b w:val="0"/>
                <w:color w:val="000000"/>
                <w:sz w:val="16"/>
              </w:rPr>
              <w:t>Equity investment value proxy</w:t>
            </w:r>
          </w:p>
        </w:tc>
        <w:tc>
          <w:tcPr>
            <w:tcW w:type="dxa" w:w="2880"/>
            <w:vAlign w:val="center"/>
            <w:shd w:fill="E5E5E5"/>
          </w:tcPr>
          <w:p>
            <w:pPr>
              <w:spacing w:after="40" w:before="40"/>
              <w:jc w:val="left"/>
            </w:pPr>
            <w:r>
              <w:rPr>
                <w:rFonts w:ascii="Arial" w:hAnsi="Arial" w:eastAsia="Arial" w:cs="Arial"/>
                <w:b w:val="0"/>
                <w:color w:val="000000"/>
                <w:sz w:val="16"/>
              </w:rPr>
              <w:t>36,348</w:t>
            </w:r>
          </w:p>
        </w:tc>
      </w:tr>
      <w:tr>
        <w:trPr>
          <w:cantSplit/>
        </w:trPr>
        <w:tc>
          <w:tcPr>
            <w:tcW w:type="dxa" w:w="6912"/>
            <w:vAlign w:val="center"/>
            <w:shd w:fill="FFFFFF"/>
          </w:tcPr>
          <w:p>
            <w:pPr>
              <w:spacing w:after="40" w:before="40"/>
              <w:jc w:val="left"/>
            </w:pPr>
            <w:r>
              <w:rPr>
                <w:rFonts w:ascii="Arial" w:hAnsi="Arial" w:eastAsia="Arial" w:cs="Arial"/>
                <w:b w:val="0"/>
                <w:color w:val="000000"/>
                <w:sz w:val="16"/>
              </w:rPr>
              <w:t>Debt fair value deduction</w:t>
            </w:r>
          </w:p>
        </w:tc>
        <w:tc>
          <w:tcPr>
            <w:tcW w:type="dxa" w:w="2880"/>
            <w:vAlign w:val="center"/>
            <w:shd w:fill="FFFFFF"/>
          </w:tcPr>
          <w:p>
            <w:pPr>
              <w:spacing w:after="40" w:before="40"/>
              <w:jc w:val="left"/>
            </w:pPr>
            <w:r>
              <w:rPr>
                <w:rFonts w:ascii="Arial" w:hAnsi="Arial" w:eastAsia="Arial" w:cs="Arial"/>
                <w:b w:val="0"/>
                <w:color w:val="000000"/>
                <w:sz w:val="16"/>
              </w:rPr>
              <w:t>(36,500)</w:t>
            </w:r>
          </w:p>
        </w:tc>
      </w:tr>
      <w:tr>
        <w:trPr>
          <w:cantSplit/>
        </w:trPr>
        <w:tc>
          <w:tcPr>
            <w:tcW w:type="dxa" w:w="6912"/>
            <w:vAlign w:val="center"/>
            <w:shd w:fill="E5E5E5"/>
          </w:tcPr>
          <w:p>
            <w:pPr>
              <w:spacing w:after="40" w:before="40"/>
              <w:jc w:val="left"/>
            </w:pPr>
            <w:r>
              <w:rPr>
                <w:rFonts w:ascii="Arial" w:hAnsi="Arial" w:eastAsia="Arial" w:cs="Arial"/>
                <w:b w:val="0"/>
                <w:color w:val="000000"/>
                <w:sz w:val="16"/>
              </w:rPr>
              <w:t>Finance lease liability deduction</w:t>
            </w:r>
          </w:p>
        </w:tc>
        <w:tc>
          <w:tcPr>
            <w:tcW w:type="dxa" w:w="2880"/>
            <w:vAlign w:val="center"/>
            <w:shd w:fill="E5E5E5"/>
          </w:tcPr>
          <w:p>
            <w:pPr>
              <w:spacing w:after="40" w:before="40"/>
              <w:jc w:val="left"/>
            </w:pPr>
            <w:r>
              <w:rPr>
                <w:rFonts w:ascii="Arial" w:hAnsi="Arial" w:eastAsia="Arial" w:cs="Arial"/>
                <w:b w:val="0"/>
                <w:color w:val="000000"/>
                <w:sz w:val="16"/>
              </w:rPr>
              <w:t>(66,594)</w:t>
            </w:r>
          </w:p>
        </w:tc>
      </w:tr>
      <w:tr>
        <w:trPr>
          <w:cantSplit/>
        </w:trPr>
        <w:tc>
          <w:tcPr>
            <w:tcW w:type="dxa" w:w="6912"/>
            <w:vAlign w:val="center"/>
            <w:shd w:fill="FFFFFF"/>
          </w:tcPr>
          <w:p>
            <w:pPr>
              <w:spacing w:after="40" w:before="40"/>
              <w:jc w:val="left"/>
            </w:pPr>
            <w:r>
              <w:rPr>
                <w:rFonts w:ascii="Arial" w:hAnsi="Arial" w:eastAsia="Arial" w:cs="Arial"/>
                <w:b w:val="0"/>
                <w:color w:val="000000"/>
                <w:sz w:val="16"/>
              </w:rPr>
              <w:t>Equity value</w:t>
            </w:r>
          </w:p>
        </w:tc>
        <w:tc>
          <w:tcPr>
            <w:tcW w:type="dxa" w:w="2880"/>
            <w:vAlign w:val="center"/>
            <w:shd w:fill="FFFFFF"/>
          </w:tcPr>
          <w:p>
            <w:pPr>
              <w:spacing w:after="40" w:before="40"/>
              <w:jc w:val="left"/>
            </w:pPr>
            <w:r>
              <w:rPr>
                <w:rFonts w:ascii="Arial" w:hAnsi="Arial" w:eastAsia="Arial" w:cs="Arial"/>
                <w:b w:val="0"/>
                <w:color w:val="000000"/>
                <w:sz w:val="16"/>
              </w:rPr>
              <w:t>2,133,194</w:t>
            </w:r>
          </w:p>
        </w:tc>
      </w:tr>
      <w:tr>
        <w:trPr>
          <w:cantSplit/>
        </w:trPr>
        <w:tc>
          <w:tcPr>
            <w:tcW w:type="dxa" w:w="6912"/>
            <w:vAlign w:val="center"/>
            <w:shd w:fill="E5E5E5"/>
          </w:tcPr>
          <w:p>
            <w:pPr>
              <w:spacing w:after="40" w:before="40"/>
              <w:jc w:val="left"/>
            </w:pPr>
            <w:r>
              <w:rPr>
                <w:rFonts w:ascii="Arial" w:hAnsi="Arial" w:eastAsia="Arial" w:cs="Arial"/>
                <w:b w:val="0"/>
                <w:color w:val="000000"/>
                <w:sz w:val="16"/>
              </w:rPr>
              <w:t>Million shares</w:t>
            </w:r>
          </w:p>
        </w:tc>
        <w:tc>
          <w:tcPr>
            <w:tcW w:type="dxa" w:w="2880"/>
            <w:vAlign w:val="center"/>
            <w:shd w:fill="E5E5E5"/>
          </w:tcPr>
          <w:p>
            <w:pPr>
              <w:spacing w:after="40" w:before="40"/>
              <w:jc w:val="left"/>
            </w:pPr>
            <w:r>
              <w:rPr>
                <w:rFonts w:ascii="Arial" w:hAnsi="Arial" w:eastAsia="Arial" w:cs="Arial"/>
                <w:b w:val="0"/>
                <w:color w:val="000000"/>
                <w:sz w:val="16"/>
              </w:rPr>
              <w:t>7,449.545</w:t>
            </w:r>
          </w:p>
        </w:tc>
      </w:tr>
      <w:tr>
        <w:trPr>
          <w:cantSplit/>
        </w:trPr>
        <w:tc>
          <w:tcPr>
            <w:tcW w:type="dxa" w:w="6912"/>
            <w:vAlign w:val="center"/>
            <w:shd w:fill="FFFFFF"/>
          </w:tcPr>
          <w:p>
            <w:pPr>
              <w:spacing w:after="40" w:before="40"/>
              <w:jc w:val="left"/>
            </w:pPr>
            <w:r>
              <w:rPr>
                <w:rFonts w:ascii="Arial" w:hAnsi="Arial" w:eastAsia="Arial" w:cs="Arial"/>
                <w:b w:val="0"/>
                <w:color w:val="000000"/>
                <w:sz w:val="16"/>
              </w:rPr>
              <w:t>USD per share</w:t>
            </w:r>
          </w:p>
        </w:tc>
        <w:tc>
          <w:tcPr>
            <w:tcW w:type="dxa" w:w="2880"/>
            <w:vAlign w:val="center"/>
            <w:shd w:fill="FFFFFF"/>
          </w:tcPr>
          <w:p>
            <w:pPr>
              <w:spacing w:after="40" w:before="40"/>
              <w:jc w:val="left"/>
            </w:pPr>
            <w:r>
              <w:rPr>
                <w:rFonts w:ascii="Arial" w:hAnsi="Arial" w:eastAsia="Arial" w:cs="Arial"/>
                <w:b w:val="0"/>
                <w:color w:val="000000"/>
                <w:sz w:val="16"/>
              </w:rPr>
              <w:t>286.35</w:t>
            </w:r>
          </w:p>
        </w:tc>
      </w:tr>
    </w:tbl>
    <w:p>
      <w:pPr>
        <w:jc w:val="left"/>
      </w:pPr>
    </w:p>
    <w:p>
      <w:pPr>
        <w:pStyle w:val="Heading2"/>
        <w:jc w:val="left"/>
      </w:pPr>
      <w:r>
        <w:rPr>
          <w:rFonts w:ascii="Arial" w:hAnsi="Arial" w:eastAsia="Arial" w:cs="Arial"/>
          <w:color w:val="000000"/>
          <w:sz w:val="18"/>
        </w:rPr>
        <w:t>Balance date and ownership conventions</w:t>
      </w:r>
    </w:p>
    <w:p>
      <w:pPr>
        <w:jc w:val="left"/>
      </w:pPr>
      <w:r>
        <w:rPr>
          <w:rFonts w:ascii="Arial" w:hAnsi="Arial" w:eastAsia="Arial" w:cs="Arial"/>
          <w:color w:val="000000"/>
          <w:sz w:val="18"/>
        </w:rPr>
        <w:t>Cash, investments, debt and leases are June disclosure proxies. Debt uses disclosed fair value, equity investments use carrying value times an editable factor, and excess liquid assets are measured after a USD 25 billion operating reserve. The share denominator combines 7,425.545491 million July point shares with a 24 million incremental weighted-share proxy. This is an explicit estimate of existing award overhang rather than an exact treasury-stock option calculation.</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Market implied operating expectations</w:t>
      </w:r>
    </w:p>
    <w:p>
      <w:pPr>
        <w:jc w:val="left"/>
      </w:pPr>
      <w:r>
        <w:rPr>
          <w:rFonts w:ascii="Arial" w:hAnsi="Arial" w:eastAsia="Arial" w:cs="Arial"/>
          <w:color w:val="000000"/>
          <w:sz w:val="18"/>
        </w:rPr>
        <w:t>Each reverse sheet solves the same market enterprise value with the same bridge. It changes one criterion and holds the other assumptions fixed. The solutions are separate diagnostic questions; combining them would create a different model.</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168"/>
        <w:gridCol w:w="1872"/>
        <w:gridCol w:w="4752"/>
      </w:tblGrid>
      <w:tr>
        <w:trPr>
          <w:cantSplit/>
          <w:tblHeader/>
        </w:trPr>
        <w:tc>
          <w:tcPr>
            <w:tcW w:type="dxa" w:w="3168"/>
            <w:vAlign w:val="center"/>
            <w:shd w:fill="FFFFFF"/>
            <w:tcBorders>
              <w:bottom w:val="single" w:sz="4" w:color="000000"/>
            </w:tcBorders>
          </w:tcPr>
          <w:p>
            <w:pPr>
              <w:spacing w:after="40" w:before="40"/>
              <w:jc w:val="left"/>
            </w:pPr>
            <w:r>
              <w:rPr>
                <w:rFonts w:ascii="Arial" w:hAnsi="Arial" w:eastAsia="Arial" w:cs="Arial"/>
                <w:b/>
                <w:color w:val="000000"/>
                <w:sz w:val="16"/>
              </w:rPr>
              <w:t>Criterion</w:t>
            </w:r>
          </w:p>
        </w:tc>
        <w:tc>
          <w:tcPr>
            <w:tcW w:type="dxa" w:w="1872"/>
            <w:vAlign w:val="center"/>
            <w:shd w:fill="FFFFFF"/>
            <w:tcBorders>
              <w:bottom w:val="single" w:sz="4" w:color="000000"/>
            </w:tcBorders>
          </w:tcPr>
          <w:p>
            <w:pPr>
              <w:spacing w:after="40" w:before="40"/>
              <w:jc w:val="left"/>
            </w:pPr>
            <w:r>
              <w:rPr>
                <w:rFonts w:ascii="Arial" w:hAnsi="Arial" w:eastAsia="Arial" w:cs="Arial"/>
                <w:b/>
                <w:color w:val="000000"/>
                <w:sz w:val="16"/>
              </w:rPr>
              <w:t>Base required result</w:t>
            </w:r>
          </w:p>
        </w:tc>
        <w:tc>
          <w:tcPr>
            <w:tcW w:type="dxa" w:w="4752"/>
            <w:vAlign w:val="center"/>
            <w:shd w:fill="FFFFFF"/>
            <w:tcBorders>
              <w:bottom w:val="single" w:sz="4" w:color="000000"/>
            </w:tcBorders>
          </w:tcPr>
          <w:p>
            <w:pPr>
              <w:spacing w:after="40" w:before="40"/>
              <w:jc w:val="left"/>
            </w:pPr>
            <w:r>
              <w:rPr>
                <w:rFonts w:ascii="Arial" w:hAnsi="Arial" w:eastAsia="Arial" w:cs="Arial"/>
                <w:b/>
                <w:color w:val="000000"/>
                <w:sz w:val="16"/>
              </w:rPr>
              <w:t>Economic interpretation</w:t>
            </w:r>
          </w:p>
        </w:tc>
      </w:tr>
      <w:tr>
        <w:trPr>
          <w:cantSplit/>
        </w:trPr>
        <w:tc>
          <w:tcPr>
            <w:tcW w:type="dxa" w:w="3168"/>
            <w:vAlign w:val="center"/>
            <w:shd w:fill="E5E5E5"/>
          </w:tcPr>
          <w:p>
            <w:pPr>
              <w:spacing w:after="40" w:before="40"/>
              <w:jc w:val="left"/>
            </w:pPr>
            <w:r>
              <w:rPr>
                <w:rFonts w:ascii="Arial" w:hAnsi="Arial" w:eastAsia="Arial" w:cs="Arial"/>
                <w:b w:val="0"/>
                <w:color w:val="000000"/>
                <w:sz w:val="16"/>
              </w:rPr>
              <w:t>Uniform five year revenue CAGR</w:t>
            </w:r>
          </w:p>
        </w:tc>
        <w:tc>
          <w:tcPr>
            <w:tcW w:type="dxa" w:w="1872"/>
            <w:vAlign w:val="center"/>
            <w:shd w:fill="E5E5E5"/>
          </w:tcPr>
          <w:p>
            <w:pPr>
              <w:spacing w:after="40" w:before="40"/>
              <w:jc w:val="left"/>
            </w:pPr>
            <w:r>
              <w:rPr>
                <w:rFonts w:ascii="Arial" w:hAnsi="Arial" w:eastAsia="Arial" w:cs="Arial"/>
                <w:b w:val="0"/>
                <w:color w:val="000000"/>
                <w:sz w:val="16"/>
              </w:rPr>
              <w:t>29.78%</w:t>
            </w:r>
          </w:p>
        </w:tc>
        <w:tc>
          <w:tcPr>
            <w:tcW w:type="dxa" w:w="4752"/>
            <w:vAlign w:val="center"/>
            <w:shd w:fill="E5E5E5"/>
          </w:tcPr>
          <w:p>
            <w:pPr>
              <w:spacing w:after="40" w:before="40"/>
              <w:jc w:val="left"/>
            </w:pPr>
            <w:r>
              <w:rPr>
                <w:rFonts w:ascii="Arial" w:hAnsi="Arial" w:eastAsia="Arial" w:cs="Arial"/>
                <w:b w:val="0"/>
                <w:color w:val="000000"/>
                <w:sz w:val="16"/>
              </w:rPr>
              <w:t>Within displayed 0% to 35% analyst band</w:t>
            </w:r>
          </w:p>
        </w:tc>
      </w:tr>
      <w:tr>
        <w:trPr>
          <w:cantSplit/>
        </w:trPr>
        <w:tc>
          <w:tcPr>
            <w:tcW w:type="dxa" w:w="3168"/>
            <w:vAlign w:val="center"/>
            <w:shd w:fill="FFFFFF"/>
          </w:tcPr>
          <w:p>
            <w:pPr>
              <w:spacing w:after="40" w:before="40"/>
              <w:jc w:val="left"/>
            </w:pPr>
            <w:r>
              <w:rPr>
                <w:rFonts w:ascii="Arial" w:hAnsi="Arial" w:eastAsia="Arial" w:cs="Arial"/>
                <w:b w:val="0"/>
                <w:color w:val="000000"/>
                <w:sz w:val="16"/>
              </w:rPr>
              <w:t>Parallel operating margin shift</w:t>
            </w:r>
          </w:p>
        </w:tc>
        <w:tc>
          <w:tcPr>
            <w:tcW w:type="dxa" w:w="1872"/>
            <w:vAlign w:val="center"/>
            <w:shd w:fill="FFFFFF"/>
          </w:tcPr>
          <w:p>
            <w:pPr>
              <w:spacing w:after="40" w:before="40"/>
              <w:jc w:val="left"/>
            </w:pPr>
            <w:r>
              <w:rPr>
                <w:rFonts w:ascii="Arial" w:hAnsi="Arial" w:eastAsia="Arial" w:cs="Arial"/>
                <w:b w:val="0"/>
                <w:color w:val="000000"/>
                <w:sz w:val="16"/>
              </w:rPr>
              <w:t>+30.17%</w:t>
            </w:r>
          </w:p>
        </w:tc>
        <w:tc>
          <w:tcPr>
            <w:tcW w:type="dxa" w:w="4752"/>
            <w:vAlign w:val="center"/>
            <w:shd w:fill="FFFFFF"/>
          </w:tcPr>
          <w:p>
            <w:pPr>
              <w:spacing w:after="40" w:before="40"/>
              <w:jc w:val="left"/>
            </w:pPr>
            <w:r>
              <w:rPr>
                <w:rFonts w:ascii="Arial" w:hAnsi="Arial" w:eastAsia="Arial" w:cs="Arial"/>
                <w:b w:val="0"/>
                <w:color w:val="000000"/>
                <w:sz w:val="16"/>
              </w:rPr>
              <w:t>Explicit and stable margins all rise by this amount</w:t>
            </w:r>
          </w:p>
        </w:tc>
      </w:tr>
      <w:tr>
        <w:trPr>
          <w:cantSplit/>
        </w:trPr>
        <w:tc>
          <w:tcPr>
            <w:tcW w:type="dxa" w:w="3168"/>
            <w:vAlign w:val="center"/>
            <w:shd w:fill="E5E5E5"/>
          </w:tcPr>
          <w:p>
            <w:pPr>
              <w:spacing w:after="40" w:before="40"/>
              <w:jc w:val="left"/>
            </w:pPr>
            <w:r>
              <w:rPr>
                <w:rFonts w:ascii="Arial" w:hAnsi="Arial" w:eastAsia="Arial" w:cs="Arial"/>
                <w:b w:val="0"/>
                <w:color w:val="000000"/>
                <w:sz w:val="16"/>
              </w:rPr>
              <w:t>Stable margin alone</w:t>
            </w:r>
          </w:p>
        </w:tc>
        <w:tc>
          <w:tcPr>
            <w:tcW w:type="dxa" w:w="1872"/>
            <w:vAlign w:val="center"/>
            <w:shd w:fill="E5E5E5"/>
          </w:tcPr>
          <w:p>
            <w:pPr>
              <w:spacing w:after="40" w:before="40"/>
              <w:jc w:val="left"/>
            </w:pPr>
            <w:r>
              <w:rPr>
                <w:rFonts w:ascii="Arial" w:hAnsi="Arial" w:eastAsia="Arial" w:cs="Arial"/>
                <w:b w:val="0"/>
                <w:color w:val="000000"/>
                <w:sz w:val="16"/>
              </w:rPr>
              <w:t>81.12%</w:t>
            </w:r>
          </w:p>
        </w:tc>
        <w:tc>
          <w:tcPr>
            <w:tcW w:type="dxa" w:w="4752"/>
            <w:vAlign w:val="center"/>
            <w:shd w:fill="E5E5E5"/>
          </w:tcPr>
          <w:p>
            <w:pPr>
              <w:spacing w:after="40" w:before="40"/>
              <w:jc w:val="left"/>
            </w:pPr>
            <w:r>
              <w:rPr>
                <w:rFonts w:ascii="Arial" w:hAnsi="Arial" w:eastAsia="Arial" w:cs="Arial"/>
                <w:b w:val="0"/>
                <w:color w:val="000000"/>
                <w:sz w:val="16"/>
              </w:rPr>
              <w:t>Requires unusually high enduring operating margin</w:t>
            </w:r>
          </w:p>
        </w:tc>
      </w:tr>
      <w:tr>
        <w:trPr>
          <w:cantSplit/>
        </w:trPr>
        <w:tc>
          <w:tcPr>
            <w:tcW w:type="dxa" w:w="3168"/>
            <w:vAlign w:val="center"/>
            <w:shd w:fill="FFFFFF"/>
          </w:tcPr>
          <w:p>
            <w:pPr>
              <w:spacing w:after="40" w:before="40"/>
              <w:jc w:val="left"/>
            </w:pPr>
            <w:r>
              <w:rPr>
                <w:rFonts w:ascii="Arial" w:hAnsi="Arial" w:eastAsia="Arial" w:cs="Arial"/>
                <w:b w:val="0"/>
                <w:color w:val="000000"/>
                <w:sz w:val="16"/>
              </w:rPr>
              <w:t>Explicit margin shift alone</w:t>
            </w:r>
          </w:p>
        </w:tc>
        <w:tc>
          <w:tcPr>
            <w:tcW w:type="dxa" w:w="1872"/>
            <w:vAlign w:val="center"/>
            <w:shd w:fill="FFFFFF"/>
          </w:tcPr>
          <w:p>
            <w:pPr>
              <w:spacing w:after="40" w:before="40"/>
              <w:jc w:val="left"/>
            </w:pPr>
            <w:r>
              <w:rPr>
                <w:rFonts w:ascii="Arial" w:hAnsi="Arial" w:eastAsia="Arial" w:cs="Arial"/>
                <w:b w:val="0"/>
                <w:color w:val="000000"/>
                <w:sz w:val="16"/>
              </w:rPr>
              <w:t>+113.24%</w:t>
            </w:r>
          </w:p>
        </w:tc>
        <w:tc>
          <w:tcPr>
            <w:tcW w:type="dxa" w:w="4752"/>
            <w:vAlign w:val="center"/>
            <w:shd w:fill="FFFFFF"/>
          </w:tcPr>
          <w:p>
            <w:pPr>
              <w:spacing w:after="40" w:before="40"/>
              <w:jc w:val="left"/>
            </w:pPr>
            <w:r>
              <w:rPr>
                <w:rFonts w:ascii="Arial" w:hAnsi="Arial" w:eastAsia="Arial" w:cs="Arial"/>
                <w:b w:val="0"/>
                <w:color w:val="000000"/>
                <w:sz w:val="16"/>
              </w:rPr>
              <w:t>Implies operating margins above 100%</w:t>
            </w:r>
          </w:p>
        </w:tc>
      </w:tr>
      <w:tr>
        <w:trPr>
          <w:cantSplit/>
        </w:trPr>
        <w:tc>
          <w:tcPr>
            <w:tcW w:type="dxa" w:w="3168"/>
            <w:vAlign w:val="center"/>
            <w:shd w:fill="E5E5E5"/>
          </w:tcPr>
          <w:p>
            <w:pPr>
              <w:spacing w:after="40" w:before="40"/>
              <w:jc w:val="left"/>
            </w:pPr>
            <w:r>
              <w:rPr>
                <w:rFonts w:ascii="Arial" w:hAnsi="Arial" w:eastAsia="Arial" w:cs="Arial"/>
                <w:b w:val="0"/>
                <w:color w:val="000000"/>
                <w:sz w:val="16"/>
              </w:rPr>
              <w:t>Cash capex multiplier</w:t>
            </w:r>
          </w:p>
        </w:tc>
        <w:tc>
          <w:tcPr>
            <w:tcW w:type="dxa" w:w="1872"/>
            <w:vAlign w:val="center"/>
            <w:shd w:fill="E5E5E5"/>
          </w:tcPr>
          <w:p>
            <w:pPr>
              <w:spacing w:after="40" w:before="40"/>
              <w:jc w:val="left"/>
            </w:pPr>
            <w:r>
              <w:rPr>
                <w:rFonts w:ascii="Arial" w:hAnsi="Arial" w:eastAsia="Arial" w:cs="Arial"/>
                <w:b w:val="0"/>
                <w:color w:val="000000"/>
                <w:sz w:val="16"/>
              </w:rPr>
              <w:t>-2.65x</w:t>
            </w:r>
          </w:p>
        </w:tc>
        <w:tc>
          <w:tcPr>
            <w:tcW w:type="dxa" w:w="4752"/>
            <w:vAlign w:val="center"/>
            <w:shd w:fill="E5E5E5"/>
          </w:tcPr>
          <w:p>
            <w:pPr>
              <w:spacing w:after="40" w:before="40"/>
              <w:jc w:val="left"/>
            </w:pPr>
            <w:r>
              <w:rPr>
                <w:rFonts w:ascii="Arial" w:hAnsi="Arial" w:eastAsia="Arial" w:cs="Arial"/>
                <w:b w:val="0"/>
                <w:color w:val="000000"/>
                <w:sz w:val="16"/>
              </w:rPr>
              <w:t>Negative spending is rejected</w:t>
            </w:r>
          </w:p>
        </w:tc>
      </w:tr>
      <w:tr>
        <w:trPr>
          <w:cantSplit/>
        </w:trPr>
        <w:tc>
          <w:tcPr>
            <w:tcW w:type="dxa" w:w="3168"/>
            <w:vAlign w:val="center"/>
            <w:shd w:fill="FFFFFF"/>
          </w:tcPr>
          <w:p>
            <w:pPr>
              <w:spacing w:after="40" w:before="40"/>
              <w:jc w:val="left"/>
            </w:pPr>
            <w:r>
              <w:rPr>
                <w:rFonts w:ascii="Arial" w:hAnsi="Arial" w:eastAsia="Arial" w:cs="Arial"/>
                <w:b w:val="0"/>
                <w:color w:val="000000"/>
                <w:sz w:val="16"/>
              </w:rPr>
              <w:t>Operating NWC ratio shift</w:t>
            </w:r>
          </w:p>
        </w:tc>
        <w:tc>
          <w:tcPr>
            <w:tcW w:type="dxa" w:w="1872"/>
            <w:vAlign w:val="center"/>
            <w:shd w:fill="FFFFFF"/>
          </w:tcPr>
          <w:p>
            <w:pPr>
              <w:spacing w:after="40" w:before="40"/>
              <w:jc w:val="left"/>
            </w:pPr>
            <w:r>
              <w:rPr>
                <w:rFonts w:ascii="Arial" w:hAnsi="Arial" w:eastAsia="Arial" w:cs="Arial"/>
                <w:b w:val="0"/>
                <w:color w:val="000000"/>
                <w:sz w:val="16"/>
              </w:rPr>
              <w:t>-371.51%</w:t>
            </w:r>
          </w:p>
        </w:tc>
        <w:tc>
          <w:tcPr>
            <w:tcW w:type="dxa" w:w="4752"/>
            <w:vAlign w:val="center"/>
            <w:shd w:fill="FFFFFF"/>
          </w:tcPr>
          <w:p>
            <w:pPr>
              <w:spacing w:after="40" w:before="40"/>
              <w:jc w:val="left"/>
            </w:pPr>
            <w:r>
              <w:rPr>
                <w:rFonts w:ascii="Arial" w:hAnsi="Arial" w:eastAsia="Arial" w:cs="Arial"/>
                <w:b w:val="0"/>
                <w:color w:val="000000"/>
                <w:sz w:val="16"/>
              </w:rPr>
              <w:t>Outside +/-10 pp displayed analyst band</w:t>
            </w:r>
          </w:p>
        </w:tc>
      </w:tr>
      <w:tr>
        <w:trPr>
          <w:cantSplit/>
        </w:trPr>
        <w:tc>
          <w:tcPr>
            <w:tcW w:type="dxa" w:w="3168"/>
            <w:vAlign w:val="center"/>
            <w:shd w:fill="E5E5E5"/>
          </w:tcPr>
          <w:p>
            <w:pPr>
              <w:spacing w:after="40" w:before="40"/>
              <w:jc w:val="left"/>
            </w:pPr>
            <w:r>
              <w:rPr>
                <w:rFonts w:ascii="Arial" w:hAnsi="Arial" w:eastAsia="Arial" w:cs="Arial"/>
                <w:b w:val="0"/>
                <w:color w:val="000000"/>
                <w:sz w:val="16"/>
              </w:rPr>
              <w:t>Receivables only equivalent</w:t>
            </w:r>
          </w:p>
        </w:tc>
        <w:tc>
          <w:tcPr>
            <w:tcW w:type="dxa" w:w="1872"/>
            <w:vAlign w:val="center"/>
            <w:shd w:fill="E5E5E5"/>
          </w:tcPr>
          <w:p>
            <w:pPr>
              <w:spacing w:after="40" w:before="40"/>
              <w:jc w:val="left"/>
            </w:pPr>
            <w:r>
              <w:rPr>
                <w:rFonts w:ascii="Arial" w:hAnsi="Arial" w:eastAsia="Arial" w:cs="Arial"/>
                <w:b w:val="0"/>
                <w:color w:val="000000"/>
                <w:sz w:val="16"/>
              </w:rPr>
              <w:t>-1356 days</w:t>
            </w:r>
          </w:p>
        </w:tc>
        <w:tc>
          <w:tcPr>
            <w:tcW w:type="dxa" w:w="4752"/>
            <w:vAlign w:val="center"/>
            <w:shd w:fill="E5E5E5"/>
          </w:tcPr>
          <w:p>
            <w:pPr>
              <w:spacing w:after="40" w:before="40"/>
              <w:jc w:val="left"/>
            </w:pPr>
            <w:r>
              <w:rPr>
                <w:rFonts w:ascii="Arial" w:hAnsi="Arial" w:eastAsia="Arial" w:cs="Arial"/>
                <w:b w:val="0"/>
                <w:color w:val="000000"/>
                <w:sz w:val="16"/>
              </w:rPr>
              <w:t>Algebraic DSO equivalent outside feasible collection days</w:t>
            </w:r>
          </w:p>
        </w:tc>
      </w:tr>
      <w:tr>
        <w:trPr>
          <w:cantSplit/>
        </w:trPr>
        <w:tc>
          <w:tcPr>
            <w:tcW w:type="dxa" w:w="3168"/>
            <w:vAlign w:val="center"/>
            <w:shd w:fill="FFFFFF"/>
          </w:tcPr>
          <w:p>
            <w:pPr>
              <w:spacing w:after="40" w:before="40"/>
              <w:jc w:val="left"/>
            </w:pPr>
            <w:r>
              <w:rPr>
                <w:rFonts w:ascii="Arial" w:hAnsi="Arial" w:eastAsia="Arial" w:cs="Arial"/>
                <w:b w:val="0"/>
                <w:color w:val="000000"/>
                <w:sz w:val="16"/>
              </w:rPr>
              <w:t>Finance lease asset multiplier</w:t>
            </w:r>
          </w:p>
        </w:tc>
        <w:tc>
          <w:tcPr>
            <w:tcW w:type="dxa" w:w="1872"/>
            <w:vAlign w:val="center"/>
            <w:shd w:fill="FFFFFF"/>
          </w:tcPr>
          <w:p>
            <w:pPr>
              <w:spacing w:after="40" w:before="40"/>
              <w:jc w:val="left"/>
            </w:pPr>
            <w:r>
              <w:rPr>
                <w:rFonts w:ascii="Arial" w:hAnsi="Arial" w:eastAsia="Arial" w:cs="Arial"/>
                <w:b w:val="0"/>
                <w:color w:val="000000"/>
                <w:sz w:val="16"/>
              </w:rPr>
              <w:t>-13.14x</w:t>
            </w:r>
          </w:p>
        </w:tc>
        <w:tc>
          <w:tcPr>
            <w:tcW w:type="dxa" w:w="4752"/>
            <w:vAlign w:val="center"/>
            <w:shd w:fill="FFFFFF"/>
          </w:tcPr>
          <w:p>
            <w:pPr>
              <w:spacing w:after="40" w:before="40"/>
              <w:jc w:val="left"/>
            </w:pPr>
            <w:r>
              <w:rPr>
                <w:rFonts w:ascii="Arial" w:hAnsi="Arial" w:eastAsia="Arial" w:cs="Arial"/>
                <w:b w:val="0"/>
                <w:color w:val="000000"/>
                <w:sz w:val="16"/>
              </w:rPr>
              <w:t>Negative asset acquisition is rejected</w:t>
            </w:r>
          </w:p>
        </w:tc>
      </w:tr>
      <w:tr>
        <w:trPr>
          <w:cantSplit/>
        </w:trPr>
        <w:tc>
          <w:tcPr>
            <w:tcW w:type="dxa" w:w="3168"/>
            <w:vAlign w:val="center"/>
            <w:shd w:fill="E5E5E5"/>
          </w:tcPr>
          <w:p>
            <w:pPr>
              <w:spacing w:after="40" w:before="40"/>
              <w:jc w:val="left"/>
            </w:pPr>
            <w:r>
              <w:rPr>
                <w:rFonts w:ascii="Arial" w:hAnsi="Arial" w:eastAsia="Arial" w:cs="Arial"/>
                <w:b w:val="0"/>
                <w:color w:val="000000"/>
                <w:sz w:val="16"/>
              </w:rPr>
              <w:t>Operating tax rate shift</w:t>
            </w:r>
          </w:p>
        </w:tc>
        <w:tc>
          <w:tcPr>
            <w:tcW w:type="dxa" w:w="1872"/>
            <w:vAlign w:val="center"/>
            <w:shd w:fill="E5E5E5"/>
          </w:tcPr>
          <w:p>
            <w:pPr>
              <w:spacing w:after="40" w:before="40"/>
              <w:jc w:val="left"/>
            </w:pPr>
            <w:r>
              <w:rPr>
                <w:rFonts w:ascii="Arial" w:hAnsi="Arial" w:eastAsia="Arial" w:cs="Arial"/>
                <w:b w:val="0"/>
                <w:color w:val="000000"/>
                <w:sz w:val="16"/>
              </w:rPr>
              <w:t>-60.14%</w:t>
            </w:r>
          </w:p>
        </w:tc>
        <w:tc>
          <w:tcPr>
            <w:tcW w:type="dxa" w:w="4752"/>
            <w:vAlign w:val="center"/>
            <w:shd w:fill="E5E5E5"/>
          </w:tcPr>
          <w:p>
            <w:pPr>
              <w:spacing w:after="40" w:before="40"/>
              <w:jc w:val="left"/>
            </w:pPr>
            <w:r>
              <w:rPr>
                <w:rFonts w:ascii="Arial" w:hAnsi="Arial" w:eastAsia="Arial" w:cs="Arial"/>
                <w:b w:val="0"/>
                <w:color w:val="000000"/>
                <w:sz w:val="16"/>
              </w:rPr>
              <w:t>Implies negative stable and explicit tax rates</w:t>
            </w:r>
          </w:p>
        </w:tc>
      </w:tr>
    </w:tbl>
    <w:p>
      <w:pPr>
        <w:jc w:val="left"/>
      </w:pPr>
    </w:p>
    <w:p>
      <w:pPr>
        <w:pStyle w:val="Heading2"/>
        <w:jc w:val="left"/>
      </w:pPr>
      <w:r>
        <w:rPr>
          <w:rFonts w:ascii="Arial" w:hAnsi="Arial" w:eastAsia="Arial" w:cs="Arial"/>
          <w:color w:val="000000"/>
          <w:sz w:val="18"/>
        </w:rPr>
        <w:t>Growth and profitability tradeoffs</w:t>
      </w:r>
    </w:p>
    <w:p>
      <w:pPr>
        <w:jc w:val="left"/>
      </w:pPr>
      <w:r>
        <w:rPr>
          <w:rFonts w:ascii="Arial" w:hAnsi="Arial" w:eastAsia="Arial" w:cs="Arial"/>
          <w:color w:val="000000"/>
          <w:sz w:val="18"/>
        </w:rPr>
        <w:t>The revenue test replaces the three segment paths with one constant CAGR from FY2026. Selected margin, tax, investment and NWC ratios remain fixed. A high revenue result therefore also scales investment and working capital needs. It does not assume that higher revenue arrives without cash investment.</w:t>
      </w:r>
    </w:p>
    <w:p>
      <w:pPr>
        <w:jc w:val="left"/>
      </w:pPr>
      <w:r>
        <w:rPr>
          <w:rFonts w:ascii="Arial" w:hAnsi="Arial" w:eastAsia="Arial" w:cs="Arial"/>
          <w:color w:val="000000"/>
          <w:sz w:val="18"/>
        </w:rPr>
        <w:t>The parallel margin test adds the same percentage-point amount to each explicit margin and the stable margin. Separate tests isolate explicit profitability and stable profitability. Required margins must be checked against operating bounds and the costs of achieving those improvements.</w:t>
      </w:r>
    </w:p>
    <w:p>
      <w:pPr>
        <w:pStyle w:val="Heading2"/>
        <w:jc w:val="left"/>
      </w:pPr>
      <w:r>
        <w:rPr>
          <w:rFonts w:ascii="Arial" w:hAnsi="Arial" w:eastAsia="Arial" w:cs="Arial"/>
          <w:color w:val="000000"/>
          <w:sz w:val="18"/>
        </w:rPr>
        <w:t>Capital intensity and tax tests</w:t>
      </w:r>
    </w:p>
    <w:p>
      <w:pPr>
        <w:jc w:val="left"/>
      </w:pPr>
      <w:r>
        <w:rPr>
          <w:rFonts w:ascii="Arial" w:hAnsi="Arial" w:eastAsia="Arial" w:cs="Arial"/>
          <w:color w:val="000000"/>
          <w:sz w:val="18"/>
        </w:rPr>
        <w:t>Capex, finance lease additions and NWC are linear cash-flow sensitivities with D&amp;A and stable ROIC held fixed. They are not new asset capacity plans. The tax test shifts operating taxes while holding the WACC debt shield fixed. Negative solutions identify which isolated interpretation cannot explain the price.</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Market implied valuation and stable economics</w:t>
      </w:r>
    </w:p>
    <w:tbl>
      <w:tblPr>
        <w:tblW w:type="auto" w:w="0"/>
        <w:jc w:val="center"/>
        <w:tblLayout w:type="fixed"/>
        <w:tblLook w:firstColumn="1" w:firstRow="1" w:lastColumn="0" w:lastRow="0" w:noHBand="0" w:noVBand="1" w:val="04A0"/>
        <w:tblBorders>
          <w:top w:val="single" w:sz="4" w:color="000000"/>
          <w:bottom w:val="single" w:sz="4" w:color="000000"/>
          <w:insideH w:val="nil" w:sz="4" w:color="000000"/>
          <w:left w:val="nil"/>
          <w:right w:val="nil"/>
          <w:insideV w:val="nil"/>
        </w:tblBorders>
      </w:tblPr>
      <w:tblGrid>
        <w:gridCol w:w="3672"/>
        <w:gridCol w:w="2088"/>
        <w:gridCol w:w="4032"/>
      </w:tblGrid>
      <w:tr>
        <w:trPr>
          <w:cantSplit/>
          <w:tblHeader/>
        </w:trPr>
        <w:tc>
          <w:tcPr>
            <w:tcW w:type="dxa" w:w="3672"/>
            <w:vAlign w:val="center"/>
            <w:shd w:fill="FFFFFF"/>
            <w:tcBorders>
              <w:bottom w:val="single" w:sz="4" w:color="000000"/>
            </w:tcBorders>
          </w:tcPr>
          <w:p>
            <w:pPr>
              <w:spacing w:after="40" w:before="40"/>
              <w:jc w:val="left"/>
            </w:pPr>
            <w:r>
              <w:rPr>
                <w:rFonts w:ascii="Arial" w:hAnsi="Arial" w:eastAsia="Arial" w:cs="Arial"/>
                <w:b/>
                <w:color w:val="000000"/>
                <w:sz w:val="16"/>
              </w:rPr>
              <w:t>Criterion</w:t>
            </w:r>
          </w:p>
        </w:tc>
        <w:tc>
          <w:tcPr>
            <w:tcW w:type="dxa" w:w="2088"/>
            <w:vAlign w:val="center"/>
            <w:shd w:fill="FFFFFF"/>
            <w:tcBorders>
              <w:bottom w:val="single" w:sz="4" w:color="000000"/>
            </w:tcBorders>
          </w:tcPr>
          <w:p>
            <w:pPr>
              <w:spacing w:after="40" w:before="40"/>
              <w:jc w:val="left"/>
            </w:pPr>
            <w:r>
              <w:rPr>
                <w:rFonts w:ascii="Arial" w:hAnsi="Arial" w:eastAsia="Arial" w:cs="Arial"/>
                <w:b/>
                <w:color w:val="000000"/>
                <w:sz w:val="16"/>
              </w:rPr>
              <w:t>Required result</w:t>
            </w:r>
          </w:p>
        </w:tc>
        <w:tc>
          <w:tcPr>
            <w:tcW w:type="dxa" w:w="4032"/>
            <w:vAlign w:val="center"/>
            <w:shd w:fill="FFFFFF"/>
            <w:tcBorders>
              <w:bottom w:val="single" w:sz="4" w:color="000000"/>
            </w:tcBorders>
          </w:tcPr>
          <w:p>
            <w:pPr>
              <w:spacing w:after="40" w:before="40"/>
              <w:jc w:val="left"/>
            </w:pPr>
            <w:r>
              <w:rPr>
                <w:rFonts w:ascii="Arial" w:hAnsi="Arial" w:eastAsia="Arial" w:cs="Arial"/>
                <w:b/>
                <w:color w:val="000000"/>
                <w:sz w:val="16"/>
              </w:rPr>
              <w:t>Interpretation</w:t>
            </w:r>
          </w:p>
        </w:tc>
      </w:tr>
      <w:tr>
        <w:trPr>
          <w:cantSplit/>
        </w:trPr>
        <w:tc>
          <w:tcPr>
            <w:tcW w:type="dxa" w:w="3672"/>
            <w:vAlign w:val="center"/>
            <w:shd w:fill="E5E5E5"/>
          </w:tcPr>
          <w:p>
            <w:pPr>
              <w:spacing w:after="40" w:before="40"/>
              <w:jc w:val="left"/>
            </w:pPr>
            <w:r>
              <w:rPr>
                <w:rFonts w:ascii="Arial" w:hAnsi="Arial" w:eastAsia="Arial" w:cs="Arial"/>
                <w:b w:val="0"/>
                <w:color w:val="000000"/>
                <w:sz w:val="16"/>
              </w:rPr>
              <w:t>WACC</w:t>
            </w:r>
          </w:p>
        </w:tc>
        <w:tc>
          <w:tcPr>
            <w:tcW w:type="dxa" w:w="2088"/>
            <w:vAlign w:val="center"/>
            <w:shd w:fill="E5E5E5"/>
          </w:tcPr>
          <w:p>
            <w:pPr>
              <w:spacing w:after="40" w:before="40"/>
              <w:jc w:val="left"/>
            </w:pPr>
            <w:r>
              <w:rPr>
                <w:rFonts w:ascii="Arial" w:hAnsi="Arial" w:eastAsia="Arial" w:cs="Arial"/>
                <w:b w:val="0"/>
                <w:color w:val="000000"/>
                <w:sz w:val="16"/>
              </w:rPr>
              <w:t>6.860%</w:t>
            </w:r>
          </w:p>
        </w:tc>
        <w:tc>
          <w:tcPr>
            <w:tcW w:type="dxa" w:w="4032"/>
            <w:vAlign w:val="center"/>
            <w:shd w:fill="E5E5E5"/>
          </w:tcPr>
          <w:p>
            <w:pPr>
              <w:spacing w:after="40" w:before="40"/>
              <w:jc w:val="left"/>
            </w:pPr>
            <w:r>
              <w:rPr>
                <w:rFonts w:ascii="Arial" w:hAnsi="Arial" w:eastAsia="Arial" w:cs="Arial"/>
                <w:b w:val="0"/>
                <w:color w:val="000000"/>
                <w:sz w:val="16"/>
              </w:rPr>
              <w:t>Compare with calculated 9.814%</w:t>
            </w:r>
          </w:p>
        </w:tc>
      </w:tr>
      <w:tr>
        <w:trPr>
          <w:cantSplit/>
        </w:trPr>
        <w:tc>
          <w:tcPr>
            <w:tcW w:type="dxa" w:w="3672"/>
            <w:vAlign w:val="center"/>
            <w:shd w:fill="FFFFFF"/>
          </w:tcPr>
          <w:p>
            <w:pPr>
              <w:spacing w:after="40" w:before="40"/>
              <w:jc w:val="left"/>
            </w:pPr>
            <w:r>
              <w:rPr>
                <w:rFonts w:ascii="Arial" w:hAnsi="Arial" w:eastAsia="Arial" w:cs="Arial"/>
                <w:b w:val="0"/>
                <w:color w:val="000000"/>
                <w:sz w:val="16"/>
              </w:rPr>
              <w:t>Stable growth</w:t>
            </w:r>
          </w:p>
        </w:tc>
        <w:tc>
          <w:tcPr>
            <w:tcW w:type="dxa" w:w="2088"/>
            <w:vAlign w:val="center"/>
            <w:shd w:fill="FFFFFF"/>
          </w:tcPr>
          <w:p>
            <w:pPr>
              <w:spacing w:after="40" w:before="40"/>
              <w:jc w:val="left"/>
            </w:pPr>
            <w:r>
              <w:rPr>
                <w:rFonts w:ascii="Arial" w:hAnsi="Arial" w:eastAsia="Arial" w:cs="Arial"/>
                <w:b w:val="0"/>
                <w:color w:val="000000"/>
                <w:sz w:val="16"/>
              </w:rPr>
              <w:t>7.177%</w:t>
            </w:r>
          </w:p>
        </w:tc>
        <w:tc>
          <w:tcPr>
            <w:tcW w:type="dxa" w:w="4032"/>
            <w:vAlign w:val="center"/>
            <w:shd w:fill="FFFFFF"/>
          </w:tcPr>
          <w:p>
            <w:pPr>
              <w:spacing w:after="40" w:before="40"/>
              <w:jc w:val="left"/>
            </w:pPr>
            <w:r>
              <w:rPr>
                <w:rFonts w:ascii="Arial" w:hAnsi="Arial" w:eastAsia="Arial" w:cs="Arial"/>
                <w:b w:val="0"/>
                <w:color w:val="000000"/>
                <w:sz w:val="16"/>
              </w:rPr>
              <w:t>Outside displayed 0% to 5% long-run analyst band</w:t>
            </w:r>
          </w:p>
        </w:tc>
      </w:tr>
      <w:tr>
        <w:trPr>
          <w:cantSplit/>
        </w:trPr>
        <w:tc>
          <w:tcPr>
            <w:tcW w:type="dxa" w:w="3672"/>
            <w:vAlign w:val="center"/>
            <w:shd w:fill="E5E5E5"/>
          </w:tcPr>
          <w:p>
            <w:pPr>
              <w:spacing w:after="40" w:before="40"/>
              <w:jc w:val="left"/>
            </w:pPr>
            <w:r>
              <w:rPr>
                <w:rFonts w:ascii="Arial" w:hAnsi="Arial" w:eastAsia="Arial" w:cs="Arial"/>
                <w:b w:val="0"/>
                <w:color w:val="000000"/>
                <w:sz w:val="16"/>
              </w:rPr>
              <w:t>Stable ROIC</w:t>
            </w:r>
          </w:p>
        </w:tc>
        <w:tc>
          <w:tcPr>
            <w:tcW w:type="dxa" w:w="2088"/>
            <w:vAlign w:val="center"/>
            <w:shd w:fill="E5E5E5"/>
          </w:tcPr>
          <w:p>
            <w:pPr>
              <w:spacing w:after="40" w:before="40"/>
              <w:jc w:val="left"/>
            </w:pPr>
            <w:r>
              <w:rPr>
                <w:rFonts w:ascii="Arial" w:hAnsi="Arial" w:eastAsia="Arial" w:cs="Arial"/>
                <w:b w:val="0"/>
                <w:color w:val="000000"/>
                <w:sz w:val="16"/>
              </w:rPr>
              <w:t>No finite positive value</w:t>
            </w:r>
          </w:p>
        </w:tc>
        <w:tc>
          <w:tcPr>
            <w:tcW w:type="dxa" w:w="4032"/>
            <w:vAlign w:val="center"/>
            <w:shd w:fill="E5E5E5"/>
          </w:tcPr>
          <w:p>
            <w:pPr>
              <w:spacing w:after="40" w:before="40"/>
              <w:jc w:val="left"/>
            </w:pPr>
            <w:r>
              <w:rPr>
                <w:rFonts w:ascii="Arial" w:hAnsi="Arial" w:eastAsia="Arial" w:cs="Arial"/>
                <w:b w:val="0"/>
                <w:color w:val="000000"/>
                <w:sz w:val="16"/>
              </w:rPr>
              <w:t>Required cash exceeds stable NOPAT ceiling</w:t>
            </w:r>
          </w:p>
        </w:tc>
      </w:tr>
      <w:tr>
        <w:trPr>
          <w:cantSplit/>
        </w:trPr>
        <w:tc>
          <w:tcPr>
            <w:tcW w:type="dxa" w:w="3672"/>
            <w:vAlign w:val="center"/>
            <w:shd w:fill="FFFFFF"/>
          </w:tcPr>
          <w:p>
            <w:pPr>
              <w:spacing w:after="40" w:before="40"/>
              <w:jc w:val="left"/>
            </w:pPr>
            <w:r>
              <w:rPr>
                <w:rFonts w:ascii="Arial" w:hAnsi="Arial" w:eastAsia="Arial" w:cs="Arial"/>
                <w:b w:val="0"/>
                <w:color w:val="000000"/>
                <w:sz w:val="16"/>
              </w:rPr>
              <w:t>Price as ROIC tends to infinity</w:t>
            </w:r>
          </w:p>
        </w:tc>
        <w:tc>
          <w:tcPr>
            <w:tcW w:type="dxa" w:w="2088"/>
            <w:vAlign w:val="center"/>
            <w:shd w:fill="FFFFFF"/>
          </w:tcPr>
          <w:p>
            <w:pPr>
              <w:spacing w:after="40" w:before="40"/>
              <w:jc w:val="left"/>
            </w:pPr>
            <w:r>
              <w:rPr>
                <w:rFonts w:ascii="Arial" w:hAnsi="Arial" w:eastAsia="Arial" w:cs="Arial"/>
                <w:b w:val="0"/>
                <w:color w:val="000000"/>
                <w:sz w:val="16"/>
              </w:rPr>
              <w:t>$326.91</w:t>
            </w:r>
          </w:p>
        </w:tc>
        <w:tc>
          <w:tcPr>
            <w:tcW w:type="dxa" w:w="4032"/>
            <w:vAlign w:val="center"/>
            <w:shd w:fill="FFFFFF"/>
          </w:tcPr>
          <w:p>
            <w:pPr>
              <w:spacing w:after="40" w:before="40"/>
              <w:jc w:val="left"/>
            </w:pPr>
            <w:r>
              <w:rPr>
                <w:rFonts w:ascii="Arial" w:hAnsi="Arial" w:eastAsia="Arial" w:cs="Arial"/>
                <w:b w:val="0"/>
                <w:color w:val="000000"/>
                <w:sz w:val="16"/>
              </w:rPr>
              <w:t>Still below observed $522.61</w:t>
            </w:r>
          </w:p>
        </w:tc>
      </w:tr>
      <w:tr>
        <w:trPr>
          <w:cantSplit/>
        </w:trPr>
        <w:tc>
          <w:tcPr>
            <w:tcW w:type="dxa" w:w="3672"/>
            <w:vAlign w:val="center"/>
            <w:shd w:fill="E5E5E5"/>
          </w:tcPr>
          <w:p>
            <w:pPr>
              <w:spacing w:after="40" w:before="40"/>
              <w:jc w:val="left"/>
            </w:pPr>
            <w:r>
              <w:rPr>
                <w:rFonts w:ascii="Arial" w:hAnsi="Arial" w:eastAsia="Arial" w:cs="Arial"/>
                <w:b w:val="0"/>
                <w:color w:val="000000"/>
                <w:sz w:val="16"/>
              </w:rPr>
              <w:t>Normalized FY2032 FCFF</w:t>
            </w:r>
          </w:p>
        </w:tc>
        <w:tc>
          <w:tcPr>
            <w:tcW w:type="dxa" w:w="2088"/>
            <w:vAlign w:val="center"/>
            <w:shd w:fill="E5E5E5"/>
          </w:tcPr>
          <w:p>
            <w:pPr>
              <w:spacing w:after="40" w:before="40"/>
              <w:jc w:val="left"/>
            </w:pPr>
            <w:r>
              <w:rPr>
                <w:rFonts w:ascii="Arial" w:hAnsi="Arial" w:eastAsia="Arial" w:cs="Arial"/>
                <w:b w:val="0"/>
                <w:color w:val="000000"/>
                <w:sz w:val="16"/>
              </w:rPr>
              <w:t>$368.2bn</w:t>
            </w:r>
          </w:p>
        </w:tc>
        <w:tc>
          <w:tcPr>
            <w:tcW w:type="dxa" w:w="4032"/>
            <w:vAlign w:val="center"/>
            <w:shd w:fill="E5E5E5"/>
          </w:tcPr>
          <w:p>
            <w:pPr>
              <w:spacing w:after="40" w:before="40"/>
              <w:jc w:val="left"/>
            </w:pPr>
            <w:r>
              <w:rPr>
                <w:rFonts w:ascii="Arial" w:hAnsi="Arial" w:eastAsia="Arial" w:cs="Arial"/>
                <w:b w:val="0"/>
                <w:color w:val="000000"/>
                <w:sz w:val="16"/>
              </w:rPr>
              <w:t>55.16% of stable revenue</w:t>
            </w:r>
          </w:p>
        </w:tc>
      </w:tr>
      <w:tr>
        <w:trPr>
          <w:cantSplit/>
        </w:trPr>
        <w:tc>
          <w:tcPr>
            <w:tcW w:type="dxa" w:w="3672"/>
            <w:vAlign w:val="center"/>
            <w:shd w:fill="FFFFFF"/>
          </w:tcPr>
          <w:p>
            <w:pPr>
              <w:spacing w:after="40" w:before="40"/>
              <w:jc w:val="left"/>
            </w:pPr>
            <w:r>
              <w:rPr>
                <w:rFonts w:ascii="Arial" w:hAnsi="Arial" w:eastAsia="Arial" w:cs="Arial"/>
                <w:b w:val="0"/>
                <w:color w:val="000000"/>
                <w:sz w:val="16"/>
              </w:rPr>
              <w:t>Exit EV to FY2031 EBITDA</w:t>
            </w:r>
          </w:p>
        </w:tc>
        <w:tc>
          <w:tcPr>
            <w:tcW w:type="dxa" w:w="2088"/>
            <w:vAlign w:val="center"/>
            <w:shd w:fill="FFFFFF"/>
          </w:tcPr>
          <w:p>
            <w:pPr>
              <w:spacing w:after="40" w:before="40"/>
              <w:jc w:val="left"/>
            </w:pPr>
            <w:r>
              <w:rPr>
                <w:rFonts w:ascii="Arial" w:hAnsi="Arial" w:eastAsia="Arial" w:cs="Arial"/>
                <w:b w:val="0"/>
                <w:color w:val="000000"/>
                <w:sz w:val="16"/>
              </w:rPr>
              <w:t>13.55x</w:t>
            </w:r>
          </w:p>
        </w:tc>
        <w:tc>
          <w:tcPr>
            <w:tcW w:type="dxa" w:w="4032"/>
            <w:vAlign w:val="center"/>
            <w:shd w:fill="FFFFFF"/>
          </w:tcPr>
          <w:p>
            <w:pPr>
              <w:spacing w:after="40" w:before="40"/>
              <w:jc w:val="left"/>
            </w:pPr>
            <w:r>
              <w:rPr>
                <w:rFonts w:ascii="Arial" w:hAnsi="Arial" w:eastAsia="Arial" w:cs="Arial"/>
                <w:b w:val="0"/>
                <w:color w:val="000000"/>
                <w:sz w:val="16"/>
              </w:rPr>
              <w:t>Requires independently supported peer and rate context</w:t>
            </w:r>
          </w:p>
        </w:tc>
      </w:tr>
      <w:tr>
        <w:trPr>
          <w:cantSplit/>
        </w:trPr>
        <w:tc>
          <w:tcPr>
            <w:tcW w:type="dxa" w:w="3672"/>
            <w:vAlign w:val="center"/>
            <w:shd w:fill="E5E5E5"/>
          </w:tcPr>
          <w:p>
            <w:pPr>
              <w:spacing w:after="40" w:before="40"/>
              <w:jc w:val="left"/>
            </w:pPr>
            <w:r>
              <w:rPr>
                <w:rFonts w:ascii="Arial" w:hAnsi="Arial" w:eastAsia="Arial" w:cs="Arial"/>
                <w:b w:val="0"/>
                <w:color w:val="000000"/>
                <w:sz w:val="16"/>
              </w:rPr>
              <w:t>Shares with equity held constant</w:t>
            </w:r>
          </w:p>
        </w:tc>
        <w:tc>
          <w:tcPr>
            <w:tcW w:type="dxa" w:w="2088"/>
            <w:vAlign w:val="center"/>
            <w:shd w:fill="E5E5E5"/>
          </w:tcPr>
          <w:p>
            <w:pPr>
              <w:spacing w:after="40" w:before="40"/>
              <w:jc w:val="left"/>
            </w:pPr>
            <w:r>
              <w:rPr>
                <w:rFonts w:ascii="Arial" w:hAnsi="Arial" w:eastAsia="Arial" w:cs="Arial"/>
                <w:b w:val="0"/>
                <w:color w:val="000000"/>
                <w:sz w:val="16"/>
              </w:rPr>
              <w:t>4,081.8m</w:t>
            </w:r>
          </w:p>
        </w:tc>
        <w:tc>
          <w:tcPr>
            <w:tcW w:type="dxa" w:w="4032"/>
            <w:vAlign w:val="center"/>
            <w:shd w:fill="E5E5E5"/>
          </w:tcPr>
          <w:p>
            <w:pPr>
              <w:spacing w:after="40" w:before="40"/>
              <w:jc w:val="left"/>
            </w:pPr>
            <w:r>
              <w:rPr>
                <w:rFonts w:ascii="Arial" w:hAnsi="Arial" w:eastAsia="Arial" w:cs="Arial"/>
                <w:b w:val="0"/>
                <w:color w:val="000000"/>
                <w:sz w:val="16"/>
              </w:rPr>
              <w:t>Cost-free share removal is not an economic buyback</w:t>
            </w:r>
          </w:p>
        </w:tc>
      </w:tr>
    </w:tbl>
    <w:p>
      <w:pPr>
        <w:jc w:val="left"/>
      </w:pPr>
    </w:p>
    <w:p>
      <w:pPr>
        <w:pStyle w:val="Heading2"/>
        <w:jc w:val="left"/>
      </w:pPr>
      <w:r>
        <w:rPr>
          <w:rFonts w:ascii="Arial" w:hAnsi="Arial" w:eastAsia="Arial" w:cs="Arial"/>
          <w:color w:val="000000"/>
          <w:sz w:val="18"/>
        </w:rPr>
        <w:t>ROIC ceiling</w:t>
      </w:r>
    </w:p>
    <w:p>
      <w:pPr>
        <w:jc w:val="left"/>
      </w:pPr>
      <w:r>
        <w:rPr>
          <w:rFonts w:ascii="Arial" w:hAnsi="Arial" w:eastAsia="Arial" w:cs="Arial"/>
          <w:color w:val="000000"/>
          <w:sz w:val="18"/>
        </w:rPr>
        <w:t>At a fixed stable margin and growth rate, higher ROIC reduces investment needed for growth. As ROIC tends to infinity, reinvestment tends to zero and FCFF approaches NOPAT. The market target under the base assumptions requires more cash than that ceiling. A negative algebraic ROIC is therefore not reported as a valid business solution.</w:t>
      </w:r>
    </w:p>
    <w:p>
      <w:pPr>
        <w:pStyle w:val="Heading2"/>
        <w:jc w:val="left"/>
      </w:pPr>
      <w:r>
        <w:rPr>
          <w:rFonts w:ascii="Arial" w:hAnsi="Arial" w:eastAsia="Arial" w:cs="Arial"/>
          <w:color w:val="000000"/>
          <w:sz w:val="18"/>
        </w:rPr>
        <w:t>Native sensitivity and case comparison</w:t>
      </w:r>
    </w:p>
    <w:p>
      <w:pPr>
        <w:jc w:val="left"/>
      </w:pPr>
      <w:r>
        <w:rPr>
          <w:rFonts w:ascii="Arial" w:hAnsi="Arial" w:eastAsia="Arial" w:cs="Arial"/>
          <w:color w:val="000000"/>
          <w:sz w:val="18"/>
        </w:rPr>
        <w:t>The DCF sheet contains native two-input Excel What-If tables. The WACC and stable-growth inputs are the actual cells used to price the primary DCF, on the same worksheet. The live case grid temporarily tests the same scenario selector and growth input. The diagonal gives each case at its own stable growth without duplicated forecasts or fixed case snapshots.</w:t>
      </w:r>
    </w:p>
    <w:p>
      <w:pPr>
        <w:pStyle w:val="Heading2"/>
        <w:jc w:val="left"/>
      </w:pPr>
      <w:r>
        <w:rPr>
          <w:rFonts w:ascii="Arial" w:hAnsi="Arial" w:eastAsia="Arial" w:cs="Arial"/>
          <w:color w:val="000000"/>
          <w:sz w:val="18"/>
        </w:rPr>
        <w:t>Ownership and exit multiple</w:t>
      </w:r>
    </w:p>
    <w:p>
      <w:pPr>
        <w:jc w:val="left"/>
      </w:pPr>
      <w:r>
        <w:rPr>
          <w:rFonts w:ascii="Arial" w:hAnsi="Arial" w:eastAsia="Arial" w:cs="Arial"/>
          <w:color w:val="000000"/>
          <w:sz w:val="18"/>
        </w:rPr>
        <w:t>Ownership compares point shares, the point count plus the award proxy and historical diluted EPS shares. A reverse share count is shown only as algebra; the funded buyback example deducts its cash cost. The exit multiple crosscheck uses an explicitly editable illustrative 12x assumption, with no invented comparable-company sample.</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Beta inference and conditional simulation</w:t>
      </w:r>
    </w:p>
    <w:p>
      <w:pPr>
        <w:pStyle w:val="Heading2"/>
        <w:jc w:val="left"/>
      </w:pPr>
      <w:r>
        <w:rPr>
          <w:rFonts w:ascii="Arial" w:hAnsi="Arial" w:eastAsia="Arial" w:cs="Arial"/>
          <w:color w:val="000000"/>
          <w:sz w:val="18"/>
        </w:rPr>
        <w:t>Five year market model</w:t>
      </w:r>
    </w:p>
    <w:p>
      <w:pPr>
        <w:jc w:val="left"/>
      </w:pPr>
      <w:r>
        <w:rPr>
          <w:rFonts w:ascii="Arial" w:hAnsi="Arial" w:eastAsia="Arial" w:cs="Arial"/>
          <w:color w:val="000000"/>
          <w:sz w:val="18"/>
        </w:rPr>
        <w:t>The regression has 1,255 daily return observations, ending 8 October 2026, for Microsoft against the SPY S&amp;P 500 proxy. OLS beta is 1.1278 and R squared is 0.472. HC3 beta standard error is 0.0396; the approximate 95% Student t confidence interval is 1.0501 to 1.2055.</w:t>
      </w:r>
    </w:p>
    <w:p>
      <w:pPr>
        <w:jc w:val="left"/>
      </w:pPr>
      <w:r>
        <w:rPr>
          <w:rFonts w:ascii="Arial" w:hAnsi="Arial" w:eastAsia="Arial" w:cs="Arial"/>
          <w:color w:val="000000"/>
          <w:sz w:val="18"/>
        </w:rPr>
        <w:t>HC3 uses squared residuals divided by one minus leverage squared in the covariance sandwich. It changes inference, not the fitted beta. Newey-West lag five beta standard error is 0.0502, compared with conventional OLS 0.0337. The workbook also shows a two-year daily beta and optional Blume adjustment. The intercept is a daily total-return market-model alpha, not a historical excess-return CAPM alpha.</w:t>
      </w:r>
    </w:p>
    <w:p>
      <w:pPr>
        <w:pStyle w:val="Heading2"/>
        <w:jc w:val="left"/>
      </w:pPr>
      <w:r>
        <w:rPr>
          <w:rFonts w:ascii="Arial" w:hAnsi="Arial" w:eastAsia="Arial" w:cs="Arial"/>
          <w:color w:val="000000"/>
          <w:sz w:val="18"/>
        </w:rPr>
        <w:t>Discount rate sources</w:t>
      </w:r>
    </w:p>
    <w:p>
      <w:pPr>
        <w:jc w:val="left"/>
      </w:pPr>
      <w:r>
        <w:rPr>
          <w:rFonts w:ascii="Arial" w:hAnsi="Arial" w:eastAsia="Arial" w:cs="Arial"/>
          <w:color w:val="000000"/>
          <w:sz w:val="18"/>
        </w:rPr>
        <w:t>The model uses the 8 October 10-year Treasury yield of 5.22%, explicitly dated 1 October Damodaran ERP of 4.20% and January AAA synthetic spread of 0.40%. Equity weights use cutoff price times point shares. Debt and finance lease liabilities are disclosure proxies. The debt shield uses an explicit 21% marginal tax assumption.</w:t>
      </w:r>
    </w:p>
    <w:p>
      <w:pPr>
        <w:jc w:val="left"/>
      </w:pPr>
      <w:r>
        <w:rPr>
          <w:rFonts w:ascii="Arial" w:hAnsi="Arial" w:eastAsia="Arial" w:cs="Arial"/>
          <w:color w:val="000000"/>
          <w:sz w:val="18"/>
        </w:rPr>
        <w:drawing>
          <wp:inline xmlns:a="http://schemas.openxmlformats.org/drawingml/2006/main" xmlns:pic="http://schemas.openxmlformats.org/drawingml/2006/picture">
            <wp:extent cx="6217920" cy="2664823"/>
            <wp:docPr id="3" name="Picture 3"/>
            <wp:cNvGraphicFramePr>
              <a:graphicFrameLocks noChangeAspect="1"/>
            </wp:cNvGraphicFramePr>
            <a:graphic>
              <a:graphicData uri="http://schemas.openxmlformats.org/drawingml/2006/picture">
                <pic:pic>
                  <pic:nvPicPr>
                    <pic:cNvPr id="0" name="simulation.png"/>
                    <pic:cNvPicPr/>
                  </pic:nvPicPr>
                  <pic:blipFill>
                    <a:blip r:embed="rId12">
                      <a:grayscl/>
                    </a:blip>
                    <a:stretch>
                      <a:fillRect/>
                    </a:stretch>
                  </pic:blipFill>
                  <pic:spPr>
                    <a:xfrm>
                      <a:off x="0" y="0"/>
                      <a:ext cx="6217920" cy="2664823"/>
                    </a:xfrm>
                    <a:prstGeom prst="rect"/>
                  </pic:spPr>
                </pic:pic>
              </a:graphicData>
            </a:graphic>
          </wp:inline>
        </w:drawing>
      </w:r>
    </w:p>
    <w:p>
      <w:pPr>
        <w:pStyle w:val="Caption"/>
        <w:jc w:val="left"/>
      </w:pPr>
      <w:r>
        <w:rPr>
          <w:rFonts w:ascii="Arial" w:hAnsi="Arial" w:eastAsia="Arial" w:cs="Arial"/>
          <w:color w:val="000000"/>
          <w:sz w:val="16"/>
        </w:rPr>
        <w:t>Independent triangular priors and fixed uniforms with seed 20261008</w:t>
      </w:r>
    </w:p>
    <w:p>
      <w:pPr>
        <w:jc w:val="left"/>
      </w:pPr>
      <w:r>
        <w:rPr>
          <w:rFonts w:ascii="Arial" w:hAnsi="Arial" w:eastAsia="Arial" w:cs="Arial"/>
          <w:color w:val="000000"/>
          <w:sz w:val="18"/>
        </w:rPr>
        <w:t>Under these subjective priors, the conditional median value is $283.92, with 5th and 95th percentiles $224.15 and $362.83. The simulation uses 1,000 identical frozen draws in both engines. Those percentiles describe the selected model assumptions, not empirically estimated market outcome probabilities.</w:t>
      </w:r>
    </w:p>
    <w:p>
      <w:pPr>
        <w:jc w:val="left"/>
      </w:pPr>
      <w:r>
        <w:rPr>
          <w:rFonts w:ascii="Arial" w:hAnsi="Arial" w:eastAsia="Arial" w:cs="Arial"/>
          <w:color w:val="000000"/>
          <w:sz w:val="18"/>
        </w:rPr>
        <w:t>The simulation replaces segment growth with uniform CAGR, changes operating and stable margins together, scales cash capex, and varies WACC and stable growth. D&amp;A, other ratios, bridge and stable ROIC remain fixed. Independent triangular ranges omit correlated shocks, model error and tail events; the mode preserves final revenue but changes the intervening path.</w:t>
      </w:r>
    </w:p>
    <w:p>
      <w:pPr>
        <w:jc w:val="left"/>
      </w:pPr>
      <w:r>
        <w:rPr>
          <w:rFonts w:ascii="Arial" w:hAnsi="Arial" w:eastAsia="Arial" w:cs="Arial"/>
          <w:color w:val="000000"/>
          <w:sz w:val="18"/>
        </w:rPr>
        <w:br w:type="page"/>
      </w:r>
    </w:p>
    <w:p>
      <w:pPr>
        <w:pStyle w:val="Heading1"/>
        <w:jc w:val="center"/>
      </w:pPr>
      <w:r>
        <w:rPr>
          <w:rFonts w:ascii="Arial" w:hAnsi="Arial" w:eastAsia="Arial" w:cs="Arial"/>
          <w:color w:val="000000"/>
          <w:sz w:val="21"/>
        </w:rPr>
        <w:t>Raw evidence and reproducible calculations</w:t>
      </w:r>
    </w:p>
    <w:p>
      <w:pPr>
        <w:pStyle w:val="Heading2"/>
        <w:jc w:val="left"/>
      </w:pPr>
      <w:r>
        <w:rPr>
          <w:rFonts w:ascii="Arial" w:hAnsi="Arial" w:eastAsia="Arial" w:cs="Arial"/>
          <w:color w:val="000000"/>
          <w:sz w:val="18"/>
        </w:rPr>
        <w:t>Sources and marked materials</w:t>
      </w:r>
    </w:p>
    <w:p>
      <w:pPr>
        <w:jc w:val="left"/>
      </w:pPr>
      <w:r>
        <w:rPr>
          <w:rFonts w:ascii="Arial" w:hAnsi="Arial" w:eastAsia="Arial" w:cs="Arial"/>
          <w:color w:val="000000"/>
          <w:sz w:val="18"/>
        </w:rPr>
        <w:t>The project includes full original annual report PDFs FY2017 to FY2026 and separate marked copies. The 402-record source crosswalk identifies selected input, fiscal year, report year, native PDF page, raw units, conversion and Excel destinations. All 344 reported records are highlighted; 51 unavailable note disclosures remain n.a. Seven normalized absence records are distinguished from explicitly reported zero values.</w:t>
      </w:r>
    </w:p>
    <w:p>
      <w:pPr>
        <w:jc w:val="left"/>
      </w:pPr>
      <w:r>
        <w:rPr>
          <w:rFonts w:ascii="Arial" w:hAnsi="Arial" w:eastAsia="Arial" w:cs="Arial"/>
          <w:color w:val="000000"/>
          <w:sz w:val="18"/>
        </w:rPr>
        <w:t>Annotations preserve native PDF text and page counts. Clicking a colored highlight shows its source ID and current DCF cell references. Bookmarks and margin stripes identify used pages. FY2017 is retained as an original archive report, while selected FY2017 observations come from later comparative reports. Income, balance, cash-flow, notes and segment inputs use the documented color legend.</w:t>
      </w:r>
    </w:p>
    <w:p>
      <w:pPr>
        <w:jc w:val="left"/>
      </w:pPr>
      <w:r>
        <w:rPr>
          <w:rFonts w:ascii="Arial" w:hAnsi="Arial" w:eastAsia="Arial" w:cs="Arial"/>
          <w:color w:val="000000"/>
          <w:sz w:val="18"/>
        </w:rPr>
        <w:t>Raw market materials include original HTML, JSON, CSV and XLSX responses, dated metadata and SHA-256 hashes. The Treasury and Yahoo datasets can contain later information in their full response; only observations at or before 8 October enter the processed inputs. The ERP monthly archive has an inconsistent final date serial, so the dated author homepage determines the period selection. Market_Source_Extracts.pdf is clearly identified as a generated review extract.</w:t>
      </w:r>
    </w:p>
    <w:p>
      <w:pPr>
        <w:pStyle w:val="Heading2"/>
        <w:jc w:val="left"/>
      </w:pPr>
      <w:r>
        <w:rPr>
          <w:rFonts w:ascii="Arial" w:hAnsi="Arial" w:eastAsia="Arial" w:cs="Arial"/>
          <w:color w:val="000000"/>
          <w:sz w:val="18"/>
        </w:rPr>
        <w:t>Two implementations</w:t>
      </w:r>
    </w:p>
    <w:p>
      <w:pPr>
        <w:jc w:val="left"/>
      </w:pPr>
      <w:r>
        <w:rPr>
          <w:rFonts w:ascii="Arial" w:hAnsi="Arial" w:eastAsia="Arial" w:cs="Arial"/>
          <w:color w:val="000000"/>
          <w:sz w:val="18"/>
        </w:rPr>
        <w:t>The workbook performs the live DCF, robust beta inference, reverse criteria and simulation with ordinary formulas and native data tables. Python Code contains the full plain-text Python program, preserving indentation and blank lines. The same program is available as src/valuation.py and uses NumPy and SciPy without requiring embedded Python in Excel.</w:t>
      </w:r>
    </w:p>
    <w:p>
      <w:pPr>
        <w:jc w:val="left"/>
      </w:pPr>
      <w:r>
        <w:rPr>
          <w:rFonts w:ascii="Arial" w:hAnsi="Arial" w:eastAsia="Arial" w:cs="Arial"/>
          <w:color w:val="000000"/>
          <w:sz w:val="18"/>
        </w:rPr>
        <w:t>For VSCode, keep the complete archive folder structure, install requirements.txt and run python src/valuation.py. To replay edited Excel drivers, run python src/valuation.py --excel deliverables/Microsoft_DCF_ReverseDCF_Model.xlsx. Mapped numeric assumptions are read directly from the XLSX; Python does not use formula caches to obtain calculated values.</w:t>
      </w:r>
    </w:p>
    <w:p>
      <w:pPr>
        <w:pStyle w:val="Heading2"/>
        <w:jc w:val="left"/>
      </w:pPr>
      <w:r>
        <w:rPr>
          <w:rFonts w:ascii="Arial" w:hAnsi="Arial" w:eastAsia="Arial" w:cs="Arial"/>
          <w:color w:val="000000"/>
          <w:sz w:val="18"/>
        </w:rPr>
        <w:t>Verification and use</w:t>
      </w:r>
    </w:p>
    <w:p>
      <w:pPr>
        <w:jc w:val="left"/>
      </w:pPr>
      <w:r>
        <w:rPr>
          <w:rFonts w:ascii="Arial" w:hAnsi="Arial" w:eastAsia="Arial" w:cs="Arial"/>
          <w:color w:val="000000"/>
          <w:sz w:val="18"/>
        </w:rPr>
        <w:t>The Audit sheet compares independently computed scenario values, OLS beta, HC3 and HAC inference, reverse valuation residuals and deterministic simulation results. Enterprise-to-equity and segment-sum identities are also checked. Frozen baseline comparisons intentionally change after editing inputs; rerun Python to verify the edited model.</w:t>
      </w:r>
    </w:p>
    <w:p>
      <w:pPr>
        <w:jc w:val="left"/>
      </w:pPr>
      <w:r>
        <w:rPr>
          <w:rFonts w:ascii="Arial" w:hAnsi="Arial" w:eastAsia="Arial" w:cs="Arial"/>
          <w:color w:val="000000"/>
          <w:sz w:val="18"/>
        </w:rPr>
        <w:t>Table rows are consistently 24 pt. Expanded observations use merged blocks of those rows. Native hover Notes explain inputs and formulas; charts use linked ranges. The workbook avoids TEXT-based narrative formulas. Calculation uses the XLSX international formula syntax. After editing in Excel, enable Automatic calculation including data tables and recalculate.</w:t>
      </w:r>
    </w:p>
    <w:p>
      <w:pPr>
        <w:pStyle w:val="Heading2"/>
        <w:jc w:val="left"/>
      </w:pPr>
      <w:r>
        <w:rPr>
          <w:rFonts w:ascii="Arial" w:hAnsi="Arial" w:eastAsia="Arial" w:cs="Arial"/>
          <w:color w:val="000000"/>
          <w:sz w:val="18"/>
        </w:rPr>
        <w:t>Primary references</w:t>
      </w:r>
    </w:p>
    <w:p>
      <w:pPr>
        <w:jc w:val="left"/>
      </w:pPr>
      <w:r>
        <w:rPr>
          <w:rFonts w:ascii="Arial" w:hAnsi="Arial" w:eastAsia="Arial" w:cs="Arial"/>
          <w:color w:val="000000"/>
          <w:sz w:val="18"/>
        </w:rPr>
        <w:t>Microsoft annual reports and SEC filing information in the per-cell crosswalk. Issuer price lookup microsoft.gcs-web.com. US Treasury daily par yield curve home.treasury.gov. Damodaran dated ERP and rating spread tables pages.stern.nyu.edu/~adamodar. HC3 method documentation statsmodels.org. Yahoo price responses are retained as the original downloaded market dataset.</w:t>
      </w:r>
    </w:p>
    <w:sectPr w:rsidR="00FC693F" w:rsidRPr="0006063C" w:rsidSect="00034616">
      <w:footerReference w:type="default" r:id="rId9"/>
      <w:headerReference w:type="default" r:id="rId13"/>
      <w:pgSz w:w="11900" w:h="16840"/>
      <w:pgMar w:top="576" w:right="504" w:bottom="576" w:left="50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6"/>
      </w:rPr>
      <w:t xml:space="preserve">Goran Brkich | Portfolio project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before="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b/>
      <w:bCs/>
      <w:caps/>
      <w:color w:val="000000"/>
      <w:sz w:val="1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cap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heme="majorHAnsi" w:eastAsiaTheme="majorEastAsia" w:hAnsiTheme="majorHAnsi" w:cstheme="majorBidi" w:ascii="Arial" w:hAnsi="Arial"/>
      <w:b/>
      <w:caps/>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20"/>
    </w:pPr>
    <w:rPr>
      <w:rFonts w:asciiTheme="majorHAnsi" w:eastAsiaTheme="majorEastAsia" w:hAnsiTheme="majorHAnsi" w:cstheme="majorBidi" w:ascii="Arial" w:hAnsi="Arial"/>
      <w:i/>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spacing w:line="252" w:lineRule="auto" w:after="100" w:before="0"/>
      <w:ind w:left="720"/>
      <w:contextualSpacing/>
    </w:pPr>
    <w:rPr>
      <w:rFonts w:ascii="Arial" w:hAnsi="Arial"/>
      <w:color w:val="000000"/>
      <w:sz w:val="18"/>
    </w:rPr>
  </w:style>
  <w:style w:type="paragraph" w:styleId="BodyText">
    <w:name w:val="Body Text"/>
    <w:basedOn w:val="Normal"/>
    <w:link w:val="BodyTextChar"/>
    <w:uiPriority w:val="99"/>
    <w:unhideWhenUsed/>
    <w:rsid w:val="00AA1D8D"/>
    <w:pPr>
      <w:spacing w:after="100" w:line="252" w:lineRule="auto" w:before="0"/>
    </w:pPr>
    <w:rPr>
      <w:rFonts w:ascii="Arial" w:hAnsi="Arial"/>
      <w:color w:val="000000"/>
      <w:sz w:val="18"/>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rFonts w:ascii="Arial" w:hAnsi="Arial"/>
      <w:b/>
      <w:bCs/>
      <w:i/>
      <w:color w:val="000000"/>
      <w:sz w:val="16"/>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DCF and Reverse DCF</dc:title>
  <dc:subject>Five year valuation and market implied expectations as of 8 October 2026</dc:subject>
  <dc:creator>Goran Brkich</dc:creator>
  <cp:keywords/>
  <dc:description>generated by python-docx</dc:description>
  <cp:lastModifiedBy/>
  <cp:revision>1</cp:revision>
  <dcterms:created xsi:type="dcterms:W3CDTF">2013-12-23T23:15:00Z</dcterms:created>
  <dcterms:modified xsi:type="dcterms:W3CDTF">2013-12-23T23:15:00Z</dcterms:modified>
  <cp:category/>
</cp:coreProperties>
</file>