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cs="Arial"/>
          <w:color w:val="000000"/>
          <w:sz w:val="32"/>
        </w:rPr>
        <w:t>Microsoft Three Statement Financial Model</w:t>
      </w:r>
    </w:p>
    <w:p>
      <w:pPr>
        <w:pStyle w:val="Subtitle"/>
        <w:jc w:val="left"/>
      </w:pPr>
      <w:r>
        <w:rPr>
          <w:rFonts w:ascii="Arial" w:hAnsi="Arial" w:eastAsia="Arial" w:cs="Arial"/>
          <w:color w:val="000000"/>
          <w:sz w:val="18"/>
        </w:rPr>
        <w:t>Financial analysis and model methodology</w:t>
      </w:r>
    </w:p>
    <w:p>
      <w:pPr>
        <w:jc w:val="left"/>
      </w:pPr>
      <w:r>
        <w:rPr>
          <w:rFonts w:ascii="Arial" w:hAnsi="Arial" w:eastAsia="Arial" w:cs="Arial"/>
          <w:color w:val="000000"/>
          <w:sz w:val="18"/>
        </w:rPr>
        <w:t>Goran Brkich</w:t>
        <w:br/>
        <w:t>Portfolio project 03</w:t>
        <w:br/>
        <w:t>Information cutoff 8 October 2026</w:t>
      </w:r>
    </w:p>
    <w:p>
      <w:pPr>
        <w:jc w:val="left"/>
      </w:pPr>
      <w:r>
        <w:rPr>
          <w:rFonts w:ascii="Arial" w:hAnsi="Arial" w:eastAsia="Arial" w:cs="Arial"/>
          <w:color w:val="000000"/>
          <w:sz w:val="18"/>
        </w:rPr>
        <w:t>Microsoft's operating growth and its rising investment in infrastructure must be assessed together. This model connects earnings, assets, financing and cash flow so that a change in a forecast driver has a consistent effect on all three financial statements.</w:t>
      </w:r>
    </w:p>
    <w:p>
      <w:pPr>
        <w:jc w:val="left"/>
      </w:pPr>
      <w:r>
        <w:rPr>
          <w:rFonts w:ascii="Arial" w:hAnsi="Arial" w:eastAsia="Arial" w:cs="Arial"/>
          <w:color w:val="000000"/>
          <w:sz w:val="18"/>
        </w:rPr>
        <w:t>The Base case projects revenue of $648.1 billion in FY2031. Its operating margin falls from 46.8% in FY2026 to 37.5%. Depreciation from new investment explains much of this decline. Free cash flow rises as assumed cash capital expenditure decreases relative to revenue.</w:t>
      </w:r>
    </w:p>
    <w:tbl>
      <w:tblPr>
        <w:tblW w:type="auto" w:w="0"/>
        <w:jc w:val="center"/>
        <w:tblLayout w:type="fixed"/>
        <w:tblLook w:firstColumn="1" w:firstRow="1" w:lastColumn="0" w:lastRow="0" w:noHBand="0" w:noVBand="1" w:val="04A0"/>
        <w:tblBorders>
          <w:top w:val="single" w:sz="4" w:color="000000"/>
          <w:bottom w:val="single" w:sz="4" w:color="000000"/>
          <w:insideH w:val="nil" w:sz="4" w:color="000000"/>
          <w:left w:val="nil"/>
          <w:right w:val="nil"/>
          <w:insideV w:val="nil"/>
        </w:tblBorders>
      </w:tblPr>
      <w:tblGrid>
        <w:gridCol w:w="4968"/>
        <w:gridCol w:w="2304"/>
        <w:gridCol w:w="2304"/>
      </w:tblGrid>
      <w:tr>
        <w:trPr>
          <w:cantSplit/>
          <w:tblHeader/>
        </w:trPr>
        <w:tc>
          <w:tcPr>
            <w:tcW w:type="dxa" w:w="4968"/>
            <w:vAlign w:val="center"/>
            <w:tcMar>
              <w:top w:w="85" w:type="dxa"/>
              <w:bottom w:w="85" w:type="dxa"/>
              <w:left w:w="85" w:type="dxa"/>
              <w:right w:w="85" w:type="dxa"/>
            </w:tcMar>
            <w:shd w:fill="FFFFFF"/>
            <w:tcBorders>
              <w:bottom w:val="single" w:sz="4" w:color="000000"/>
            </w:tcBorders>
          </w:tcPr>
          <w:p>
            <w:pPr>
              <w:spacing w:after="40" w:before="40" w:line="240" w:lineRule="auto"/>
              <w:jc w:val="left"/>
            </w:pPr>
            <w:r>
              <w:rPr>
                <w:rFonts w:ascii="Arial" w:hAnsi="Arial" w:eastAsia="Arial" w:cs="Arial"/>
                <w:b/>
                <w:color w:val="000000"/>
                <w:sz w:val="16"/>
              </w:rPr>
              <w:t>Metric</w:t>
            </w:r>
          </w:p>
        </w:tc>
        <w:tc>
          <w:tcPr>
            <w:tcW w:type="dxa" w:w="2304"/>
            <w:vAlign w:val="center"/>
            <w:tcMar>
              <w:top w:w="85" w:type="dxa"/>
              <w:bottom w:w="85" w:type="dxa"/>
              <w:left w:w="85" w:type="dxa"/>
              <w:right w:w="85" w:type="dxa"/>
            </w:tcMar>
            <w:shd w:fill="FFFFFF"/>
            <w:tcBorders>
              <w:bottom w:val="single" w:sz="4" w:color="000000"/>
            </w:tcBorders>
          </w:tcPr>
          <w:p>
            <w:pPr>
              <w:spacing w:after="40" w:before="40" w:line="240" w:lineRule="auto"/>
              <w:jc w:val="center"/>
            </w:pPr>
            <w:r>
              <w:rPr>
                <w:rFonts w:ascii="Arial" w:hAnsi="Arial" w:eastAsia="Arial" w:cs="Arial"/>
                <w:b/>
                <w:color w:val="000000"/>
                <w:sz w:val="16"/>
              </w:rPr>
              <w:t>FY2026 actual</w:t>
            </w:r>
          </w:p>
        </w:tc>
        <w:tc>
          <w:tcPr>
            <w:tcW w:type="dxa" w:w="2304"/>
            <w:vAlign w:val="center"/>
            <w:tcMar>
              <w:top w:w="85" w:type="dxa"/>
              <w:bottom w:w="85" w:type="dxa"/>
              <w:left w:w="85" w:type="dxa"/>
              <w:right w:w="85" w:type="dxa"/>
            </w:tcMar>
            <w:shd w:fill="FFFFFF"/>
            <w:tcBorders>
              <w:bottom w:val="single" w:sz="4" w:color="000000"/>
            </w:tcBorders>
          </w:tcPr>
          <w:p>
            <w:pPr>
              <w:spacing w:after="40" w:before="40" w:line="240" w:lineRule="auto"/>
              <w:jc w:val="center"/>
            </w:pPr>
            <w:r>
              <w:rPr>
                <w:rFonts w:ascii="Arial" w:hAnsi="Arial" w:eastAsia="Arial" w:cs="Arial"/>
                <w:b/>
                <w:color w:val="000000"/>
                <w:sz w:val="16"/>
              </w:rPr>
              <w:t>FY2031 Base</w:t>
            </w:r>
          </w:p>
        </w:tc>
      </w:tr>
      <w:tr>
        <w:trPr>
          <w:cantSplit/>
        </w:trPr>
        <w:tc>
          <w:tcPr>
            <w:tcW w:type="dxa" w:w="4968"/>
            <w:vAlign w:val="center"/>
            <w:tcMar>
              <w:top w:w="85" w:type="dxa"/>
              <w:bottom w:w="85" w:type="dxa"/>
              <w:left w:w="85" w:type="dxa"/>
              <w:right w:w="85" w:type="dxa"/>
            </w:tcMar>
            <w:shd w:fill="E5E5E5"/>
          </w:tcPr>
          <w:p>
            <w:pPr>
              <w:spacing w:after="40" w:before="40" w:line="240" w:lineRule="auto"/>
              <w:jc w:val="left"/>
            </w:pPr>
            <w:r>
              <w:rPr>
                <w:rFonts w:ascii="Arial" w:hAnsi="Arial" w:eastAsia="Arial" w:cs="Arial"/>
                <w:color w:val="000000"/>
                <w:sz w:val="16"/>
              </w:rPr>
              <w:t>Revenue in USD billions</w:t>
            </w:r>
          </w:p>
        </w:tc>
        <w:tc>
          <w:tcPr>
            <w:tcW w:type="dxa" w:w="2304"/>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331.8</w:t>
            </w:r>
          </w:p>
        </w:tc>
        <w:tc>
          <w:tcPr>
            <w:tcW w:type="dxa" w:w="2304"/>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648.1</w:t>
            </w:r>
          </w:p>
        </w:tc>
      </w:tr>
      <w:tr>
        <w:trPr>
          <w:cantSplit/>
        </w:trPr>
        <w:tc>
          <w:tcPr>
            <w:tcW w:type="dxa" w:w="4968"/>
            <w:vAlign w:val="center"/>
            <w:tcMar>
              <w:top w:w="85" w:type="dxa"/>
              <w:bottom w:w="85" w:type="dxa"/>
              <w:left w:w="85" w:type="dxa"/>
              <w:right w:w="85" w:type="dxa"/>
            </w:tcMar>
            <w:shd w:fill="FFFFFF"/>
          </w:tcPr>
          <w:p>
            <w:pPr>
              <w:spacing w:after="40" w:before="40" w:line="240" w:lineRule="auto"/>
              <w:jc w:val="left"/>
            </w:pPr>
            <w:r>
              <w:rPr>
                <w:rFonts w:ascii="Arial" w:hAnsi="Arial" w:eastAsia="Arial" w:cs="Arial"/>
                <w:color w:val="000000"/>
                <w:sz w:val="16"/>
              </w:rPr>
              <w:t>Operating income in USD billions</w:t>
            </w:r>
          </w:p>
        </w:tc>
        <w:tc>
          <w:tcPr>
            <w:tcW w:type="dxa" w:w="2304"/>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155.2</w:t>
            </w:r>
          </w:p>
        </w:tc>
        <w:tc>
          <w:tcPr>
            <w:tcW w:type="dxa" w:w="2304"/>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242.8</w:t>
            </w:r>
          </w:p>
        </w:tc>
      </w:tr>
      <w:tr>
        <w:trPr>
          <w:cantSplit/>
        </w:trPr>
        <w:tc>
          <w:tcPr>
            <w:tcW w:type="dxa" w:w="4968"/>
            <w:vAlign w:val="center"/>
            <w:tcMar>
              <w:top w:w="85" w:type="dxa"/>
              <w:bottom w:w="85" w:type="dxa"/>
              <w:left w:w="85" w:type="dxa"/>
              <w:right w:w="85" w:type="dxa"/>
            </w:tcMar>
            <w:shd w:fill="E5E5E5"/>
          </w:tcPr>
          <w:p>
            <w:pPr>
              <w:spacing w:after="40" w:before="40" w:line="240" w:lineRule="auto"/>
              <w:jc w:val="left"/>
            </w:pPr>
            <w:r>
              <w:rPr>
                <w:rFonts w:ascii="Arial" w:hAnsi="Arial" w:eastAsia="Arial" w:cs="Arial"/>
                <w:color w:val="000000"/>
                <w:sz w:val="16"/>
              </w:rPr>
              <w:t>Net income in USD billions</w:t>
            </w:r>
          </w:p>
        </w:tc>
        <w:tc>
          <w:tcPr>
            <w:tcW w:type="dxa" w:w="2304"/>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133.7</w:t>
            </w:r>
          </w:p>
        </w:tc>
        <w:tc>
          <w:tcPr>
            <w:tcW w:type="dxa" w:w="2304"/>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198.2</w:t>
            </w:r>
          </w:p>
        </w:tc>
      </w:tr>
      <w:tr>
        <w:trPr>
          <w:cantSplit/>
        </w:trPr>
        <w:tc>
          <w:tcPr>
            <w:tcW w:type="dxa" w:w="4968"/>
            <w:vAlign w:val="center"/>
            <w:tcMar>
              <w:top w:w="85" w:type="dxa"/>
              <w:bottom w:w="85" w:type="dxa"/>
              <w:left w:w="85" w:type="dxa"/>
              <w:right w:w="85" w:type="dxa"/>
            </w:tcMar>
            <w:shd w:fill="FFFFFF"/>
          </w:tcPr>
          <w:p>
            <w:pPr>
              <w:spacing w:after="40" w:before="40" w:line="240" w:lineRule="auto"/>
              <w:jc w:val="left"/>
            </w:pPr>
            <w:r>
              <w:rPr>
                <w:rFonts w:ascii="Arial" w:hAnsi="Arial" w:eastAsia="Arial" w:cs="Arial"/>
                <w:color w:val="000000"/>
                <w:sz w:val="16"/>
              </w:rPr>
              <w:t>Cash capital expenditure in USD billions</w:t>
            </w:r>
          </w:p>
        </w:tc>
        <w:tc>
          <w:tcPr>
            <w:tcW w:type="dxa" w:w="2304"/>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115.9</w:t>
            </w:r>
          </w:p>
        </w:tc>
        <w:tc>
          <w:tcPr>
            <w:tcW w:type="dxa" w:w="2304"/>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129.6</w:t>
            </w:r>
          </w:p>
        </w:tc>
      </w:tr>
      <w:tr>
        <w:trPr>
          <w:cantSplit/>
        </w:trPr>
        <w:tc>
          <w:tcPr>
            <w:tcW w:type="dxa" w:w="4968"/>
            <w:vAlign w:val="center"/>
            <w:tcMar>
              <w:top w:w="85" w:type="dxa"/>
              <w:bottom w:w="85" w:type="dxa"/>
              <w:left w:w="85" w:type="dxa"/>
              <w:right w:w="85" w:type="dxa"/>
            </w:tcMar>
            <w:shd w:fill="E5E5E5"/>
          </w:tcPr>
          <w:p>
            <w:pPr>
              <w:spacing w:after="40" w:before="40" w:line="240" w:lineRule="auto"/>
              <w:jc w:val="left"/>
            </w:pPr>
            <w:r>
              <w:rPr>
                <w:rFonts w:ascii="Arial" w:hAnsi="Arial" w:eastAsia="Arial" w:cs="Arial"/>
                <w:color w:val="000000"/>
                <w:sz w:val="16"/>
              </w:rPr>
              <w:t>Free cash flow in USD billions</w:t>
            </w:r>
          </w:p>
        </w:tc>
        <w:tc>
          <w:tcPr>
            <w:tcW w:type="dxa" w:w="2304"/>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67.0</w:t>
            </w:r>
          </w:p>
        </w:tc>
        <w:tc>
          <w:tcPr>
            <w:tcW w:type="dxa" w:w="2304"/>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255.7</w:t>
            </w:r>
          </w:p>
        </w:tc>
      </w:tr>
      <w:tr>
        <w:trPr>
          <w:cantSplit/>
        </w:trPr>
        <w:tc>
          <w:tcPr>
            <w:tcW w:type="dxa" w:w="4968"/>
            <w:vAlign w:val="center"/>
            <w:tcMar>
              <w:top w:w="85" w:type="dxa"/>
              <w:bottom w:w="85" w:type="dxa"/>
              <w:left w:w="85" w:type="dxa"/>
              <w:right w:w="85" w:type="dxa"/>
            </w:tcMar>
            <w:shd w:fill="FFFFFF"/>
          </w:tcPr>
          <w:p>
            <w:pPr>
              <w:spacing w:after="40" w:before="40" w:line="240" w:lineRule="auto"/>
              <w:jc w:val="left"/>
            </w:pPr>
            <w:r>
              <w:rPr>
                <w:rFonts w:ascii="Arial" w:hAnsi="Arial" w:eastAsia="Arial" w:cs="Arial"/>
                <w:color w:val="000000"/>
                <w:sz w:val="16"/>
              </w:rPr>
              <w:t>Diluted earnings per share in USD</w:t>
            </w:r>
          </w:p>
        </w:tc>
        <w:tc>
          <w:tcPr>
            <w:tcW w:type="dxa" w:w="2304"/>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17.95</w:t>
            </w:r>
          </w:p>
        </w:tc>
        <w:tc>
          <w:tcPr>
            <w:tcW w:type="dxa" w:w="2304"/>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27.00</w:t>
            </w:r>
          </w:p>
        </w:tc>
      </w:tr>
    </w:tbl>
    <w:p>
      <w:pPr>
        <w:spacing w:after="0"/>
        <w:jc w:val="left"/>
      </w:pPr>
    </w:p>
    <w:p>
      <w:pPr>
        <w:jc w:val="left"/>
      </w:pPr>
      <w:r>
        <w:rPr>
          <w:rFonts w:ascii="Arial" w:hAnsi="Arial" w:eastAsia="Arial" w:cs="Arial"/>
          <w:color w:val="000000"/>
          <w:sz w:val="18"/>
        </w:rPr>
        <w:t>The historical period contains exactly ten fiscal years, FY2017 through FY2026. FY2016 provides opening balances only. The forecast covers FY2027 through FY2031 in Base, Upside and Downside scenarios. Each fiscal year ends on 30 June. Workbook amounts are USD millions, with per-share amounts and ratios labeled separately.</w:t>
      </w:r>
    </w:p>
    <w:p>
      <w:pPr>
        <w:jc w:val="left"/>
      </w:pPr>
      <w:r>
        <w:rPr>
          <w:rFonts w:ascii="Arial" w:hAnsi="Arial" w:eastAsia="Arial" w:cs="Arial"/>
          <w:color w:val="000000"/>
          <w:sz w:val="18"/>
        </w:rPr>
        <w:t>The workbook includes distinct Equity Research, Investment Banking, Private Equity and FP&amp;A views. The project provides an operating forecast for subsequent valuation work. The investment thesis and valuation will be developed in separate portfolio projects.</w:t>
      </w:r>
    </w:p>
    <w:p>
      <w:pPr>
        <w:jc w:val="left"/>
      </w:pPr>
      <w:r>
        <w:rPr>
          <w:rFonts w:ascii="Arial" w:hAnsi="Arial" w:eastAsia="Arial" w:cs="Arial"/>
          <w:color w:val="000000"/>
          <w:sz w:val="18"/>
        </w:rPr>
        <w:br w:type="page"/>
      </w:r>
    </w:p>
    <w:p>
      <w:pPr>
        <w:pStyle w:val="Heading1"/>
        <w:jc w:val="center"/>
      </w:pPr>
      <w:r>
        <w:rPr>
          <w:rFonts w:ascii="Arial" w:hAnsi="Arial" w:eastAsia="Arial" w:cs="Arial"/>
          <w:color w:val="000000"/>
          <w:sz w:val="21"/>
        </w:rPr>
        <w:t>Data sources and historical comparability</w:t>
      </w:r>
    </w:p>
    <w:p>
      <w:pPr>
        <w:pStyle w:val="Heading2"/>
        <w:jc w:val="left"/>
      </w:pPr>
      <w:r>
        <w:rPr>
          <w:rFonts w:ascii="Arial" w:hAnsi="Arial" w:eastAsia="Arial" w:cs="Arial"/>
          <w:color w:val="000000"/>
          <w:sz w:val="18"/>
        </w:rPr>
        <w:t>Primary reporting basis</w:t>
      </w:r>
    </w:p>
    <w:p>
      <w:pPr>
        <w:jc w:val="left"/>
      </w:pPr>
      <w:r>
        <w:rPr>
          <w:rFonts w:ascii="Arial" w:hAnsi="Arial" w:eastAsia="Arial" w:cs="Arial"/>
          <w:color w:val="000000"/>
          <w:sz w:val="18"/>
        </w:rPr>
        <w:t>The income statement, balance sheet and cash flow statement come from Microsoft's annual reports and its FY2026 Form 10-K. Each historical statement uses the latest comparative presentation available by the information cutoff. This avoids combining an original number with a later restatement without recording its origin.</w:t>
      </w:r>
    </w:p>
    <w:p>
      <w:pPr>
        <w:jc w:val="left"/>
      </w:pPr>
      <w:r>
        <w:rPr>
          <w:rFonts w:ascii="Arial" w:hAnsi="Arial" w:eastAsia="Arial" w:cs="Arial"/>
          <w:color w:val="000000"/>
          <w:sz w:val="18"/>
        </w:rPr>
        <w:t>The long-form historical CSV records the fiscal year, statement, metric, value, unit, source report year, source table index and URL. The source tables and selected SEC XBRL facts are included as extracts. The source manifest records the URLs and hashes of the originally retrieved documents. The complete original HTML documents are obtained with the supplied source-download script when needed.</w:t>
      </w:r>
    </w:p>
    <w:tbl>
      <w:tblPr>
        <w:tblW w:type="auto" w:w="0"/>
        <w:jc w:val="center"/>
        <w:tblLayout w:type="fixed"/>
        <w:tblLook w:firstColumn="1" w:firstRow="1" w:lastColumn="0" w:lastRow="0" w:noHBand="0" w:noVBand="1" w:val="04A0"/>
        <w:tblBorders>
          <w:top w:val="single" w:sz="4" w:color="000000"/>
          <w:bottom w:val="single" w:sz="4" w:color="000000"/>
          <w:insideH w:val="nil" w:sz="4" w:color="000000"/>
          <w:left w:val="nil"/>
          <w:right w:val="nil"/>
          <w:insideV w:val="nil"/>
        </w:tblBorders>
      </w:tblPr>
      <w:tblGrid>
        <w:gridCol w:w="3528"/>
        <w:gridCol w:w="6048"/>
      </w:tblGrid>
      <w:tr>
        <w:trPr>
          <w:cantSplit/>
          <w:tblHeader/>
        </w:trPr>
        <w:tc>
          <w:tcPr>
            <w:tcW w:type="dxa" w:w="3528"/>
            <w:vAlign w:val="center"/>
            <w:tcMar>
              <w:top w:w="85" w:type="dxa"/>
              <w:bottom w:w="85" w:type="dxa"/>
              <w:left w:w="85" w:type="dxa"/>
              <w:right w:w="85" w:type="dxa"/>
            </w:tcMar>
            <w:shd w:fill="FFFFFF"/>
            <w:tcBorders>
              <w:bottom w:val="single" w:sz="4" w:color="000000"/>
            </w:tcBorders>
          </w:tcPr>
          <w:p>
            <w:pPr>
              <w:spacing w:after="40" w:before="40" w:line="240" w:lineRule="auto"/>
              <w:jc w:val="left"/>
            </w:pPr>
            <w:r>
              <w:rPr>
                <w:rFonts w:ascii="Arial" w:hAnsi="Arial" w:eastAsia="Arial" w:cs="Arial"/>
                <w:b/>
                <w:color w:val="000000"/>
                <w:sz w:val="16"/>
              </w:rPr>
              <w:t>Evidence</w:t>
            </w:r>
          </w:p>
        </w:tc>
        <w:tc>
          <w:tcPr>
            <w:tcW w:type="dxa" w:w="6048"/>
            <w:vAlign w:val="center"/>
            <w:tcMar>
              <w:top w:w="85" w:type="dxa"/>
              <w:bottom w:w="85" w:type="dxa"/>
              <w:left w:w="85" w:type="dxa"/>
              <w:right w:w="85" w:type="dxa"/>
            </w:tcMar>
            <w:shd w:fill="FFFFFF"/>
            <w:tcBorders>
              <w:bottom w:val="single" w:sz="4" w:color="000000"/>
            </w:tcBorders>
          </w:tcPr>
          <w:p>
            <w:pPr>
              <w:spacing w:after="40" w:before="40" w:line="240" w:lineRule="auto"/>
              <w:jc w:val="center"/>
            </w:pPr>
            <w:r>
              <w:rPr>
                <w:rFonts w:ascii="Arial" w:hAnsi="Arial" w:eastAsia="Arial" w:cs="Arial"/>
                <w:b/>
                <w:color w:val="000000"/>
                <w:sz w:val="16"/>
              </w:rPr>
              <w:t>Purpose</w:t>
            </w:r>
          </w:p>
        </w:tc>
      </w:tr>
      <w:tr>
        <w:trPr>
          <w:cantSplit/>
        </w:trPr>
        <w:tc>
          <w:tcPr>
            <w:tcW w:type="dxa" w:w="3528"/>
            <w:vAlign w:val="center"/>
            <w:tcMar>
              <w:top w:w="85" w:type="dxa"/>
              <w:bottom w:w="85" w:type="dxa"/>
              <w:left w:w="85" w:type="dxa"/>
              <w:right w:w="85" w:type="dxa"/>
            </w:tcMar>
            <w:shd w:fill="E5E5E5"/>
          </w:tcPr>
          <w:p>
            <w:pPr>
              <w:spacing w:after="40" w:before="40" w:line="240" w:lineRule="auto"/>
              <w:jc w:val="left"/>
            </w:pPr>
            <w:r>
              <w:rPr>
                <w:rFonts w:ascii="Arial" w:hAnsi="Arial" w:eastAsia="Arial" w:cs="Arial"/>
                <w:color w:val="000000"/>
                <w:sz w:val="16"/>
              </w:rPr>
              <w:t>Microsoft annual reports</w:t>
            </w:r>
          </w:p>
        </w:tc>
        <w:tc>
          <w:tcPr>
            <w:tcW w:type="dxa" w:w="6048"/>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Audited historical statements and comparative figures</w:t>
            </w:r>
          </w:p>
        </w:tc>
      </w:tr>
      <w:tr>
        <w:trPr>
          <w:cantSplit/>
        </w:trPr>
        <w:tc>
          <w:tcPr>
            <w:tcW w:type="dxa" w:w="3528"/>
            <w:vAlign w:val="center"/>
            <w:tcMar>
              <w:top w:w="85" w:type="dxa"/>
              <w:bottom w:w="85" w:type="dxa"/>
              <w:left w:w="85" w:type="dxa"/>
              <w:right w:w="85" w:type="dxa"/>
            </w:tcMar>
            <w:shd w:fill="FFFFFF"/>
          </w:tcPr>
          <w:p>
            <w:pPr>
              <w:spacing w:after="40" w:before="40" w:line="240" w:lineRule="auto"/>
              <w:jc w:val="left"/>
            </w:pPr>
            <w:r>
              <w:rPr>
                <w:rFonts w:ascii="Arial" w:hAnsi="Arial" w:eastAsia="Arial" w:cs="Arial"/>
                <w:color w:val="000000"/>
                <w:sz w:val="16"/>
              </w:rPr>
              <w:t>FY2026 Form 10-K</w:t>
            </w:r>
          </w:p>
        </w:tc>
        <w:tc>
          <w:tcPr>
            <w:tcW w:type="dxa" w:w="6048"/>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Latest statements, segments, debt and lease disclosures</w:t>
            </w:r>
          </w:p>
        </w:tc>
      </w:tr>
      <w:tr>
        <w:trPr>
          <w:cantSplit/>
        </w:trPr>
        <w:tc>
          <w:tcPr>
            <w:tcW w:type="dxa" w:w="3528"/>
            <w:vAlign w:val="center"/>
            <w:tcMar>
              <w:top w:w="85" w:type="dxa"/>
              <w:bottom w:w="85" w:type="dxa"/>
              <w:left w:w="85" w:type="dxa"/>
              <w:right w:w="85" w:type="dxa"/>
            </w:tcMar>
            <w:shd w:fill="E5E5E5"/>
          </w:tcPr>
          <w:p>
            <w:pPr>
              <w:spacing w:after="40" w:before="40" w:line="240" w:lineRule="auto"/>
              <w:jc w:val="left"/>
            </w:pPr>
            <w:r>
              <w:rPr>
                <w:rFonts w:ascii="Arial" w:hAnsi="Arial" w:eastAsia="Arial" w:cs="Arial"/>
                <w:color w:val="000000"/>
                <w:sz w:val="16"/>
              </w:rPr>
              <w:t>Selected SEC Company Facts</w:t>
            </w:r>
          </w:p>
        </w:tc>
        <w:tc>
          <w:tcPr>
            <w:tcW w:type="dxa" w:w="6048"/>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Independent period and amount controls</w:t>
            </w:r>
          </w:p>
        </w:tc>
      </w:tr>
      <w:tr>
        <w:trPr>
          <w:cantSplit/>
        </w:trPr>
        <w:tc>
          <w:tcPr>
            <w:tcW w:type="dxa" w:w="3528"/>
            <w:vAlign w:val="center"/>
            <w:tcMar>
              <w:top w:w="85" w:type="dxa"/>
              <w:bottom w:w="85" w:type="dxa"/>
              <w:left w:w="85" w:type="dxa"/>
              <w:right w:w="85" w:type="dxa"/>
            </w:tcMar>
            <w:shd w:fill="FFFFFF"/>
          </w:tcPr>
          <w:p>
            <w:pPr>
              <w:spacing w:after="40" w:before="40" w:line="240" w:lineRule="auto"/>
              <w:jc w:val="left"/>
            </w:pPr>
            <w:r>
              <w:rPr>
                <w:rFonts w:ascii="Arial" w:hAnsi="Arial" w:eastAsia="Arial" w:cs="Arial"/>
                <w:color w:val="000000"/>
                <w:sz w:val="16"/>
              </w:rPr>
              <w:t>Source table extracts</w:t>
            </w:r>
          </w:p>
        </w:tc>
        <w:tc>
          <w:tcPr>
            <w:tcW w:type="dxa" w:w="6048"/>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Offline evidence for statement line items</w:t>
            </w:r>
          </w:p>
        </w:tc>
      </w:tr>
    </w:tbl>
    <w:p>
      <w:pPr>
        <w:spacing w:after="0"/>
        <w:jc w:val="left"/>
      </w:pPr>
    </w:p>
    <w:p>
      <w:pPr>
        <w:pStyle w:val="Heading2"/>
        <w:jc w:val="left"/>
      </w:pPr>
      <w:r>
        <w:rPr>
          <w:rFonts w:ascii="Arial" w:hAnsi="Arial" w:eastAsia="Arial" w:cs="Arial"/>
          <w:color w:val="000000"/>
          <w:sz w:val="18"/>
        </w:rPr>
        <w:t>Accounting changes and segment definitions</w:t>
      </w:r>
    </w:p>
    <w:p>
      <w:pPr>
        <w:jc w:val="left"/>
      </w:pPr>
      <w:r>
        <w:rPr>
          <w:rFonts w:ascii="Arial" w:hAnsi="Arial" w:eastAsia="Arial" w:cs="Arial"/>
          <w:color w:val="000000"/>
          <w:sz w:val="18"/>
        </w:rPr>
        <w:t>FY2017 contains retrospectively presented revenue and lease accounting figures. An opening statement can come from a different annual report from the following year's income or cash flow statement. Therefore, a historical cash-flow working-capital line is kept as reported, rather than replaced with a simple difference between two separately presented balance sheets.</w:t>
      </w:r>
    </w:p>
    <w:p>
      <w:pPr>
        <w:jc w:val="left"/>
      </w:pPr>
      <w:r>
        <w:rPr>
          <w:rFonts w:ascii="Arial" w:hAnsi="Arial" w:eastAsia="Arial" w:cs="Arial"/>
          <w:color w:val="000000"/>
          <w:sz w:val="18"/>
        </w:rPr>
        <w:t>The segment series is not a single unchanged reporting definition over the decade. FY2023 through FY2026 use the current definition available in the later reports. Earlier years retain their latest available historical presentation. The workbook marks FY2023 segment growth unavailable across the definition change. Company-wide totals remain useful, but a long segment growth comparison requires attention to the source presentation.</w:t>
      </w:r>
    </w:p>
    <w:p>
      <w:pPr>
        <w:pStyle w:val="Heading2"/>
        <w:jc w:val="left"/>
      </w:pPr>
      <w:r>
        <w:rPr>
          <w:rFonts w:ascii="Arial" w:hAnsi="Arial" w:eastAsia="Arial" w:cs="Arial"/>
          <w:color w:val="000000"/>
          <w:sz w:val="18"/>
        </w:rPr>
        <w:t>Disclosures and precision</w:t>
      </w:r>
    </w:p>
    <w:p>
      <w:pPr>
        <w:jc w:val="left"/>
      </w:pPr>
      <w:r>
        <w:rPr>
          <w:rFonts w:ascii="Arial" w:hAnsi="Arial" w:eastAsia="Arial" w:cs="Arial"/>
          <w:color w:val="000000"/>
          <w:sz w:val="18"/>
        </w:rPr>
        <w:t>Some note figures are disclosed in billions or rounded millions. Depreciation and intangible amortization are kept distinct from the cash-flow line labeled depreciation, amortization and other. The difference is a disclosed presentation issue, not an amount that should be silently forced to zero. Reported data, derived historical ratios and forecast assumptions have separate roles in the model.</w:t>
      </w:r>
    </w:p>
    <w:p>
      <w:pPr>
        <w:jc w:val="left"/>
      </w:pPr>
      <w:r>
        <w:rPr>
          <w:rFonts w:ascii="Arial" w:hAnsi="Arial" w:eastAsia="Arial" w:cs="Arial"/>
          <w:color w:val="000000"/>
          <w:sz w:val="18"/>
        </w:rPr>
        <w:br w:type="page"/>
      </w:r>
    </w:p>
    <w:p>
      <w:pPr>
        <w:pStyle w:val="Heading1"/>
        <w:jc w:val="center"/>
      </w:pPr>
      <w:r>
        <w:rPr>
          <w:rFonts w:ascii="Arial" w:hAnsi="Arial" w:eastAsia="Arial" w:cs="Arial"/>
          <w:color w:val="000000"/>
          <w:sz w:val="21"/>
        </w:rPr>
        <w:t>Ten years of historical performance</w:t>
      </w:r>
    </w:p>
    <w:tbl>
      <w:tblPr>
        <w:tblW w:type="auto" w:w="0"/>
        <w:jc w:val="center"/>
        <w:tblLayout w:type="fixed"/>
        <w:tblLook w:firstColumn="1" w:firstRow="1" w:lastColumn="0" w:lastRow="0" w:noHBand="0" w:noVBand="1" w:val="04A0"/>
        <w:tblBorders>
          <w:top w:val="single" w:sz="4" w:color="000000"/>
          <w:bottom w:val="single" w:sz="4" w:color="000000"/>
          <w:insideH w:val="nil" w:sz="4" w:color="000000"/>
          <w:left w:val="nil"/>
          <w:right w:val="nil"/>
          <w:insideV w:val="nil"/>
        </w:tblBorders>
      </w:tblPr>
      <w:tblGrid>
        <w:gridCol w:w="1512"/>
        <w:gridCol w:w="2016"/>
        <w:gridCol w:w="2016"/>
        <w:gridCol w:w="2016"/>
        <w:gridCol w:w="2016"/>
      </w:tblGrid>
      <w:tr>
        <w:trPr>
          <w:cantSplit/>
          <w:tblHeader/>
        </w:trPr>
        <w:tc>
          <w:tcPr>
            <w:tcW w:type="dxa" w:w="1512"/>
            <w:vAlign w:val="center"/>
            <w:tcMar>
              <w:top w:w="85" w:type="dxa"/>
              <w:bottom w:w="85" w:type="dxa"/>
              <w:left w:w="85" w:type="dxa"/>
              <w:right w:w="85" w:type="dxa"/>
            </w:tcMar>
            <w:shd w:fill="FFFFFF"/>
            <w:tcBorders>
              <w:bottom w:val="single" w:sz="4" w:color="000000"/>
            </w:tcBorders>
          </w:tcPr>
          <w:p>
            <w:pPr>
              <w:spacing w:after="40" w:before="40" w:line="240" w:lineRule="auto"/>
              <w:jc w:val="left"/>
            </w:pPr>
            <w:r>
              <w:rPr>
                <w:rFonts w:ascii="Arial" w:hAnsi="Arial" w:eastAsia="Arial" w:cs="Arial"/>
                <w:b/>
                <w:color w:val="000000"/>
                <w:sz w:val="16"/>
              </w:rPr>
              <w:t>Fiscal year</w:t>
            </w:r>
          </w:p>
        </w:tc>
        <w:tc>
          <w:tcPr>
            <w:tcW w:type="dxa" w:w="2016"/>
            <w:vAlign w:val="center"/>
            <w:tcMar>
              <w:top w:w="85" w:type="dxa"/>
              <w:bottom w:w="85" w:type="dxa"/>
              <w:left w:w="85" w:type="dxa"/>
              <w:right w:w="85" w:type="dxa"/>
            </w:tcMar>
            <w:shd w:fill="FFFFFF"/>
            <w:tcBorders>
              <w:bottom w:val="single" w:sz="4" w:color="000000"/>
            </w:tcBorders>
          </w:tcPr>
          <w:p>
            <w:pPr>
              <w:spacing w:after="40" w:before="40" w:line="240" w:lineRule="auto"/>
              <w:jc w:val="center"/>
            </w:pPr>
            <w:r>
              <w:rPr>
                <w:rFonts w:ascii="Arial" w:hAnsi="Arial" w:eastAsia="Arial" w:cs="Arial"/>
                <w:b/>
                <w:color w:val="000000"/>
                <w:sz w:val="16"/>
              </w:rPr>
              <w:t>Revenue</w:t>
            </w:r>
          </w:p>
        </w:tc>
        <w:tc>
          <w:tcPr>
            <w:tcW w:type="dxa" w:w="2016"/>
            <w:vAlign w:val="center"/>
            <w:tcMar>
              <w:top w:w="85" w:type="dxa"/>
              <w:bottom w:w="85" w:type="dxa"/>
              <w:left w:w="85" w:type="dxa"/>
              <w:right w:w="85" w:type="dxa"/>
            </w:tcMar>
            <w:shd w:fill="FFFFFF"/>
            <w:tcBorders>
              <w:bottom w:val="single" w:sz="4" w:color="000000"/>
            </w:tcBorders>
          </w:tcPr>
          <w:p>
            <w:pPr>
              <w:spacing w:after="40" w:before="40" w:line="240" w:lineRule="auto"/>
              <w:jc w:val="center"/>
            </w:pPr>
            <w:r>
              <w:rPr>
                <w:rFonts w:ascii="Arial" w:hAnsi="Arial" w:eastAsia="Arial" w:cs="Arial"/>
                <w:b/>
                <w:color w:val="000000"/>
                <w:sz w:val="16"/>
              </w:rPr>
              <w:t>Op margin</w:t>
            </w:r>
          </w:p>
        </w:tc>
        <w:tc>
          <w:tcPr>
            <w:tcW w:type="dxa" w:w="2016"/>
            <w:vAlign w:val="center"/>
            <w:tcMar>
              <w:top w:w="85" w:type="dxa"/>
              <w:bottom w:w="85" w:type="dxa"/>
              <w:left w:w="85" w:type="dxa"/>
              <w:right w:w="85" w:type="dxa"/>
            </w:tcMar>
            <w:shd w:fill="FFFFFF"/>
            <w:tcBorders>
              <w:bottom w:val="single" w:sz="4" w:color="000000"/>
            </w:tcBorders>
          </w:tcPr>
          <w:p>
            <w:pPr>
              <w:spacing w:after="40" w:before="40" w:line="240" w:lineRule="auto"/>
              <w:jc w:val="center"/>
            </w:pPr>
            <w:r>
              <w:rPr>
                <w:rFonts w:ascii="Arial" w:hAnsi="Arial" w:eastAsia="Arial" w:cs="Arial"/>
                <w:b/>
                <w:color w:val="000000"/>
                <w:sz w:val="16"/>
              </w:rPr>
              <w:t>Cash capex</w:t>
            </w:r>
          </w:p>
        </w:tc>
        <w:tc>
          <w:tcPr>
            <w:tcW w:type="dxa" w:w="2016"/>
            <w:vAlign w:val="center"/>
            <w:tcMar>
              <w:top w:w="85" w:type="dxa"/>
              <w:bottom w:w="85" w:type="dxa"/>
              <w:left w:w="85" w:type="dxa"/>
              <w:right w:w="85" w:type="dxa"/>
            </w:tcMar>
            <w:shd w:fill="FFFFFF"/>
            <w:tcBorders>
              <w:bottom w:val="single" w:sz="4" w:color="000000"/>
            </w:tcBorders>
          </w:tcPr>
          <w:p>
            <w:pPr>
              <w:spacing w:after="40" w:before="40" w:line="240" w:lineRule="auto"/>
              <w:jc w:val="center"/>
            </w:pPr>
            <w:r>
              <w:rPr>
                <w:rFonts w:ascii="Arial" w:hAnsi="Arial" w:eastAsia="Arial" w:cs="Arial"/>
                <w:b/>
                <w:color w:val="000000"/>
                <w:sz w:val="16"/>
              </w:rPr>
              <w:t>FCF</w:t>
            </w:r>
          </w:p>
        </w:tc>
      </w:tr>
      <w:tr>
        <w:trPr>
          <w:cantSplit/>
        </w:trPr>
        <w:tc>
          <w:tcPr>
            <w:tcW w:type="dxa" w:w="1512"/>
            <w:vAlign w:val="center"/>
            <w:tcMar>
              <w:top w:w="85" w:type="dxa"/>
              <w:bottom w:w="85" w:type="dxa"/>
              <w:left w:w="85" w:type="dxa"/>
              <w:right w:w="85" w:type="dxa"/>
            </w:tcMar>
            <w:shd w:fill="E5E5E5"/>
          </w:tcPr>
          <w:p>
            <w:pPr>
              <w:spacing w:after="40" w:before="40" w:line="240" w:lineRule="auto"/>
              <w:jc w:val="left"/>
            </w:pPr>
            <w:r>
              <w:rPr>
                <w:rFonts w:ascii="Arial" w:hAnsi="Arial" w:eastAsia="Arial" w:cs="Arial"/>
                <w:color w:val="000000"/>
                <w:sz w:val="16"/>
              </w:rPr>
              <w:t>2017</w:t>
            </w:r>
          </w:p>
        </w:tc>
        <w:tc>
          <w:tcPr>
            <w:tcW w:type="dxa" w:w="2016"/>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96.6</w:t>
            </w:r>
          </w:p>
        </w:tc>
        <w:tc>
          <w:tcPr>
            <w:tcW w:type="dxa" w:w="2016"/>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30.1%</w:t>
            </w:r>
          </w:p>
        </w:tc>
        <w:tc>
          <w:tcPr>
            <w:tcW w:type="dxa" w:w="2016"/>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8.1</w:t>
            </w:r>
          </w:p>
        </w:tc>
        <w:tc>
          <w:tcPr>
            <w:tcW w:type="dxa" w:w="2016"/>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31.4</w:t>
            </w:r>
          </w:p>
        </w:tc>
      </w:tr>
      <w:tr>
        <w:trPr>
          <w:cantSplit/>
        </w:trPr>
        <w:tc>
          <w:tcPr>
            <w:tcW w:type="dxa" w:w="1512"/>
            <w:vAlign w:val="center"/>
            <w:tcMar>
              <w:top w:w="85" w:type="dxa"/>
              <w:bottom w:w="85" w:type="dxa"/>
              <w:left w:w="85" w:type="dxa"/>
              <w:right w:w="85" w:type="dxa"/>
            </w:tcMar>
            <w:shd w:fill="FFFFFF"/>
          </w:tcPr>
          <w:p>
            <w:pPr>
              <w:spacing w:after="40" w:before="40" w:line="240" w:lineRule="auto"/>
              <w:jc w:val="left"/>
            </w:pPr>
            <w:r>
              <w:rPr>
                <w:rFonts w:ascii="Arial" w:hAnsi="Arial" w:eastAsia="Arial" w:cs="Arial"/>
                <w:color w:val="000000"/>
                <w:sz w:val="16"/>
              </w:rPr>
              <w:t>2018</w:t>
            </w:r>
          </w:p>
        </w:tc>
        <w:tc>
          <w:tcPr>
            <w:tcW w:type="dxa" w:w="2016"/>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110.4</w:t>
            </w:r>
          </w:p>
        </w:tc>
        <w:tc>
          <w:tcPr>
            <w:tcW w:type="dxa" w:w="2016"/>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31.8%</w:t>
            </w:r>
          </w:p>
        </w:tc>
        <w:tc>
          <w:tcPr>
            <w:tcW w:type="dxa" w:w="2016"/>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11.6</w:t>
            </w:r>
          </w:p>
        </w:tc>
        <w:tc>
          <w:tcPr>
            <w:tcW w:type="dxa" w:w="2016"/>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32.3</w:t>
            </w:r>
          </w:p>
        </w:tc>
      </w:tr>
      <w:tr>
        <w:trPr>
          <w:cantSplit/>
        </w:trPr>
        <w:tc>
          <w:tcPr>
            <w:tcW w:type="dxa" w:w="1512"/>
            <w:vAlign w:val="center"/>
            <w:tcMar>
              <w:top w:w="85" w:type="dxa"/>
              <w:bottom w:w="85" w:type="dxa"/>
              <w:left w:w="85" w:type="dxa"/>
              <w:right w:w="85" w:type="dxa"/>
            </w:tcMar>
            <w:shd w:fill="E5E5E5"/>
          </w:tcPr>
          <w:p>
            <w:pPr>
              <w:spacing w:after="40" w:before="40" w:line="240" w:lineRule="auto"/>
              <w:jc w:val="left"/>
            </w:pPr>
            <w:r>
              <w:rPr>
                <w:rFonts w:ascii="Arial" w:hAnsi="Arial" w:eastAsia="Arial" w:cs="Arial"/>
                <w:color w:val="000000"/>
                <w:sz w:val="16"/>
              </w:rPr>
              <w:t>2019</w:t>
            </w:r>
          </w:p>
        </w:tc>
        <w:tc>
          <w:tcPr>
            <w:tcW w:type="dxa" w:w="2016"/>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125.8</w:t>
            </w:r>
          </w:p>
        </w:tc>
        <w:tc>
          <w:tcPr>
            <w:tcW w:type="dxa" w:w="2016"/>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34.1%</w:t>
            </w:r>
          </w:p>
        </w:tc>
        <w:tc>
          <w:tcPr>
            <w:tcW w:type="dxa" w:w="2016"/>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13.9</w:t>
            </w:r>
          </w:p>
        </w:tc>
        <w:tc>
          <w:tcPr>
            <w:tcW w:type="dxa" w:w="2016"/>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38.3</w:t>
            </w:r>
          </w:p>
        </w:tc>
      </w:tr>
      <w:tr>
        <w:trPr>
          <w:cantSplit/>
        </w:trPr>
        <w:tc>
          <w:tcPr>
            <w:tcW w:type="dxa" w:w="1512"/>
            <w:vAlign w:val="center"/>
            <w:tcMar>
              <w:top w:w="85" w:type="dxa"/>
              <w:bottom w:w="85" w:type="dxa"/>
              <w:left w:w="85" w:type="dxa"/>
              <w:right w:w="85" w:type="dxa"/>
            </w:tcMar>
            <w:shd w:fill="FFFFFF"/>
          </w:tcPr>
          <w:p>
            <w:pPr>
              <w:spacing w:after="40" w:before="40" w:line="240" w:lineRule="auto"/>
              <w:jc w:val="left"/>
            </w:pPr>
            <w:r>
              <w:rPr>
                <w:rFonts w:ascii="Arial" w:hAnsi="Arial" w:eastAsia="Arial" w:cs="Arial"/>
                <w:color w:val="000000"/>
                <w:sz w:val="16"/>
              </w:rPr>
              <w:t>2020</w:t>
            </w:r>
          </w:p>
        </w:tc>
        <w:tc>
          <w:tcPr>
            <w:tcW w:type="dxa" w:w="2016"/>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143.0</w:t>
            </w:r>
          </w:p>
        </w:tc>
        <w:tc>
          <w:tcPr>
            <w:tcW w:type="dxa" w:w="2016"/>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37.0%</w:t>
            </w:r>
          </w:p>
        </w:tc>
        <w:tc>
          <w:tcPr>
            <w:tcW w:type="dxa" w:w="2016"/>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15.4</w:t>
            </w:r>
          </w:p>
        </w:tc>
        <w:tc>
          <w:tcPr>
            <w:tcW w:type="dxa" w:w="2016"/>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45.2</w:t>
            </w:r>
          </w:p>
        </w:tc>
      </w:tr>
      <w:tr>
        <w:trPr>
          <w:cantSplit/>
        </w:trPr>
        <w:tc>
          <w:tcPr>
            <w:tcW w:type="dxa" w:w="1512"/>
            <w:vAlign w:val="center"/>
            <w:tcMar>
              <w:top w:w="85" w:type="dxa"/>
              <w:bottom w:w="85" w:type="dxa"/>
              <w:left w:w="85" w:type="dxa"/>
              <w:right w:w="85" w:type="dxa"/>
            </w:tcMar>
            <w:shd w:fill="E5E5E5"/>
          </w:tcPr>
          <w:p>
            <w:pPr>
              <w:spacing w:after="40" w:before="40" w:line="240" w:lineRule="auto"/>
              <w:jc w:val="left"/>
            </w:pPr>
            <w:r>
              <w:rPr>
                <w:rFonts w:ascii="Arial" w:hAnsi="Arial" w:eastAsia="Arial" w:cs="Arial"/>
                <w:color w:val="000000"/>
                <w:sz w:val="16"/>
              </w:rPr>
              <w:t>2021</w:t>
            </w:r>
          </w:p>
        </w:tc>
        <w:tc>
          <w:tcPr>
            <w:tcW w:type="dxa" w:w="2016"/>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168.1</w:t>
            </w:r>
          </w:p>
        </w:tc>
        <w:tc>
          <w:tcPr>
            <w:tcW w:type="dxa" w:w="2016"/>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41.6%</w:t>
            </w:r>
          </w:p>
        </w:tc>
        <w:tc>
          <w:tcPr>
            <w:tcW w:type="dxa" w:w="2016"/>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20.6</w:t>
            </w:r>
          </w:p>
        </w:tc>
        <w:tc>
          <w:tcPr>
            <w:tcW w:type="dxa" w:w="2016"/>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56.1</w:t>
            </w:r>
          </w:p>
        </w:tc>
      </w:tr>
      <w:tr>
        <w:trPr>
          <w:cantSplit/>
        </w:trPr>
        <w:tc>
          <w:tcPr>
            <w:tcW w:type="dxa" w:w="1512"/>
            <w:vAlign w:val="center"/>
            <w:tcMar>
              <w:top w:w="85" w:type="dxa"/>
              <w:bottom w:w="85" w:type="dxa"/>
              <w:left w:w="85" w:type="dxa"/>
              <w:right w:w="85" w:type="dxa"/>
            </w:tcMar>
            <w:shd w:fill="FFFFFF"/>
          </w:tcPr>
          <w:p>
            <w:pPr>
              <w:spacing w:after="40" w:before="40" w:line="240" w:lineRule="auto"/>
              <w:jc w:val="left"/>
            </w:pPr>
            <w:r>
              <w:rPr>
                <w:rFonts w:ascii="Arial" w:hAnsi="Arial" w:eastAsia="Arial" w:cs="Arial"/>
                <w:color w:val="000000"/>
                <w:sz w:val="16"/>
              </w:rPr>
              <w:t>2022</w:t>
            </w:r>
          </w:p>
        </w:tc>
        <w:tc>
          <w:tcPr>
            <w:tcW w:type="dxa" w:w="2016"/>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198.3</w:t>
            </w:r>
          </w:p>
        </w:tc>
        <w:tc>
          <w:tcPr>
            <w:tcW w:type="dxa" w:w="2016"/>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42.1%</w:t>
            </w:r>
          </w:p>
        </w:tc>
        <w:tc>
          <w:tcPr>
            <w:tcW w:type="dxa" w:w="2016"/>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23.9</w:t>
            </w:r>
          </w:p>
        </w:tc>
        <w:tc>
          <w:tcPr>
            <w:tcW w:type="dxa" w:w="2016"/>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65.1</w:t>
            </w:r>
          </w:p>
        </w:tc>
      </w:tr>
      <w:tr>
        <w:trPr>
          <w:cantSplit/>
        </w:trPr>
        <w:tc>
          <w:tcPr>
            <w:tcW w:type="dxa" w:w="1512"/>
            <w:vAlign w:val="center"/>
            <w:tcMar>
              <w:top w:w="85" w:type="dxa"/>
              <w:bottom w:w="85" w:type="dxa"/>
              <w:left w:w="85" w:type="dxa"/>
              <w:right w:w="85" w:type="dxa"/>
            </w:tcMar>
            <w:shd w:fill="E5E5E5"/>
          </w:tcPr>
          <w:p>
            <w:pPr>
              <w:spacing w:after="40" w:before="40" w:line="240" w:lineRule="auto"/>
              <w:jc w:val="left"/>
            </w:pPr>
            <w:r>
              <w:rPr>
                <w:rFonts w:ascii="Arial" w:hAnsi="Arial" w:eastAsia="Arial" w:cs="Arial"/>
                <w:color w:val="000000"/>
                <w:sz w:val="16"/>
              </w:rPr>
              <w:t>2023</w:t>
            </w:r>
          </w:p>
        </w:tc>
        <w:tc>
          <w:tcPr>
            <w:tcW w:type="dxa" w:w="2016"/>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211.9</w:t>
            </w:r>
          </w:p>
        </w:tc>
        <w:tc>
          <w:tcPr>
            <w:tcW w:type="dxa" w:w="2016"/>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41.8%</w:t>
            </w:r>
          </w:p>
        </w:tc>
        <w:tc>
          <w:tcPr>
            <w:tcW w:type="dxa" w:w="2016"/>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28.1</w:t>
            </w:r>
          </w:p>
        </w:tc>
        <w:tc>
          <w:tcPr>
            <w:tcW w:type="dxa" w:w="2016"/>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59.5</w:t>
            </w:r>
          </w:p>
        </w:tc>
      </w:tr>
      <w:tr>
        <w:trPr>
          <w:cantSplit/>
        </w:trPr>
        <w:tc>
          <w:tcPr>
            <w:tcW w:type="dxa" w:w="1512"/>
            <w:vAlign w:val="center"/>
            <w:tcMar>
              <w:top w:w="85" w:type="dxa"/>
              <w:bottom w:w="85" w:type="dxa"/>
              <w:left w:w="85" w:type="dxa"/>
              <w:right w:w="85" w:type="dxa"/>
            </w:tcMar>
            <w:shd w:fill="FFFFFF"/>
          </w:tcPr>
          <w:p>
            <w:pPr>
              <w:spacing w:after="40" w:before="40" w:line="240" w:lineRule="auto"/>
              <w:jc w:val="left"/>
            </w:pPr>
            <w:r>
              <w:rPr>
                <w:rFonts w:ascii="Arial" w:hAnsi="Arial" w:eastAsia="Arial" w:cs="Arial"/>
                <w:color w:val="000000"/>
                <w:sz w:val="16"/>
              </w:rPr>
              <w:t>2024</w:t>
            </w:r>
          </w:p>
        </w:tc>
        <w:tc>
          <w:tcPr>
            <w:tcW w:type="dxa" w:w="2016"/>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245.1</w:t>
            </w:r>
          </w:p>
        </w:tc>
        <w:tc>
          <w:tcPr>
            <w:tcW w:type="dxa" w:w="2016"/>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44.6%</w:t>
            </w:r>
          </w:p>
        </w:tc>
        <w:tc>
          <w:tcPr>
            <w:tcW w:type="dxa" w:w="2016"/>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44.5</w:t>
            </w:r>
          </w:p>
        </w:tc>
        <w:tc>
          <w:tcPr>
            <w:tcW w:type="dxa" w:w="2016"/>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74.1</w:t>
            </w:r>
          </w:p>
        </w:tc>
      </w:tr>
      <w:tr>
        <w:trPr>
          <w:cantSplit/>
        </w:trPr>
        <w:tc>
          <w:tcPr>
            <w:tcW w:type="dxa" w:w="1512"/>
            <w:vAlign w:val="center"/>
            <w:tcMar>
              <w:top w:w="85" w:type="dxa"/>
              <w:bottom w:w="85" w:type="dxa"/>
              <w:left w:w="85" w:type="dxa"/>
              <w:right w:w="85" w:type="dxa"/>
            </w:tcMar>
            <w:shd w:fill="E5E5E5"/>
          </w:tcPr>
          <w:p>
            <w:pPr>
              <w:spacing w:after="40" w:before="40" w:line="240" w:lineRule="auto"/>
              <w:jc w:val="left"/>
            </w:pPr>
            <w:r>
              <w:rPr>
                <w:rFonts w:ascii="Arial" w:hAnsi="Arial" w:eastAsia="Arial" w:cs="Arial"/>
                <w:color w:val="000000"/>
                <w:sz w:val="16"/>
              </w:rPr>
              <w:t>2025</w:t>
            </w:r>
          </w:p>
        </w:tc>
        <w:tc>
          <w:tcPr>
            <w:tcW w:type="dxa" w:w="2016"/>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281.7</w:t>
            </w:r>
          </w:p>
        </w:tc>
        <w:tc>
          <w:tcPr>
            <w:tcW w:type="dxa" w:w="2016"/>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45.6%</w:t>
            </w:r>
          </w:p>
        </w:tc>
        <w:tc>
          <w:tcPr>
            <w:tcW w:type="dxa" w:w="2016"/>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64.6</w:t>
            </w:r>
          </w:p>
        </w:tc>
        <w:tc>
          <w:tcPr>
            <w:tcW w:type="dxa" w:w="2016"/>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71.6</w:t>
            </w:r>
          </w:p>
        </w:tc>
      </w:tr>
      <w:tr>
        <w:trPr>
          <w:cantSplit/>
        </w:trPr>
        <w:tc>
          <w:tcPr>
            <w:tcW w:type="dxa" w:w="1512"/>
            <w:vAlign w:val="center"/>
            <w:tcMar>
              <w:top w:w="85" w:type="dxa"/>
              <w:bottom w:w="85" w:type="dxa"/>
              <w:left w:w="85" w:type="dxa"/>
              <w:right w:w="85" w:type="dxa"/>
            </w:tcMar>
            <w:shd w:fill="FFFFFF"/>
          </w:tcPr>
          <w:p>
            <w:pPr>
              <w:spacing w:after="40" w:before="40" w:line="240" w:lineRule="auto"/>
              <w:jc w:val="left"/>
            </w:pPr>
            <w:r>
              <w:rPr>
                <w:rFonts w:ascii="Arial" w:hAnsi="Arial" w:eastAsia="Arial" w:cs="Arial"/>
                <w:color w:val="000000"/>
                <w:sz w:val="16"/>
              </w:rPr>
              <w:t>2026</w:t>
            </w:r>
          </w:p>
        </w:tc>
        <w:tc>
          <w:tcPr>
            <w:tcW w:type="dxa" w:w="2016"/>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331.8</w:t>
            </w:r>
          </w:p>
        </w:tc>
        <w:tc>
          <w:tcPr>
            <w:tcW w:type="dxa" w:w="2016"/>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46.8%</w:t>
            </w:r>
          </w:p>
        </w:tc>
        <w:tc>
          <w:tcPr>
            <w:tcW w:type="dxa" w:w="2016"/>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115.9</w:t>
            </w:r>
          </w:p>
        </w:tc>
        <w:tc>
          <w:tcPr>
            <w:tcW w:type="dxa" w:w="2016"/>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67.0</w:t>
            </w:r>
          </w:p>
        </w:tc>
      </w:tr>
    </w:tbl>
    <w:p>
      <w:pPr>
        <w:spacing w:after="0"/>
        <w:jc w:val="left"/>
      </w:pPr>
    </w:p>
    <w:p>
      <w:pPr>
        <w:pStyle w:val="Caption"/>
        <w:jc w:val="left"/>
      </w:pPr>
      <w:r>
        <w:rPr>
          <w:rFonts w:ascii="Arial" w:hAnsi="Arial" w:eastAsia="Arial" w:cs="Arial"/>
          <w:color w:val="000000"/>
          <w:sz w:val="16"/>
        </w:rPr>
        <w:t>Revenue, cash capital expenditure and free cash flow are in USD billions. FCF equals operating cash flow less cash additions to property and equipment.</w:t>
      </w:r>
    </w:p>
    <w:p>
      <w:pPr>
        <w:jc w:val="left"/>
      </w:pPr>
      <w:r>
        <w:rPr>
          <w:rFonts w:ascii="Arial" w:hAnsi="Arial" w:eastAsia="Arial" w:cs="Arial"/>
          <w:color w:val="000000"/>
          <w:sz w:val="18"/>
        </w:rPr>
        <w:t>Revenue grows at 14.7% annually from FY2017 to FY2026, measured across nine year-to-year intervals. The latest year shows revenue growth of 17.8%. Operating margins expand over the decade, while the recent investment cycle changes the relationship between earnings and cash generation.</w:t>
      </w:r>
    </w:p>
    <w:p>
      <w:pPr>
        <w:jc w:val="left"/>
      </w:pPr>
      <w:r>
        <w:rPr>
          <w:rFonts w:ascii="Arial" w:hAnsi="Arial" w:eastAsia="Arial" w:cs="Arial"/>
          <w:color w:val="000000"/>
          <w:sz w:val="18"/>
        </w:rPr>
        <w:t>FY2026 operating cash flow is $182.9 billion, up from $136.2 billion. Cash capital expenditure rises to $115.9 billion, or 34.9% of revenue. FCF is consequently $67.0 billion, below FY2025 despite higher earnings.</w:t>
      </w:r>
    </w:p>
    <w:p>
      <w:pPr>
        <w:jc w:val="left"/>
      </w:pPr>
      <w:r>
        <w:rPr>
          <w:rFonts w:ascii="Arial" w:hAnsi="Arial" w:eastAsia="Arial" w:cs="Arial"/>
          <w:color w:val="000000"/>
          <w:sz w:val="18"/>
        </w:rPr>
        <w:drawing>
          <wp:inline xmlns:a="http://schemas.openxmlformats.org/drawingml/2006/main" xmlns:pic="http://schemas.openxmlformats.org/drawingml/2006/picture">
            <wp:extent cx="5989320" cy="2139043"/>
            <wp:docPr id="1" name="Picture 1"/>
            <wp:cNvGraphicFramePr>
              <a:graphicFrameLocks noChangeAspect="1"/>
            </wp:cNvGraphicFramePr>
            <a:graphic>
              <a:graphicData uri="http://schemas.openxmlformats.org/drawingml/2006/picture">
                <pic:pic>
                  <pic:nvPicPr>
                    <pic:cNvPr id="0" name="historical_revenue_and_fcf.png"/>
                    <pic:cNvPicPr/>
                  </pic:nvPicPr>
                  <pic:blipFill>
                    <a:blip r:embed="rId10">
                      <a:grayscl/>
                    </a:blip>
                    <a:stretch>
                      <a:fillRect/>
                    </a:stretch>
                  </pic:blipFill>
                  <pic:spPr>
                    <a:xfrm>
                      <a:off x="0" y="0"/>
                      <a:ext cx="5989320" cy="2139043"/>
                    </a:xfrm>
                    <a:prstGeom prst="rect"/>
                  </pic:spPr>
                </pic:pic>
              </a:graphicData>
            </a:graphic>
          </wp:inline>
        </w:drawing>
      </w:r>
    </w:p>
    <w:p>
      <w:pPr>
        <w:jc w:val="left"/>
      </w:pPr>
      <w:r>
        <w:rPr>
          <w:rFonts w:ascii="Arial" w:hAnsi="Arial" w:eastAsia="Arial" w:cs="Arial"/>
          <w:color w:val="000000"/>
          <w:sz w:val="18"/>
        </w:rPr>
        <w:br w:type="page"/>
      </w:r>
    </w:p>
    <w:p>
      <w:pPr>
        <w:pStyle w:val="Heading1"/>
        <w:jc w:val="center"/>
      </w:pPr>
      <w:r>
        <w:rPr>
          <w:rFonts w:ascii="Arial" w:hAnsi="Arial" w:eastAsia="Arial" w:cs="Arial"/>
          <w:color w:val="000000"/>
          <w:sz w:val="21"/>
        </w:rPr>
        <w:t>Revenue scenarios and operating expenses</w:t>
      </w:r>
    </w:p>
    <w:p>
      <w:pPr>
        <w:jc w:val="left"/>
      </w:pPr>
      <w:r>
        <w:rPr>
          <w:rFonts w:ascii="Arial" w:hAnsi="Arial" w:eastAsia="Arial" w:cs="Arial"/>
          <w:color w:val="000000"/>
          <w:sz w:val="18"/>
        </w:rPr>
        <w:t>The forecast grows each of the three reportable segments separately. Consolidated revenue is the sum of Productivity and Business Processes, Intelligent Cloud and More Personal Computing. It is not entered as a separate independent forecast. Intelligent Cloud is the largest growth contributor in the Base assumptions.</w:t>
      </w:r>
    </w:p>
    <w:tbl>
      <w:tblPr>
        <w:tblW w:type="auto" w:w="0"/>
        <w:jc w:val="center"/>
        <w:tblLayout w:type="fixed"/>
        <w:tblLook w:firstColumn="1" w:firstRow="1" w:lastColumn="0" w:lastRow="0" w:noHBand="0" w:noVBand="1" w:val="04A0"/>
        <w:tblBorders>
          <w:top w:val="single" w:sz="4" w:color="000000"/>
          <w:bottom w:val="single" w:sz="4" w:color="000000"/>
          <w:insideH w:val="nil" w:sz="4" w:color="000000"/>
          <w:left w:val="nil"/>
          <w:right w:val="nil"/>
          <w:insideV w:val="nil"/>
        </w:tblBorders>
      </w:tblPr>
      <w:tblGrid>
        <w:gridCol w:w="3960"/>
        <w:gridCol w:w="1872"/>
        <w:gridCol w:w="1872"/>
        <w:gridCol w:w="1872"/>
      </w:tblGrid>
      <w:tr>
        <w:trPr>
          <w:cantSplit/>
          <w:tblHeader/>
        </w:trPr>
        <w:tc>
          <w:tcPr>
            <w:tcW w:type="dxa" w:w="3960"/>
            <w:vAlign w:val="center"/>
            <w:tcMar>
              <w:top w:w="85" w:type="dxa"/>
              <w:bottom w:w="85" w:type="dxa"/>
              <w:left w:w="85" w:type="dxa"/>
              <w:right w:w="85" w:type="dxa"/>
            </w:tcMar>
            <w:shd w:fill="FFFFFF"/>
            <w:tcBorders>
              <w:bottom w:val="single" w:sz="4" w:color="000000"/>
            </w:tcBorders>
          </w:tcPr>
          <w:p>
            <w:pPr>
              <w:spacing w:after="40" w:before="40" w:line="240" w:lineRule="auto"/>
              <w:jc w:val="left"/>
            </w:pPr>
            <w:r>
              <w:rPr>
                <w:rFonts w:ascii="Arial" w:hAnsi="Arial" w:eastAsia="Arial" w:cs="Arial"/>
                <w:b/>
                <w:color w:val="000000"/>
                <w:sz w:val="16"/>
              </w:rPr>
              <w:t>Revenue growth assumption</w:t>
            </w:r>
          </w:p>
        </w:tc>
        <w:tc>
          <w:tcPr>
            <w:tcW w:type="dxa" w:w="1872"/>
            <w:vAlign w:val="center"/>
            <w:tcMar>
              <w:top w:w="85" w:type="dxa"/>
              <w:bottom w:w="85" w:type="dxa"/>
              <w:left w:w="85" w:type="dxa"/>
              <w:right w:w="85" w:type="dxa"/>
            </w:tcMar>
            <w:shd w:fill="FFFFFF"/>
            <w:tcBorders>
              <w:bottom w:val="single" w:sz="4" w:color="000000"/>
            </w:tcBorders>
          </w:tcPr>
          <w:p>
            <w:pPr>
              <w:spacing w:after="40" w:before="40" w:line="240" w:lineRule="auto"/>
              <w:jc w:val="center"/>
            </w:pPr>
            <w:r>
              <w:rPr>
                <w:rFonts w:ascii="Arial" w:hAnsi="Arial" w:eastAsia="Arial" w:cs="Arial"/>
                <w:b/>
                <w:color w:val="000000"/>
                <w:sz w:val="16"/>
              </w:rPr>
              <w:t>Base</w:t>
            </w:r>
          </w:p>
        </w:tc>
        <w:tc>
          <w:tcPr>
            <w:tcW w:type="dxa" w:w="1872"/>
            <w:vAlign w:val="center"/>
            <w:tcMar>
              <w:top w:w="85" w:type="dxa"/>
              <w:bottom w:w="85" w:type="dxa"/>
              <w:left w:w="85" w:type="dxa"/>
              <w:right w:w="85" w:type="dxa"/>
            </w:tcMar>
            <w:shd w:fill="FFFFFF"/>
            <w:tcBorders>
              <w:bottom w:val="single" w:sz="4" w:color="000000"/>
            </w:tcBorders>
          </w:tcPr>
          <w:p>
            <w:pPr>
              <w:spacing w:after="40" w:before="40" w:line="240" w:lineRule="auto"/>
              <w:jc w:val="center"/>
            </w:pPr>
            <w:r>
              <w:rPr>
                <w:rFonts w:ascii="Arial" w:hAnsi="Arial" w:eastAsia="Arial" w:cs="Arial"/>
                <w:b/>
                <w:color w:val="000000"/>
                <w:sz w:val="16"/>
              </w:rPr>
              <w:t>Upside</w:t>
            </w:r>
          </w:p>
        </w:tc>
        <w:tc>
          <w:tcPr>
            <w:tcW w:type="dxa" w:w="1872"/>
            <w:vAlign w:val="center"/>
            <w:tcMar>
              <w:top w:w="85" w:type="dxa"/>
              <w:bottom w:w="85" w:type="dxa"/>
              <w:left w:w="85" w:type="dxa"/>
              <w:right w:w="85" w:type="dxa"/>
            </w:tcMar>
            <w:shd w:fill="FFFFFF"/>
            <w:tcBorders>
              <w:bottom w:val="single" w:sz="4" w:color="000000"/>
            </w:tcBorders>
          </w:tcPr>
          <w:p>
            <w:pPr>
              <w:spacing w:after="40" w:before="40" w:line="240" w:lineRule="auto"/>
              <w:jc w:val="center"/>
            </w:pPr>
            <w:r>
              <w:rPr>
                <w:rFonts w:ascii="Arial" w:hAnsi="Arial" w:eastAsia="Arial" w:cs="Arial"/>
                <w:b/>
                <w:color w:val="000000"/>
                <w:sz w:val="16"/>
              </w:rPr>
              <w:t>Downside</w:t>
            </w:r>
          </w:p>
        </w:tc>
      </w:tr>
      <w:tr>
        <w:trPr>
          <w:cantSplit/>
        </w:trPr>
        <w:tc>
          <w:tcPr>
            <w:tcW w:type="dxa" w:w="3960"/>
            <w:vAlign w:val="center"/>
            <w:tcMar>
              <w:top w:w="85" w:type="dxa"/>
              <w:bottom w:w="85" w:type="dxa"/>
              <w:left w:w="85" w:type="dxa"/>
              <w:right w:w="85" w:type="dxa"/>
            </w:tcMar>
            <w:shd w:fill="E5E5E5"/>
          </w:tcPr>
          <w:p>
            <w:pPr>
              <w:spacing w:after="40" w:before="40" w:line="240" w:lineRule="auto"/>
              <w:jc w:val="left"/>
            </w:pPr>
            <w:r>
              <w:rPr>
                <w:rFonts w:ascii="Arial" w:hAnsi="Arial" w:eastAsia="Arial" w:cs="Arial"/>
                <w:color w:val="000000"/>
                <w:sz w:val="16"/>
              </w:rPr>
              <w:t>PBP FY2027 to FY2031</w:t>
            </w:r>
          </w:p>
        </w:tc>
        <w:tc>
          <w:tcPr>
            <w:tcW w:type="dxa" w:w="1872"/>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14% to 10%</w:t>
            </w:r>
          </w:p>
        </w:tc>
        <w:tc>
          <w:tcPr>
            <w:tcW w:type="dxa" w:w="1872"/>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18% to 12%</w:t>
            </w:r>
          </w:p>
        </w:tc>
        <w:tc>
          <w:tcPr>
            <w:tcW w:type="dxa" w:w="1872"/>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8% to 5%</w:t>
            </w:r>
          </w:p>
        </w:tc>
      </w:tr>
      <w:tr>
        <w:trPr>
          <w:cantSplit/>
        </w:trPr>
        <w:tc>
          <w:tcPr>
            <w:tcW w:type="dxa" w:w="3960"/>
            <w:vAlign w:val="center"/>
            <w:tcMar>
              <w:top w:w="85" w:type="dxa"/>
              <w:bottom w:w="85" w:type="dxa"/>
              <w:left w:w="85" w:type="dxa"/>
              <w:right w:w="85" w:type="dxa"/>
            </w:tcMar>
            <w:shd w:fill="FFFFFF"/>
          </w:tcPr>
          <w:p>
            <w:pPr>
              <w:spacing w:after="40" w:before="40" w:line="240" w:lineRule="auto"/>
              <w:jc w:val="left"/>
            </w:pPr>
            <w:r>
              <w:rPr>
                <w:rFonts w:ascii="Arial" w:hAnsi="Arial" w:eastAsia="Arial" w:cs="Arial"/>
                <w:color w:val="000000"/>
                <w:sz w:val="16"/>
              </w:rPr>
              <w:t>IC FY2027 to FY2031</w:t>
            </w:r>
          </w:p>
        </w:tc>
        <w:tc>
          <w:tcPr>
            <w:tcW w:type="dxa" w:w="1872"/>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24% to 16%</w:t>
            </w:r>
          </w:p>
        </w:tc>
        <w:tc>
          <w:tcPr>
            <w:tcW w:type="dxa" w:w="1872"/>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32% to 20%</w:t>
            </w:r>
          </w:p>
        </w:tc>
        <w:tc>
          <w:tcPr>
            <w:tcW w:type="dxa" w:w="1872"/>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14% to 9%</w:t>
            </w:r>
          </w:p>
        </w:tc>
      </w:tr>
      <w:tr>
        <w:trPr>
          <w:cantSplit/>
        </w:trPr>
        <w:tc>
          <w:tcPr>
            <w:tcW w:type="dxa" w:w="3960"/>
            <w:vAlign w:val="center"/>
            <w:tcMar>
              <w:top w:w="85" w:type="dxa"/>
              <w:bottom w:w="85" w:type="dxa"/>
              <w:left w:w="85" w:type="dxa"/>
              <w:right w:w="85" w:type="dxa"/>
            </w:tcMar>
            <w:shd w:fill="E5E5E5"/>
          </w:tcPr>
          <w:p>
            <w:pPr>
              <w:spacing w:after="40" w:before="40" w:line="240" w:lineRule="auto"/>
              <w:jc w:val="left"/>
            </w:pPr>
            <w:r>
              <w:rPr>
                <w:rFonts w:ascii="Arial" w:hAnsi="Arial" w:eastAsia="Arial" w:cs="Arial"/>
                <w:color w:val="000000"/>
                <w:sz w:val="16"/>
              </w:rPr>
              <w:t>MPC FY2027 to FY2031</w:t>
            </w:r>
          </w:p>
        </w:tc>
        <w:tc>
          <w:tcPr>
            <w:tcW w:type="dxa" w:w="1872"/>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 to 2%</w:t>
            </w:r>
          </w:p>
        </w:tc>
        <w:tc>
          <w:tcPr>
            <w:tcW w:type="dxa" w:w="1872"/>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4% to 3%</w:t>
            </w:r>
          </w:p>
        </w:tc>
        <w:tc>
          <w:tcPr>
            <w:tcW w:type="dxa" w:w="1872"/>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-5% to 1%</w:t>
            </w:r>
          </w:p>
        </w:tc>
      </w:tr>
      <w:tr>
        <w:trPr>
          <w:cantSplit/>
        </w:trPr>
        <w:tc>
          <w:tcPr>
            <w:tcW w:type="dxa" w:w="3960"/>
            <w:vAlign w:val="center"/>
            <w:tcMar>
              <w:top w:w="85" w:type="dxa"/>
              <w:bottom w:w="85" w:type="dxa"/>
              <w:left w:w="85" w:type="dxa"/>
              <w:right w:w="85" w:type="dxa"/>
            </w:tcMar>
            <w:shd w:fill="FFFFFF"/>
          </w:tcPr>
          <w:p>
            <w:pPr>
              <w:spacing w:after="40" w:before="40" w:line="240" w:lineRule="auto"/>
              <w:jc w:val="left"/>
            </w:pPr>
            <w:r>
              <w:rPr>
                <w:rFonts w:ascii="Arial" w:hAnsi="Arial" w:eastAsia="Arial" w:cs="Arial"/>
                <w:color w:val="000000"/>
                <w:sz w:val="16"/>
              </w:rPr>
              <w:t>Cash capex / revenue</w:t>
            </w:r>
          </w:p>
        </w:tc>
        <w:tc>
          <w:tcPr>
            <w:tcW w:type="dxa" w:w="1872"/>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32% to 20%</w:t>
            </w:r>
          </w:p>
        </w:tc>
        <w:tc>
          <w:tcPr>
            <w:tcW w:type="dxa" w:w="1872"/>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34% to 23%</w:t>
            </w:r>
          </w:p>
        </w:tc>
        <w:tc>
          <w:tcPr>
            <w:tcW w:type="dxa" w:w="1872"/>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35% to 25%</w:t>
            </w:r>
          </w:p>
        </w:tc>
      </w:tr>
      <w:tr>
        <w:trPr>
          <w:cantSplit/>
        </w:trPr>
        <w:tc>
          <w:tcPr>
            <w:tcW w:type="dxa" w:w="3960"/>
            <w:vAlign w:val="center"/>
            <w:tcMar>
              <w:top w:w="85" w:type="dxa"/>
              <w:bottom w:w="85" w:type="dxa"/>
              <w:left w:w="85" w:type="dxa"/>
              <w:right w:w="85" w:type="dxa"/>
            </w:tcMar>
            <w:shd w:fill="E5E5E5"/>
          </w:tcPr>
          <w:p>
            <w:pPr>
              <w:spacing w:after="40" w:before="40" w:line="240" w:lineRule="auto"/>
              <w:jc w:val="left"/>
            </w:pPr>
            <w:r>
              <w:rPr>
                <w:rFonts w:ascii="Arial" w:hAnsi="Arial" w:eastAsia="Arial" w:cs="Arial"/>
                <w:color w:val="000000"/>
                <w:sz w:val="16"/>
              </w:rPr>
              <w:t>Legacy PPE remaining life</w:t>
            </w:r>
          </w:p>
        </w:tc>
        <w:tc>
          <w:tcPr>
            <w:tcW w:type="dxa" w:w="1872"/>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8 years</w:t>
            </w:r>
          </w:p>
        </w:tc>
        <w:tc>
          <w:tcPr>
            <w:tcW w:type="dxa" w:w="1872"/>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9 years</w:t>
            </w:r>
          </w:p>
        </w:tc>
        <w:tc>
          <w:tcPr>
            <w:tcW w:type="dxa" w:w="1872"/>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7 years</w:t>
            </w:r>
          </w:p>
        </w:tc>
      </w:tr>
      <w:tr>
        <w:trPr>
          <w:cantSplit/>
        </w:trPr>
        <w:tc>
          <w:tcPr>
            <w:tcW w:type="dxa" w:w="3960"/>
            <w:vAlign w:val="center"/>
            <w:tcMar>
              <w:top w:w="85" w:type="dxa"/>
              <w:bottom w:w="85" w:type="dxa"/>
              <w:left w:w="85" w:type="dxa"/>
              <w:right w:w="85" w:type="dxa"/>
            </w:tcMar>
            <w:shd w:fill="FFFFFF"/>
          </w:tcPr>
          <w:p>
            <w:pPr>
              <w:spacing w:after="40" w:before="40" w:line="240" w:lineRule="auto"/>
              <w:jc w:val="left"/>
            </w:pPr>
            <w:r>
              <w:rPr>
                <w:rFonts w:ascii="Arial" w:hAnsi="Arial" w:eastAsia="Arial" w:cs="Arial"/>
                <w:color w:val="000000"/>
                <w:sz w:val="16"/>
              </w:rPr>
              <w:t>New PPE useful life</w:t>
            </w:r>
          </w:p>
        </w:tc>
        <w:tc>
          <w:tcPr>
            <w:tcW w:type="dxa" w:w="1872"/>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6 years</w:t>
            </w:r>
          </w:p>
        </w:tc>
        <w:tc>
          <w:tcPr>
            <w:tcW w:type="dxa" w:w="1872"/>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6 years</w:t>
            </w:r>
          </w:p>
        </w:tc>
        <w:tc>
          <w:tcPr>
            <w:tcW w:type="dxa" w:w="1872"/>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5 years</w:t>
            </w:r>
          </w:p>
        </w:tc>
      </w:tr>
    </w:tbl>
    <w:p>
      <w:pPr>
        <w:spacing w:after="0"/>
        <w:jc w:val="left"/>
      </w:pPr>
    </w:p>
    <w:p>
      <w:pPr>
        <w:jc w:val="left"/>
      </w:pPr>
      <w:r>
        <w:rPr>
          <w:rFonts w:ascii="Arial" w:hAnsi="Arial" w:eastAsia="Arial" w:cs="Arial"/>
          <w:color w:val="000000"/>
          <w:sz w:val="18"/>
        </w:rPr>
        <w:t>These are research assumptions dated 8 October 2026. They are editable hypotheses for the model, rather than company guidance or an investment recommendation. The Upside case pairs stronger growth with higher reinvestment. The Downside case combines slower growth, greater relative investment needs and shorter depreciation lives.</w:t>
      </w:r>
    </w:p>
    <w:p>
      <w:pPr>
        <w:pStyle w:val="Heading2"/>
        <w:jc w:val="left"/>
      </w:pPr>
      <w:r>
        <w:rPr>
          <w:rFonts w:ascii="Arial" w:hAnsi="Arial" w:eastAsia="Arial" w:cs="Arial"/>
          <w:color w:val="000000"/>
          <w:sz w:val="18"/>
        </w:rPr>
        <w:t>Cost separation and allocation</w:t>
      </w:r>
    </w:p>
    <w:p>
      <w:pPr>
        <w:jc w:val="left"/>
      </w:pPr>
      <w:r>
        <w:rPr>
          <w:rFonts w:ascii="Arial" w:hAnsi="Arial" w:eastAsia="Arial" w:cs="Arial"/>
          <w:color w:val="000000"/>
          <w:sz w:val="18"/>
        </w:rPr>
        <w:t>Segment cost rates exclude depreciation, intangible amortization and operating lease expense before these items are added from their separate schedules. This structure makes the infrastructure cost burden visible. Research and development also receives its explicit share of these expenses. Stock-based compensation remains embedded in operating costs and is added back once in operating cash flow.</w:t>
      </w:r>
    </w:p>
    <w:tbl>
      <w:tblPr>
        <w:tblW w:type="auto" w:w="0"/>
        <w:jc w:val="center"/>
        <w:tblLayout w:type="fixed"/>
        <w:tblLook w:firstColumn="1" w:firstRow="1" w:lastColumn="0" w:lastRow="0" w:noHBand="0" w:noVBand="1" w:val="04A0"/>
        <w:tblBorders>
          <w:top w:val="single" w:sz="4" w:color="000000"/>
          <w:bottom w:val="single" w:sz="4" w:color="000000"/>
          <w:insideH w:val="nil" w:sz="4" w:color="000000"/>
          <w:left w:val="nil"/>
          <w:right w:val="nil"/>
          <w:insideV w:val="nil"/>
        </w:tblBorders>
      </w:tblPr>
      <w:tblGrid>
        <w:gridCol w:w="3888"/>
        <w:gridCol w:w="1426"/>
        <w:gridCol w:w="1426"/>
        <w:gridCol w:w="1426"/>
        <w:gridCol w:w="1426"/>
      </w:tblGrid>
      <w:tr>
        <w:trPr>
          <w:cantSplit/>
          <w:tblHeader/>
        </w:trPr>
        <w:tc>
          <w:tcPr>
            <w:tcW w:type="dxa" w:w="3888"/>
            <w:vAlign w:val="center"/>
            <w:tcMar>
              <w:top w:w="85" w:type="dxa"/>
              <w:bottom w:w="85" w:type="dxa"/>
              <w:left w:w="85" w:type="dxa"/>
              <w:right w:w="85" w:type="dxa"/>
            </w:tcMar>
            <w:shd w:fill="FFFFFF"/>
            <w:tcBorders>
              <w:bottom w:val="single" w:sz="4" w:color="000000"/>
            </w:tcBorders>
          </w:tcPr>
          <w:p>
            <w:pPr>
              <w:spacing w:after="40" w:before="40" w:line="240" w:lineRule="auto"/>
              <w:jc w:val="left"/>
            </w:pPr>
            <w:r>
              <w:rPr>
                <w:rFonts w:ascii="Arial" w:hAnsi="Arial" w:eastAsia="Arial" w:cs="Arial"/>
                <w:b/>
                <w:color w:val="000000"/>
                <w:sz w:val="16"/>
              </w:rPr>
              <w:t>Allocation</w:t>
            </w:r>
          </w:p>
        </w:tc>
        <w:tc>
          <w:tcPr>
            <w:tcW w:type="dxa" w:w="1426"/>
            <w:vAlign w:val="center"/>
            <w:tcMar>
              <w:top w:w="85" w:type="dxa"/>
              <w:bottom w:w="85" w:type="dxa"/>
              <w:left w:w="85" w:type="dxa"/>
              <w:right w:w="85" w:type="dxa"/>
            </w:tcMar>
            <w:shd w:fill="FFFFFF"/>
            <w:tcBorders>
              <w:bottom w:val="single" w:sz="4" w:color="000000"/>
            </w:tcBorders>
          </w:tcPr>
          <w:p>
            <w:pPr>
              <w:spacing w:after="40" w:before="40" w:line="240" w:lineRule="auto"/>
              <w:jc w:val="center"/>
            </w:pPr>
            <w:r>
              <w:rPr>
                <w:rFonts w:ascii="Arial" w:hAnsi="Arial" w:eastAsia="Arial" w:cs="Arial"/>
                <w:b/>
                <w:color w:val="000000"/>
                <w:sz w:val="16"/>
              </w:rPr>
              <w:t>PBP</w:t>
            </w:r>
          </w:p>
        </w:tc>
        <w:tc>
          <w:tcPr>
            <w:tcW w:type="dxa" w:w="1426"/>
            <w:vAlign w:val="center"/>
            <w:tcMar>
              <w:top w:w="85" w:type="dxa"/>
              <w:bottom w:w="85" w:type="dxa"/>
              <w:left w:w="85" w:type="dxa"/>
              <w:right w:w="85" w:type="dxa"/>
            </w:tcMar>
            <w:shd w:fill="FFFFFF"/>
            <w:tcBorders>
              <w:bottom w:val="single" w:sz="4" w:color="000000"/>
            </w:tcBorders>
          </w:tcPr>
          <w:p>
            <w:pPr>
              <w:spacing w:after="40" w:before="40" w:line="240" w:lineRule="auto"/>
              <w:jc w:val="center"/>
            </w:pPr>
            <w:r>
              <w:rPr>
                <w:rFonts w:ascii="Arial" w:hAnsi="Arial" w:eastAsia="Arial" w:cs="Arial"/>
                <w:b/>
                <w:color w:val="000000"/>
                <w:sz w:val="16"/>
              </w:rPr>
              <w:t>IC</w:t>
            </w:r>
          </w:p>
        </w:tc>
        <w:tc>
          <w:tcPr>
            <w:tcW w:type="dxa" w:w="1426"/>
            <w:vAlign w:val="center"/>
            <w:tcMar>
              <w:top w:w="85" w:type="dxa"/>
              <w:bottom w:w="85" w:type="dxa"/>
              <w:left w:w="85" w:type="dxa"/>
              <w:right w:w="85" w:type="dxa"/>
            </w:tcMar>
            <w:shd w:fill="FFFFFF"/>
            <w:tcBorders>
              <w:bottom w:val="single" w:sz="4" w:color="000000"/>
            </w:tcBorders>
          </w:tcPr>
          <w:p>
            <w:pPr>
              <w:spacing w:after="40" w:before="40" w:line="240" w:lineRule="auto"/>
              <w:jc w:val="center"/>
            </w:pPr>
            <w:r>
              <w:rPr>
                <w:rFonts w:ascii="Arial" w:hAnsi="Arial" w:eastAsia="Arial" w:cs="Arial"/>
                <w:b/>
                <w:color w:val="000000"/>
                <w:sz w:val="16"/>
              </w:rPr>
              <w:t>MPC</w:t>
            </w:r>
          </w:p>
        </w:tc>
        <w:tc>
          <w:tcPr>
            <w:tcW w:type="dxa" w:w="1426"/>
            <w:vAlign w:val="center"/>
            <w:tcMar>
              <w:top w:w="85" w:type="dxa"/>
              <w:bottom w:w="85" w:type="dxa"/>
              <w:left w:w="85" w:type="dxa"/>
              <w:right w:w="85" w:type="dxa"/>
            </w:tcMar>
            <w:shd w:fill="FFFFFF"/>
            <w:tcBorders>
              <w:bottom w:val="single" w:sz="4" w:color="000000"/>
            </w:tcBorders>
          </w:tcPr>
          <w:p>
            <w:pPr>
              <w:spacing w:after="40" w:before="40" w:line="240" w:lineRule="auto"/>
              <w:jc w:val="center"/>
            </w:pPr>
            <w:r>
              <w:rPr>
                <w:rFonts w:ascii="Arial" w:hAnsi="Arial" w:eastAsia="Arial" w:cs="Arial"/>
                <w:b/>
                <w:color w:val="000000"/>
                <w:sz w:val="16"/>
              </w:rPr>
              <w:t>R and D</w:t>
            </w:r>
          </w:p>
        </w:tc>
      </w:tr>
      <w:tr>
        <w:trPr>
          <w:cantSplit/>
        </w:trPr>
        <w:tc>
          <w:tcPr>
            <w:tcW w:type="dxa" w:w="3888"/>
            <w:vAlign w:val="center"/>
            <w:tcMar>
              <w:top w:w="85" w:type="dxa"/>
              <w:bottom w:w="85" w:type="dxa"/>
              <w:left w:w="85" w:type="dxa"/>
              <w:right w:w="85" w:type="dxa"/>
            </w:tcMar>
            <w:shd w:fill="E5E5E5"/>
          </w:tcPr>
          <w:p>
            <w:pPr>
              <w:spacing w:after="40" w:before="40" w:line="240" w:lineRule="auto"/>
              <w:jc w:val="left"/>
            </w:pPr>
            <w:r>
              <w:rPr>
                <w:rFonts w:ascii="Arial" w:hAnsi="Arial" w:eastAsia="Arial" w:cs="Arial"/>
                <w:color w:val="000000"/>
                <w:sz w:val="16"/>
              </w:rPr>
              <w:t>PPE depreciation</w:t>
            </w:r>
          </w:p>
        </w:tc>
        <w:tc>
          <w:tcPr>
            <w:tcW w:type="dxa" w:w="1426"/>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5%</w:t>
            </w:r>
          </w:p>
        </w:tc>
        <w:tc>
          <w:tcPr>
            <w:tcW w:type="dxa" w:w="1426"/>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75%</w:t>
            </w:r>
          </w:p>
        </w:tc>
        <w:tc>
          <w:tcPr>
            <w:tcW w:type="dxa" w:w="1426"/>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5%</w:t>
            </w:r>
          </w:p>
        </w:tc>
        <w:tc>
          <w:tcPr>
            <w:tcW w:type="dxa" w:w="1426"/>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15%</w:t>
            </w:r>
          </w:p>
        </w:tc>
      </w:tr>
      <w:tr>
        <w:trPr>
          <w:cantSplit/>
        </w:trPr>
        <w:tc>
          <w:tcPr>
            <w:tcW w:type="dxa" w:w="3888"/>
            <w:vAlign w:val="center"/>
            <w:tcMar>
              <w:top w:w="85" w:type="dxa"/>
              <w:bottom w:w="85" w:type="dxa"/>
              <w:left w:w="85" w:type="dxa"/>
              <w:right w:w="85" w:type="dxa"/>
            </w:tcMar>
            <w:shd w:fill="FFFFFF"/>
          </w:tcPr>
          <w:p>
            <w:pPr>
              <w:spacing w:after="40" w:before="40" w:line="240" w:lineRule="auto"/>
              <w:jc w:val="left"/>
            </w:pPr>
            <w:r>
              <w:rPr>
                <w:rFonts w:ascii="Arial" w:hAnsi="Arial" w:eastAsia="Arial" w:cs="Arial"/>
                <w:color w:val="000000"/>
                <w:sz w:val="16"/>
              </w:rPr>
              <w:t>Intangible amortization</w:t>
            </w:r>
          </w:p>
        </w:tc>
        <w:tc>
          <w:tcPr>
            <w:tcW w:type="dxa" w:w="1426"/>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20%</w:t>
            </w:r>
          </w:p>
        </w:tc>
        <w:tc>
          <w:tcPr>
            <w:tcW w:type="dxa" w:w="1426"/>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5%</w:t>
            </w:r>
          </w:p>
        </w:tc>
        <w:tc>
          <w:tcPr>
            <w:tcW w:type="dxa" w:w="1426"/>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65%</w:t>
            </w:r>
          </w:p>
        </w:tc>
        <w:tc>
          <w:tcPr>
            <w:tcW w:type="dxa" w:w="1426"/>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10%</w:t>
            </w:r>
          </w:p>
        </w:tc>
      </w:tr>
      <w:tr>
        <w:trPr>
          <w:cantSplit/>
        </w:trPr>
        <w:tc>
          <w:tcPr>
            <w:tcW w:type="dxa" w:w="3888"/>
            <w:vAlign w:val="center"/>
            <w:tcMar>
              <w:top w:w="85" w:type="dxa"/>
              <w:bottom w:w="85" w:type="dxa"/>
              <w:left w:w="85" w:type="dxa"/>
              <w:right w:w="85" w:type="dxa"/>
            </w:tcMar>
            <w:shd w:fill="E5E5E5"/>
          </w:tcPr>
          <w:p>
            <w:pPr>
              <w:spacing w:after="40" w:before="40" w:line="240" w:lineRule="auto"/>
              <w:jc w:val="left"/>
            </w:pPr>
            <w:r>
              <w:rPr>
                <w:rFonts w:ascii="Arial" w:hAnsi="Arial" w:eastAsia="Arial" w:cs="Arial"/>
                <w:color w:val="000000"/>
                <w:sz w:val="16"/>
              </w:rPr>
              <w:t>Operating lease expense</w:t>
            </w:r>
          </w:p>
        </w:tc>
        <w:tc>
          <w:tcPr>
            <w:tcW w:type="dxa" w:w="1426"/>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20%</w:t>
            </w:r>
          </w:p>
        </w:tc>
        <w:tc>
          <w:tcPr>
            <w:tcW w:type="dxa" w:w="1426"/>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60%</w:t>
            </w:r>
          </w:p>
        </w:tc>
        <w:tc>
          <w:tcPr>
            <w:tcW w:type="dxa" w:w="1426"/>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10%</w:t>
            </w:r>
          </w:p>
        </w:tc>
        <w:tc>
          <w:tcPr>
            <w:tcW w:type="dxa" w:w="1426"/>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10%</w:t>
            </w:r>
          </w:p>
        </w:tc>
      </w:tr>
    </w:tbl>
    <w:p>
      <w:pPr>
        <w:spacing w:after="0"/>
        <w:jc w:val="left"/>
      </w:pPr>
    </w:p>
    <w:p>
      <w:pPr>
        <w:jc w:val="left"/>
      </w:pPr>
      <w:r>
        <w:rPr>
          <w:rFonts w:ascii="Arial" w:hAnsi="Arial" w:eastAsia="Arial" w:cs="Arial"/>
          <w:color w:val="000000"/>
          <w:sz w:val="18"/>
        </w:rPr>
        <w:t>Microsoft does not disclose these expense allocations by segment. They are model assumptions, and each allocation sums to 100%. Their purpose is to explain the forecast economics without treating an estimated allocation as a reported segment fact. Segment operating expense allocation uses the FY2026 reported distribution.</w:t>
      </w:r>
    </w:p>
    <w:p>
      <w:pPr>
        <w:jc w:val="left"/>
      </w:pPr>
      <w:r>
        <w:rPr>
          <w:rFonts w:ascii="Arial" w:hAnsi="Arial" w:eastAsia="Arial" w:cs="Arial"/>
          <w:color w:val="000000"/>
          <w:sz w:val="18"/>
        </w:rPr>
        <w:br w:type="page"/>
      </w:r>
    </w:p>
    <w:p>
      <w:pPr>
        <w:pStyle w:val="Heading1"/>
        <w:jc w:val="center"/>
      </w:pPr>
      <w:r>
        <w:rPr>
          <w:rFonts w:ascii="Arial" w:hAnsi="Arial" w:eastAsia="Arial" w:cs="Arial"/>
          <w:color w:val="000000"/>
          <w:sz w:val="21"/>
        </w:rPr>
        <w:t>Working capital and cash conversion</w:t>
      </w:r>
    </w:p>
    <w:p>
      <w:pPr>
        <w:jc w:val="left"/>
      </w:pPr>
      <w:r>
        <w:rPr>
          <w:rFonts w:ascii="Arial" w:hAnsi="Arial" w:eastAsia="Arial" w:cs="Arial"/>
          <w:color w:val="000000"/>
          <w:sz w:val="18"/>
        </w:rPr>
        <w:t>Receivables depend on revenue and receivable days. Inventory and operating payables depend on cost of revenue and their corresponding days. The initial forecast uses FY2026 closing-balance ratios on a 365-day basis. These are annual modeling ratios, not average-balance turnover statistics.</w:t>
      </w:r>
    </w:p>
    <w:tbl>
      <w:tblPr>
        <w:tblW w:type="auto" w:w="0"/>
        <w:jc w:val="center"/>
        <w:tblLayout w:type="fixed"/>
        <w:tblLook w:firstColumn="1" w:firstRow="1" w:lastColumn="0" w:lastRow="0" w:noHBand="0" w:noVBand="1" w:val="04A0"/>
        <w:tblBorders>
          <w:top w:val="single" w:sz="4" w:color="000000"/>
          <w:bottom w:val="single" w:sz="4" w:color="000000"/>
          <w:insideH w:val="nil" w:sz="4" w:color="000000"/>
          <w:left w:val="nil"/>
          <w:right w:val="nil"/>
          <w:insideV w:val="nil"/>
        </w:tblBorders>
      </w:tblPr>
      <w:tblGrid>
        <w:gridCol w:w="2880"/>
        <w:gridCol w:w="1584"/>
        <w:gridCol w:w="5112"/>
      </w:tblGrid>
      <w:tr>
        <w:trPr>
          <w:cantSplit/>
          <w:tblHeader/>
        </w:trPr>
        <w:tc>
          <w:tcPr>
            <w:tcW w:type="dxa" w:w="2880"/>
            <w:vAlign w:val="center"/>
            <w:tcMar>
              <w:top w:w="85" w:type="dxa"/>
              <w:bottom w:w="85" w:type="dxa"/>
              <w:left w:w="85" w:type="dxa"/>
              <w:right w:w="85" w:type="dxa"/>
            </w:tcMar>
            <w:shd w:fill="FFFFFF"/>
            <w:tcBorders>
              <w:bottom w:val="single" w:sz="4" w:color="000000"/>
            </w:tcBorders>
          </w:tcPr>
          <w:p>
            <w:pPr>
              <w:spacing w:after="40" w:before="40" w:line="240" w:lineRule="auto"/>
              <w:jc w:val="left"/>
            </w:pPr>
            <w:r>
              <w:rPr>
                <w:rFonts w:ascii="Arial" w:hAnsi="Arial" w:eastAsia="Arial" w:cs="Arial"/>
                <w:b/>
                <w:color w:val="000000"/>
                <w:sz w:val="16"/>
              </w:rPr>
              <w:t>Base driver</w:t>
            </w:r>
          </w:p>
        </w:tc>
        <w:tc>
          <w:tcPr>
            <w:tcW w:type="dxa" w:w="1584"/>
            <w:vAlign w:val="center"/>
            <w:tcMar>
              <w:top w:w="85" w:type="dxa"/>
              <w:bottom w:w="85" w:type="dxa"/>
              <w:left w:w="85" w:type="dxa"/>
              <w:right w:w="85" w:type="dxa"/>
            </w:tcMar>
            <w:shd w:fill="FFFFFF"/>
            <w:tcBorders>
              <w:bottom w:val="single" w:sz="4" w:color="000000"/>
            </w:tcBorders>
          </w:tcPr>
          <w:p>
            <w:pPr>
              <w:spacing w:after="40" w:before="40" w:line="240" w:lineRule="auto"/>
              <w:jc w:val="center"/>
            </w:pPr>
            <w:r>
              <w:rPr>
                <w:rFonts w:ascii="Arial" w:hAnsi="Arial" w:eastAsia="Arial" w:cs="Arial"/>
                <w:b/>
                <w:color w:val="000000"/>
                <w:sz w:val="16"/>
              </w:rPr>
              <w:t>Initial value</w:t>
            </w:r>
          </w:p>
        </w:tc>
        <w:tc>
          <w:tcPr>
            <w:tcW w:type="dxa" w:w="5112"/>
            <w:vAlign w:val="center"/>
            <w:tcMar>
              <w:top w:w="85" w:type="dxa"/>
              <w:bottom w:w="85" w:type="dxa"/>
              <w:left w:w="85" w:type="dxa"/>
              <w:right w:w="85" w:type="dxa"/>
            </w:tcMar>
            <w:shd w:fill="FFFFFF"/>
            <w:tcBorders>
              <w:bottom w:val="single" w:sz="4" w:color="000000"/>
            </w:tcBorders>
          </w:tcPr>
          <w:p>
            <w:pPr>
              <w:spacing w:after="40" w:before="40" w:line="240" w:lineRule="auto"/>
              <w:jc w:val="center"/>
            </w:pPr>
            <w:r>
              <w:rPr>
                <w:rFonts w:ascii="Arial" w:hAnsi="Arial" w:eastAsia="Arial" w:cs="Arial"/>
                <w:b/>
                <w:color w:val="000000"/>
                <w:sz w:val="16"/>
              </w:rPr>
              <w:t>Forecast relationship</w:t>
            </w:r>
          </w:p>
        </w:tc>
      </w:tr>
      <w:tr>
        <w:trPr>
          <w:cantSplit/>
        </w:trPr>
        <w:tc>
          <w:tcPr>
            <w:tcW w:type="dxa" w:w="2880"/>
            <w:vAlign w:val="center"/>
            <w:tcMar>
              <w:top w:w="85" w:type="dxa"/>
              <w:bottom w:w="85" w:type="dxa"/>
              <w:left w:w="85" w:type="dxa"/>
              <w:right w:w="85" w:type="dxa"/>
            </w:tcMar>
            <w:shd w:fill="E5E5E5"/>
          </w:tcPr>
          <w:p>
            <w:pPr>
              <w:spacing w:after="40" w:before="40" w:line="240" w:lineRule="auto"/>
              <w:jc w:val="left"/>
            </w:pPr>
            <w:r>
              <w:rPr>
                <w:rFonts w:ascii="Arial" w:hAnsi="Arial" w:eastAsia="Arial" w:cs="Arial"/>
                <w:color w:val="000000"/>
                <w:sz w:val="16"/>
              </w:rPr>
              <w:t>Receivable days</w:t>
            </w:r>
          </w:p>
        </w:tc>
        <w:tc>
          <w:tcPr>
            <w:tcW w:type="dxa" w:w="1584"/>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89.0</w:t>
            </w:r>
          </w:p>
        </w:tc>
        <w:tc>
          <w:tcPr>
            <w:tcW w:type="dxa" w:w="5112"/>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Receivables = revenue multiplied by days / 365</w:t>
            </w:r>
          </w:p>
        </w:tc>
      </w:tr>
      <w:tr>
        <w:trPr>
          <w:cantSplit/>
        </w:trPr>
        <w:tc>
          <w:tcPr>
            <w:tcW w:type="dxa" w:w="2880"/>
            <w:vAlign w:val="center"/>
            <w:tcMar>
              <w:top w:w="85" w:type="dxa"/>
              <w:bottom w:w="85" w:type="dxa"/>
              <w:left w:w="85" w:type="dxa"/>
              <w:right w:w="85" w:type="dxa"/>
            </w:tcMar>
            <w:shd w:fill="FFFFFF"/>
          </w:tcPr>
          <w:p>
            <w:pPr>
              <w:spacing w:after="40" w:before="40" w:line="240" w:lineRule="auto"/>
              <w:jc w:val="left"/>
            </w:pPr>
            <w:r>
              <w:rPr>
                <w:rFonts w:ascii="Arial" w:hAnsi="Arial" w:eastAsia="Arial" w:cs="Arial"/>
                <w:color w:val="000000"/>
                <w:sz w:val="16"/>
              </w:rPr>
              <w:t>Inventory days</w:t>
            </w:r>
          </w:p>
        </w:tc>
        <w:tc>
          <w:tcPr>
            <w:tcW w:type="dxa" w:w="1584"/>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4.8</w:t>
            </w:r>
          </w:p>
        </w:tc>
        <w:tc>
          <w:tcPr>
            <w:tcW w:type="dxa" w:w="5112"/>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Inventory = cost of revenue multiplied by days / 365</w:t>
            </w:r>
          </w:p>
        </w:tc>
      </w:tr>
      <w:tr>
        <w:trPr>
          <w:cantSplit/>
        </w:trPr>
        <w:tc>
          <w:tcPr>
            <w:tcW w:type="dxa" w:w="2880"/>
            <w:vAlign w:val="center"/>
            <w:tcMar>
              <w:top w:w="85" w:type="dxa"/>
              <w:bottom w:w="85" w:type="dxa"/>
              <w:left w:w="85" w:type="dxa"/>
              <w:right w:w="85" w:type="dxa"/>
            </w:tcMar>
            <w:shd w:fill="E5E5E5"/>
          </w:tcPr>
          <w:p>
            <w:pPr>
              <w:spacing w:after="40" w:before="40" w:line="240" w:lineRule="auto"/>
              <w:jc w:val="left"/>
            </w:pPr>
            <w:r>
              <w:rPr>
                <w:rFonts w:ascii="Arial" w:hAnsi="Arial" w:eastAsia="Arial" w:cs="Arial"/>
                <w:color w:val="000000"/>
                <w:sz w:val="16"/>
              </w:rPr>
              <w:t>Operating payable days</w:t>
            </w:r>
          </w:p>
        </w:tc>
        <w:tc>
          <w:tcPr>
            <w:tcW w:type="dxa" w:w="1584"/>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53.9</w:t>
            </w:r>
          </w:p>
        </w:tc>
        <w:tc>
          <w:tcPr>
            <w:tcW w:type="dxa" w:w="5112"/>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Operating payables = cost of revenue multiplied by days / 365</w:t>
            </w:r>
          </w:p>
        </w:tc>
      </w:tr>
      <w:tr>
        <w:trPr>
          <w:cantSplit/>
        </w:trPr>
        <w:tc>
          <w:tcPr>
            <w:tcW w:type="dxa" w:w="2880"/>
            <w:vAlign w:val="center"/>
            <w:tcMar>
              <w:top w:w="85" w:type="dxa"/>
              <w:bottom w:w="85" w:type="dxa"/>
              <w:left w:w="85" w:type="dxa"/>
              <w:right w:w="85" w:type="dxa"/>
            </w:tcMar>
            <w:shd w:fill="FFFFFF"/>
          </w:tcPr>
          <w:p>
            <w:pPr>
              <w:spacing w:after="40" w:before="40" w:line="240" w:lineRule="auto"/>
              <w:jc w:val="left"/>
            </w:pPr>
            <w:r>
              <w:rPr>
                <w:rFonts w:ascii="Arial" w:hAnsi="Arial" w:eastAsia="Arial" w:cs="Arial"/>
                <w:color w:val="000000"/>
                <w:sz w:val="16"/>
              </w:rPr>
              <w:t>Current unearned revenue</w:t>
            </w:r>
          </w:p>
        </w:tc>
        <w:tc>
          <w:tcPr>
            <w:tcW w:type="dxa" w:w="1584"/>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22.0%</w:t>
            </w:r>
          </w:p>
        </w:tc>
        <w:tc>
          <w:tcPr>
            <w:tcW w:type="dxa" w:w="5112"/>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Liability as a share of revenue</w:t>
            </w:r>
          </w:p>
        </w:tc>
      </w:tr>
      <w:tr>
        <w:trPr>
          <w:cantSplit/>
        </w:trPr>
        <w:tc>
          <w:tcPr>
            <w:tcW w:type="dxa" w:w="2880"/>
            <w:vAlign w:val="center"/>
            <w:tcMar>
              <w:top w:w="85" w:type="dxa"/>
              <w:bottom w:w="85" w:type="dxa"/>
              <w:left w:w="85" w:type="dxa"/>
              <w:right w:w="85" w:type="dxa"/>
            </w:tcMar>
            <w:shd w:fill="E5E5E5"/>
          </w:tcPr>
          <w:p>
            <w:pPr>
              <w:spacing w:after="40" w:before="40" w:line="240" w:lineRule="auto"/>
              <w:jc w:val="left"/>
            </w:pPr>
            <w:r>
              <w:rPr>
                <w:rFonts w:ascii="Arial" w:hAnsi="Arial" w:eastAsia="Arial" w:cs="Arial"/>
                <w:color w:val="000000"/>
                <w:sz w:val="16"/>
              </w:rPr>
              <w:t>Accrued compensation</w:t>
            </w:r>
          </w:p>
        </w:tc>
        <w:tc>
          <w:tcPr>
            <w:tcW w:type="dxa" w:w="1584"/>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4.5%</w:t>
            </w:r>
          </w:p>
        </w:tc>
        <w:tc>
          <w:tcPr>
            <w:tcW w:type="dxa" w:w="5112"/>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Liability as a share of revenue</w:t>
            </w:r>
          </w:p>
        </w:tc>
      </w:tr>
    </w:tbl>
    <w:p>
      <w:pPr>
        <w:spacing w:after="0"/>
        <w:jc w:val="left"/>
      </w:pPr>
    </w:p>
    <w:p>
      <w:pPr>
        <w:pStyle w:val="Heading2"/>
        <w:jc w:val="left"/>
      </w:pPr>
      <w:r>
        <w:rPr>
          <w:rFonts w:ascii="Arial" w:hAnsi="Arial" w:eastAsia="Arial" w:cs="Arial"/>
          <w:color w:val="000000"/>
          <w:sz w:val="18"/>
        </w:rPr>
        <w:t>Capital expenditure payables</w:t>
      </w:r>
    </w:p>
    <w:p>
      <w:pPr>
        <w:jc w:val="left"/>
      </w:pPr>
      <w:r>
        <w:rPr>
          <w:rFonts w:ascii="Arial" w:hAnsi="Arial" w:eastAsia="Arial" w:cs="Arial"/>
          <w:color w:val="000000"/>
          <w:sz w:val="18"/>
        </w:rPr>
        <w:t>FY2026 accounts payable includes $26.7 billion related to capital expenditure. Removing this amount leaves operating payables of $15.7 billion. The model forecasts these two obligations separately because their cash-flow classification differs.</w:t>
      </w:r>
    </w:p>
    <w:p>
      <w:pPr>
        <w:jc w:val="left"/>
      </w:pPr>
      <w:r>
        <w:rPr>
          <w:rFonts w:ascii="Arial" w:hAnsi="Arial" w:eastAsia="Arial" w:cs="Arial"/>
          <w:color w:val="000000"/>
          <w:sz w:val="18"/>
        </w:rPr>
        <w:t>The increase in operating payables contributes to operating cash flow. The change in capital expenditure payables adds to the recognized asset investment and is excluded from operating cash flow. Counting the total increase in accounts payable as operating funding would overstate CFO and would count part of the capital funding twice.</w:t>
      </w:r>
    </w:p>
    <w:p>
      <w:pPr>
        <w:pStyle w:val="Heading2"/>
        <w:jc w:val="left"/>
      </w:pPr>
      <w:r>
        <w:rPr>
          <w:rFonts w:ascii="Arial" w:hAnsi="Arial" w:eastAsia="Arial" w:cs="Arial"/>
          <w:color w:val="000000"/>
          <w:sz w:val="18"/>
        </w:rPr>
        <w:t>Cash-flow construction</w:t>
      </w:r>
    </w:p>
    <w:p>
      <w:pPr>
        <w:jc w:val="left"/>
      </w:pPr>
      <w:r>
        <w:rPr>
          <w:rFonts w:ascii="Arial" w:hAnsi="Arial" w:eastAsia="Arial" w:cs="Arial"/>
          <w:color w:val="000000"/>
          <w:sz w:val="18"/>
        </w:rPr>
        <w:t>Forecast CFO starts with net income, adds noncash depreciation, amortization, stock-based compensation and the modeled debt-accounting amortization, and reflects changes in operating assets, liabilities and deferred taxes. An increase in a receivable consumes cash. An increase in an operating liability provides cash.</w:t>
      </w:r>
    </w:p>
    <w:p>
      <w:pPr>
        <w:jc w:val="left"/>
      </w:pPr>
      <w:r>
        <w:rPr>
          <w:rFonts w:ascii="Arial" w:hAnsi="Arial" w:eastAsia="Arial" w:cs="Arial"/>
          <w:color w:val="000000"/>
          <w:sz w:val="18"/>
        </w:rPr>
        <w:t>Historical cash-flow adjustments remain the amounts published by Microsoft. They can differ from balance-sheet differences because acquisitions, currency, restatements and other noncash changes also affect balance-sheet amounts. The forecast uses explicit schedules for the items it models and assumes no unannounced acquisitions or currency changes.</w:t>
      </w:r>
    </w:p>
    <w:p>
      <w:pPr>
        <w:jc w:val="left"/>
      </w:pPr>
      <w:r>
        <w:rPr>
          <w:rFonts w:ascii="Arial" w:hAnsi="Arial" w:eastAsia="Arial" w:cs="Arial"/>
          <w:color w:val="000000"/>
          <w:sz w:val="18"/>
        </w:rPr>
        <w:br w:type="page"/>
      </w:r>
    </w:p>
    <w:p>
      <w:pPr>
        <w:pStyle w:val="Heading1"/>
        <w:jc w:val="center"/>
      </w:pPr>
      <w:r>
        <w:rPr>
          <w:rFonts w:ascii="Arial" w:hAnsi="Arial" w:eastAsia="Arial" w:cs="Arial"/>
          <w:color w:val="000000"/>
          <w:sz w:val="21"/>
        </w:rPr>
        <w:t>Capital expenditure and asset depreciation</w:t>
      </w:r>
    </w:p>
    <w:p>
      <w:pPr>
        <w:jc w:val="left"/>
      </w:pPr>
      <w:r>
        <w:rPr>
          <w:rFonts w:ascii="Arial" w:hAnsi="Arial" w:eastAsia="Arial" w:cs="Arial"/>
          <w:color w:val="000000"/>
          <w:sz w:val="18"/>
        </w:rPr>
        <w:t>Cash capital expenditure, accrued capital investment and new finance lease assets are separate inputs. All three can increase PPE, but only cash capital expenditure appears as the modeled cash investment outflow in the current year. Capitalized cash interest is already included in the cash capex budget.</w:t>
      </w:r>
    </w:p>
    <w:tbl>
      <w:tblPr>
        <w:tblW w:type="auto" w:w="0"/>
        <w:jc w:val="center"/>
        <w:tblLayout w:type="fixed"/>
        <w:tblLook w:firstColumn="1" w:firstRow="1" w:lastColumn="0" w:lastRow="0" w:noHBand="0" w:noVBand="1" w:val="04A0"/>
        <w:tblBorders>
          <w:top w:val="single" w:sz="4" w:color="000000"/>
          <w:bottom w:val="single" w:sz="4" w:color="000000"/>
          <w:insideH w:val="nil" w:sz="4" w:color="000000"/>
          <w:left w:val="nil"/>
          <w:right w:val="nil"/>
          <w:insideV w:val="nil"/>
        </w:tblBorders>
      </w:tblPr>
      <w:tblGrid>
        <w:gridCol w:w="2880"/>
        <w:gridCol w:w="1339"/>
        <w:gridCol w:w="1339"/>
        <w:gridCol w:w="1339"/>
        <w:gridCol w:w="1339"/>
        <w:gridCol w:w="1339"/>
      </w:tblGrid>
      <w:tr>
        <w:trPr>
          <w:cantSplit/>
          <w:tblHeader/>
        </w:trPr>
        <w:tc>
          <w:tcPr>
            <w:tcW w:type="dxa" w:w="2880"/>
            <w:vAlign w:val="center"/>
            <w:tcMar>
              <w:top w:w="85" w:type="dxa"/>
              <w:bottom w:w="85" w:type="dxa"/>
              <w:left w:w="85" w:type="dxa"/>
              <w:right w:w="85" w:type="dxa"/>
            </w:tcMar>
            <w:shd w:fill="FFFFFF"/>
            <w:tcBorders>
              <w:bottom w:val="single" w:sz="4" w:color="000000"/>
            </w:tcBorders>
          </w:tcPr>
          <w:p>
            <w:pPr>
              <w:spacing w:after="40" w:before="40" w:line="240" w:lineRule="auto"/>
              <w:jc w:val="left"/>
            </w:pPr>
            <w:r>
              <w:rPr>
                <w:rFonts w:ascii="Arial" w:hAnsi="Arial" w:eastAsia="Arial" w:cs="Arial"/>
                <w:b/>
                <w:color w:val="000000"/>
                <w:sz w:val="16"/>
              </w:rPr>
              <w:t>Base forecast</w:t>
            </w:r>
          </w:p>
        </w:tc>
        <w:tc>
          <w:tcPr>
            <w:tcW w:type="dxa" w:w="1339"/>
            <w:vAlign w:val="center"/>
            <w:tcMar>
              <w:top w:w="85" w:type="dxa"/>
              <w:bottom w:w="85" w:type="dxa"/>
              <w:left w:w="85" w:type="dxa"/>
              <w:right w:w="85" w:type="dxa"/>
            </w:tcMar>
            <w:shd w:fill="FFFFFF"/>
            <w:tcBorders>
              <w:bottom w:val="single" w:sz="4" w:color="000000"/>
            </w:tcBorders>
          </w:tcPr>
          <w:p>
            <w:pPr>
              <w:spacing w:after="40" w:before="40" w:line="240" w:lineRule="auto"/>
              <w:jc w:val="center"/>
            </w:pPr>
            <w:r>
              <w:rPr>
                <w:rFonts w:ascii="Arial" w:hAnsi="Arial" w:eastAsia="Arial" w:cs="Arial"/>
                <w:b/>
                <w:color w:val="000000"/>
                <w:sz w:val="16"/>
              </w:rPr>
              <w:t>FY2027</w:t>
            </w:r>
          </w:p>
        </w:tc>
        <w:tc>
          <w:tcPr>
            <w:tcW w:type="dxa" w:w="1339"/>
            <w:vAlign w:val="center"/>
            <w:tcMar>
              <w:top w:w="85" w:type="dxa"/>
              <w:bottom w:w="85" w:type="dxa"/>
              <w:left w:w="85" w:type="dxa"/>
              <w:right w:w="85" w:type="dxa"/>
            </w:tcMar>
            <w:shd w:fill="FFFFFF"/>
            <w:tcBorders>
              <w:bottom w:val="single" w:sz="4" w:color="000000"/>
            </w:tcBorders>
          </w:tcPr>
          <w:p>
            <w:pPr>
              <w:spacing w:after="40" w:before="40" w:line="240" w:lineRule="auto"/>
              <w:jc w:val="center"/>
            </w:pPr>
            <w:r>
              <w:rPr>
                <w:rFonts w:ascii="Arial" w:hAnsi="Arial" w:eastAsia="Arial" w:cs="Arial"/>
                <w:b/>
                <w:color w:val="000000"/>
                <w:sz w:val="16"/>
              </w:rPr>
              <w:t>FY2028</w:t>
            </w:r>
          </w:p>
        </w:tc>
        <w:tc>
          <w:tcPr>
            <w:tcW w:type="dxa" w:w="1339"/>
            <w:vAlign w:val="center"/>
            <w:tcMar>
              <w:top w:w="85" w:type="dxa"/>
              <w:bottom w:w="85" w:type="dxa"/>
              <w:left w:w="85" w:type="dxa"/>
              <w:right w:w="85" w:type="dxa"/>
            </w:tcMar>
            <w:shd w:fill="FFFFFF"/>
            <w:tcBorders>
              <w:bottom w:val="single" w:sz="4" w:color="000000"/>
            </w:tcBorders>
          </w:tcPr>
          <w:p>
            <w:pPr>
              <w:spacing w:after="40" w:before="40" w:line="240" w:lineRule="auto"/>
              <w:jc w:val="center"/>
            </w:pPr>
            <w:r>
              <w:rPr>
                <w:rFonts w:ascii="Arial" w:hAnsi="Arial" w:eastAsia="Arial" w:cs="Arial"/>
                <w:b/>
                <w:color w:val="000000"/>
                <w:sz w:val="16"/>
              </w:rPr>
              <w:t>FY2029</w:t>
            </w:r>
          </w:p>
        </w:tc>
        <w:tc>
          <w:tcPr>
            <w:tcW w:type="dxa" w:w="1339"/>
            <w:vAlign w:val="center"/>
            <w:tcMar>
              <w:top w:w="85" w:type="dxa"/>
              <w:bottom w:w="85" w:type="dxa"/>
              <w:left w:w="85" w:type="dxa"/>
              <w:right w:w="85" w:type="dxa"/>
            </w:tcMar>
            <w:shd w:fill="FFFFFF"/>
            <w:tcBorders>
              <w:bottom w:val="single" w:sz="4" w:color="000000"/>
            </w:tcBorders>
          </w:tcPr>
          <w:p>
            <w:pPr>
              <w:spacing w:after="40" w:before="40" w:line="240" w:lineRule="auto"/>
              <w:jc w:val="center"/>
            </w:pPr>
            <w:r>
              <w:rPr>
                <w:rFonts w:ascii="Arial" w:hAnsi="Arial" w:eastAsia="Arial" w:cs="Arial"/>
                <w:b/>
                <w:color w:val="000000"/>
                <w:sz w:val="16"/>
              </w:rPr>
              <w:t>FY2030</w:t>
            </w:r>
          </w:p>
        </w:tc>
        <w:tc>
          <w:tcPr>
            <w:tcW w:type="dxa" w:w="1339"/>
            <w:vAlign w:val="center"/>
            <w:tcMar>
              <w:top w:w="85" w:type="dxa"/>
              <w:bottom w:w="85" w:type="dxa"/>
              <w:left w:w="85" w:type="dxa"/>
              <w:right w:w="85" w:type="dxa"/>
            </w:tcMar>
            <w:shd w:fill="FFFFFF"/>
            <w:tcBorders>
              <w:bottom w:val="single" w:sz="4" w:color="000000"/>
            </w:tcBorders>
          </w:tcPr>
          <w:p>
            <w:pPr>
              <w:spacing w:after="40" w:before="40" w:line="240" w:lineRule="auto"/>
              <w:jc w:val="center"/>
            </w:pPr>
            <w:r>
              <w:rPr>
                <w:rFonts w:ascii="Arial" w:hAnsi="Arial" w:eastAsia="Arial" w:cs="Arial"/>
                <w:b/>
                <w:color w:val="000000"/>
                <w:sz w:val="16"/>
              </w:rPr>
              <w:t>FY2031</w:t>
            </w:r>
          </w:p>
        </w:tc>
      </w:tr>
      <w:tr>
        <w:trPr>
          <w:cantSplit/>
        </w:trPr>
        <w:tc>
          <w:tcPr>
            <w:tcW w:type="dxa" w:w="2880"/>
            <w:vAlign w:val="center"/>
            <w:tcMar>
              <w:top w:w="85" w:type="dxa"/>
              <w:bottom w:w="85" w:type="dxa"/>
              <w:left w:w="85" w:type="dxa"/>
              <w:right w:w="85" w:type="dxa"/>
            </w:tcMar>
            <w:shd w:fill="E5E5E5"/>
          </w:tcPr>
          <w:p>
            <w:pPr>
              <w:spacing w:after="40" w:before="40" w:line="240" w:lineRule="auto"/>
              <w:jc w:val="left"/>
            </w:pPr>
            <w:r>
              <w:rPr>
                <w:rFonts w:ascii="Arial" w:hAnsi="Arial" w:eastAsia="Arial" w:cs="Arial"/>
                <w:color w:val="000000"/>
                <w:sz w:val="16"/>
              </w:rPr>
              <w:t>Cash capex</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123.2</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124.5</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127.2</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127.0</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129.6</w:t>
            </w:r>
          </w:p>
        </w:tc>
      </w:tr>
      <w:tr>
        <w:trPr>
          <w:cantSplit/>
        </w:trPr>
        <w:tc>
          <w:tcPr>
            <w:tcW w:type="dxa" w:w="2880"/>
            <w:vAlign w:val="center"/>
            <w:tcMar>
              <w:top w:w="85" w:type="dxa"/>
              <w:bottom w:w="85" w:type="dxa"/>
              <w:left w:w="85" w:type="dxa"/>
              <w:right w:w="85" w:type="dxa"/>
            </w:tcMar>
            <w:shd w:fill="FFFFFF"/>
          </w:tcPr>
          <w:p>
            <w:pPr>
              <w:spacing w:after="40" w:before="40" w:line="240" w:lineRule="auto"/>
              <w:jc w:val="left"/>
            </w:pPr>
            <w:r>
              <w:rPr>
                <w:rFonts w:ascii="Arial" w:hAnsi="Arial" w:eastAsia="Arial" w:cs="Arial"/>
                <w:color w:val="000000"/>
                <w:sz w:val="16"/>
              </w:rPr>
              <w:t>PPE additions</w:t>
            </w:r>
          </w:p>
        </w:tc>
        <w:tc>
          <w:tcPr>
            <w:tcW w:type="dxa" w:w="1339"/>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150.0</w:t>
            </w:r>
          </w:p>
        </w:tc>
        <w:tc>
          <w:tcPr>
            <w:tcW w:type="dxa" w:w="1339"/>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153.3</w:t>
            </w:r>
          </w:p>
        </w:tc>
        <w:tc>
          <w:tcPr>
            <w:tcW w:type="dxa" w:w="1339"/>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158.3</w:t>
            </w:r>
          </w:p>
        </w:tc>
        <w:tc>
          <w:tcPr>
            <w:tcW w:type="dxa" w:w="1339"/>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159.1</w:t>
            </w:r>
          </w:p>
        </w:tc>
        <w:tc>
          <w:tcPr>
            <w:tcW w:type="dxa" w:w="1339"/>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163.0</w:t>
            </w:r>
          </w:p>
        </w:tc>
      </w:tr>
      <w:tr>
        <w:trPr>
          <w:cantSplit/>
        </w:trPr>
        <w:tc>
          <w:tcPr>
            <w:tcW w:type="dxa" w:w="2880"/>
            <w:vAlign w:val="center"/>
            <w:tcMar>
              <w:top w:w="85" w:type="dxa"/>
              <w:bottom w:w="85" w:type="dxa"/>
              <w:left w:w="85" w:type="dxa"/>
              <w:right w:w="85" w:type="dxa"/>
            </w:tcMar>
            <w:shd w:fill="E5E5E5"/>
          </w:tcPr>
          <w:p>
            <w:pPr>
              <w:spacing w:after="40" w:before="40" w:line="240" w:lineRule="auto"/>
              <w:jc w:val="left"/>
            </w:pPr>
            <w:r>
              <w:rPr>
                <w:rFonts w:ascii="Arial" w:hAnsi="Arial" w:eastAsia="Arial" w:cs="Arial"/>
                <w:color w:val="000000"/>
                <w:sz w:val="16"/>
              </w:rPr>
              <w:t>PPE depreciation</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50.3</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75.6</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101.6</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128.0</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154.9</w:t>
            </w:r>
          </w:p>
        </w:tc>
      </w:tr>
      <w:tr>
        <w:trPr>
          <w:cantSplit/>
        </w:trPr>
        <w:tc>
          <w:tcPr>
            <w:tcW w:type="dxa" w:w="2880"/>
            <w:vAlign w:val="center"/>
            <w:tcMar>
              <w:top w:w="85" w:type="dxa"/>
              <w:bottom w:w="85" w:type="dxa"/>
              <w:left w:w="85" w:type="dxa"/>
              <w:right w:w="85" w:type="dxa"/>
            </w:tcMar>
            <w:shd w:fill="FFFFFF"/>
          </w:tcPr>
          <w:p>
            <w:pPr>
              <w:spacing w:after="40" w:before="40" w:line="240" w:lineRule="auto"/>
              <w:jc w:val="left"/>
            </w:pPr>
            <w:r>
              <w:rPr>
                <w:rFonts w:ascii="Arial" w:hAnsi="Arial" w:eastAsia="Arial" w:cs="Arial"/>
                <w:color w:val="000000"/>
                <w:sz w:val="16"/>
              </w:rPr>
              <w:t>Closing net PPE</w:t>
            </w:r>
          </w:p>
        </w:tc>
        <w:tc>
          <w:tcPr>
            <w:tcW w:type="dxa" w:w="1339"/>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412.8</w:t>
            </w:r>
          </w:p>
        </w:tc>
        <w:tc>
          <w:tcPr>
            <w:tcW w:type="dxa" w:w="1339"/>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490.5</w:t>
            </w:r>
          </w:p>
        </w:tc>
        <w:tc>
          <w:tcPr>
            <w:tcW w:type="dxa" w:w="1339"/>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547.2</w:t>
            </w:r>
          </w:p>
        </w:tc>
        <w:tc>
          <w:tcPr>
            <w:tcW w:type="dxa" w:w="1339"/>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578.3</w:t>
            </w:r>
          </w:p>
        </w:tc>
        <w:tc>
          <w:tcPr>
            <w:tcW w:type="dxa" w:w="1339"/>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586.5</w:t>
            </w:r>
          </w:p>
        </w:tc>
      </w:tr>
      <w:tr>
        <w:trPr>
          <w:cantSplit/>
        </w:trPr>
        <w:tc>
          <w:tcPr>
            <w:tcW w:type="dxa" w:w="2880"/>
            <w:vAlign w:val="center"/>
            <w:tcMar>
              <w:top w:w="85" w:type="dxa"/>
              <w:bottom w:w="85" w:type="dxa"/>
              <w:left w:w="85" w:type="dxa"/>
              <w:right w:w="85" w:type="dxa"/>
            </w:tcMar>
            <w:shd w:fill="E5E5E5"/>
          </w:tcPr>
          <w:p>
            <w:pPr>
              <w:spacing w:after="40" w:before="40" w:line="240" w:lineRule="auto"/>
              <w:jc w:val="left"/>
            </w:pPr>
            <w:r>
              <w:rPr>
                <w:rFonts w:ascii="Arial" w:hAnsi="Arial" w:eastAsia="Arial" w:cs="Arial"/>
                <w:color w:val="000000"/>
                <w:sz w:val="16"/>
              </w:rPr>
              <w:t>Finance lease liabilities</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90.2</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113.5</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137.0</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159.8</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181.3</w:t>
            </w:r>
          </w:p>
        </w:tc>
      </w:tr>
    </w:tbl>
    <w:p>
      <w:pPr>
        <w:spacing w:after="0"/>
        <w:jc w:val="left"/>
      </w:pPr>
    </w:p>
    <w:p>
      <w:pPr>
        <w:pStyle w:val="Caption"/>
        <w:jc w:val="left"/>
      </w:pPr>
      <w:r>
        <w:rPr>
          <w:rFonts w:ascii="Arial" w:hAnsi="Arial" w:eastAsia="Arial" w:cs="Arial"/>
          <w:color w:val="000000"/>
          <w:sz w:val="16"/>
        </w:rPr>
        <w:t>Amounts in USD billions. PPE additions include the change in capital expenditure payables and new finance lease assets.</w:t>
      </w:r>
    </w:p>
    <w:p>
      <w:pPr>
        <w:pStyle w:val="Heading2"/>
        <w:jc w:val="left"/>
      </w:pPr>
      <w:r>
        <w:rPr>
          <w:rFonts w:ascii="Arial" w:hAnsi="Arial" w:eastAsia="Arial" w:cs="Arial"/>
          <w:color w:val="000000"/>
          <w:sz w:val="18"/>
        </w:rPr>
        <w:t>Annual depreciation cohorts</w:t>
      </w:r>
    </w:p>
    <w:p>
      <w:pPr>
        <w:jc w:val="left"/>
      </w:pPr>
      <w:r>
        <w:rPr>
          <w:rFonts w:ascii="Arial" w:hAnsi="Arial" w:eastAsia="Arial" w:cs="Arial"/>
          <w:color w:val="000000"/>
          <w:sz w:val="18"/>
        </w:rPr>
        <w:t>Legacy depreciable net PPE uses an assumed remaining life and is capped at its remaining depreciable balance. Land is held constant. Each forecast year's new additions form a separate cohort with its own useful-life driver. New additions receive half a year's depreciation in their commissioning year. Prior cohorts then receive a full-year charge subject to their remaining balance.</w:t>
      </w:r>
    </w:p>
    <w:p>
      <w:pPr>
        <w:jc w:val="left"/>
      </w:pPr>
      <w:r>
        <w:rPr>
          <w:rFonts w:ascii="Arial" w:hAnsi="Arial" w:eastAsia="Arial" w:cs="Arial"/>
          <w:color w:val="000000"/>
          <w:sz w:val="18"/>
        </w:rPr>
        <w:t>The workbook reconciles opening PPE, additions and depreciation to closing PPE. It also compares the ending balance with land, legacy depreciable PPE and the remaining balance of every forecast cohort. Gross PPE and accumulated depreciation remain visible rather than being replaced by an unexplained net balance.</w:t>
      </w:r>
    </w:p>
    <w:p>
      <w:pPr>
        <w:pStyle w:val="Heading2"/>
        <w:jc w:val="left"/>
      </w:pPr>
      <w:r>
        <w:rPr>
          <w:rFonts w:ascii="Arial" w:hAnsi="Arial" w:eastAsia="Arial" w:cs="Arial"/>
          <w:color w:val="000000"/>
          <w:sz w:val="18"/>
        </w:rPr>
        <w:t>Intangible assets and forecast margin</w:t>
      </w:r>
    </w:p>
    <w:p>
      <w:pPr>
        <w:jc w:val="left"/>
      </w:pPr>
      <w:r>
        <w:rPr>
          <w:rFonts w:ascii="Arial" w:hAnsi="Arial" w:eastAsia="Arial" w:cs="Arial"/>
          <w:color w:val="000000"/>
          <w:sz w:val="18"/>
        </w:rPr>
        <w:t>The existing intangible assets follow the FY2026 disclosed annual amortization schedule, with each charge capped at the remaining asset balance. Goodwill stays constant and no new acquisition goodwill is assumed. The increase in PPE depreciation is the main reason the forecast can generate more revenue while showing a lower operating margin.</w:t>
      </w:r>
    </w:p>
    <w:p>
      <w:pPr>
        <w:jc w:val="left"/>
      </w:pPr>
      <w:r>
        <w:rPr>
          <w:rFonts w:ascii="Arial" w:hAnsi="Arial" w:eastAsia="Arial" w:cs="Arial"/>
          <w:color w:val="000000"/>
          <w:sz w:val="18"/>
        </w:rPr>
        <w:t>The model does not forecast disposals, impairment events or a construction-in-progress commissioning pipeline. A half-year convention approximates the annual timing of new capital investment. These simplifications are material when interpreting cloud infrastructure economics.</w:t>
      </w:r>
    </w:p>
    <w:p>
      <w:pPr>
        <w:jc w:val="left"/>
      </w:pPr>
      <w:r>
        <w:rPr>
          <w:rFonts w:ascii="Arial" w:hAnsi="Arial" w:eastAsia="Arial" w:cs="Arial"/>
          <w:color w:val="000000"/>
          <w:sz w:val="18"/>
        </w:rPr>
        <w:br w:type="page"/>
      </w:r>
    </w:p>
    <w:p>
      <w:pPr>
        <w:pStyle w:val="Heading1"/>
        <w:jc w:val="center"/>
      </w:pPr>
      <w:r>
        <w:rPr>
          <w:rFonts w:ascii="Arial" w:hAnsi="Arial" w:eastAsia="Arial" w:cs="Arial"/>
          <w:color w:val="000000"/>
          <w:sz w:val="21"/>
        </w:rPr>
        <w:t>Debt leases and liquidity funding</w:t>
      </w:r>
    </w:p>
    <w:p>
      <w:pPr>
        <w:pStyle w:val="Heading2"/>
        <w:jc w:val="left"/>
      </w:pPr>
      <w:r>
        <w:rPr>
          <w:rFonts w:ascii="Arial" w:hAnsi="Arial" w:eastAsia="Arial" w:cs="Arial"/>
          <w:color w:val="000000"/>
          <w:sz w:val="18"/>
        </w:rPr>
        <w:t>Contractual face value and carrying amount</w:t>
      </w:r>
    </w:p>
    <w:p>
      <w:pPr>
        <w:jc w:val="left"/>
      </w:pPr>
      <w:r>
        <w:rPr>
          <w:rFonts w:ascii="Arial" w:hAnsi="Arial" w:eastAsia="Arial" w:cs="Arial"/>
          <w:color w:val="000000"/>
          <w:sz w:val="18"/>
        </w:rPr>
        <w:t>The FY2026 debt maturity schedule totals $46.1 billion of face value. Its carrying amount is $40.3 billion after discounts and issuance costs, hedge adjustments and debt-exchange premiums. The debt schedule carries these accounting adjustments separately from cash repayment.</w:t>
      </w:r>
    </w:p>
    <w:tbl>
      <w:tblPr>
        <w:tblW w:type="auto" w:w="0"/>
        <w:jc w:val="center"/>
        <w:tblLayout w:type="fixed"/>
        <w:tblLook w:firstColumn="1" w:firstRow="1" w:lastColumn="0" w:lastRow="0" w:noHBand="0" w:noVBand="1" w:val="04A0"/>
        <w:tblBorders>
          <w:top w:val="single" w:sz="4" w:color="000000"/>
          <w:bottom w:val="single" w:sz="4" w:color="000000"/>
          <w:insideH w:val="nil" w:sz="4" w:color="000000"/>
          <w:left w:val="nil"/>
          <w:right w:val="nil"/>
          <w:insideV w:val="nil"/>
        </w:tblBorders>
      </w:tblPr>
      <w:tblGrid>
        <w:gridCol w:w="6696"/>
        <w:gridCol w:w="2880"/>
      </w:tblGrid>
      <w:tr>
        <w:trPr>
          <w:cantSplit/>
          <w:tblHeader/>
        </w:trPr>
        <w:tc>
          <w:tcPr>
            <w:tcW w:type="dxa" w:w="6696"/>
            <w:vAlign w:val="center"/>
            <w:tcMar>
              <w:top w:w="85" w:type="dxa"/>
              <w:bottom w:w="85" w:type="dxa"/>
              <w:left w:w="85" w:type="dxa"/>
              <w:right w:w="85" w:type="dxa"/>
            </w:tcMar>
            <w:shd w:fill="FFFFFF"/>
            <w:tcBorders>
              <w:bottom w:val="single" w:sz="4" w:color="000000"/>
            </w:tcBorders>
          </w:tcPr>
          <w:p>
            <w:pPr>
              <w:spacing w:after="40" w:before="40" w:line="240" w:lineRule="auto"/>
              <w:jc w:val="left"/>
            </w:pPr>
            <w:r>
              <w:rPr>
                <w:rFonts w:ascii="Arial" w:hAnsi="Arial" w:eastAsia="Arial" w:cs="Arial"/>
                <w:b/>
                <w:color w:val="000000"/>
                <w:sz w:val="16"/>
              </w:rPr>
              <w:t>FY2026 debt reconciliation</w:t>
            </w:r>
          </w:p>
        </w:tc>
        <w:tc>
          <w:tcPr>
            <w:tcW w:type="dxa" w:w="2880"/>
            <w:vAlign w:val="center"/>
            <w:tcMar>
              <w:top w:w="85" w:type="dxa"/>
              <w:bottom w:w="85" w:type="dxa"/>
              <w:left w:w="85" w:type="dxa"/>
              <w:right w:w="85" w:type="dxa"/>
            </w:tcMar>
            <w:shd w:fill="FFFFFF"/>
            <w:tcBorders>
              <w:bottom w:val="single" w:sz="4" w:color="000000"/>
            </w:tcBorders>
          </w:tcPr>
          <w:p>
            <w:pPr>
              <w:spacing w:after="40" w:before="40" w:line="240" w:lineRule="auto"/>
              <w:jc w:val="center"/>
            </w:pPr>
            <w:r>
              <w:rPr>
                <w:rFonts w:ascii="Arial" w:hAnsi="Arial" w:eastAsia="Arial" w:cs="Arial"/>
                <w:b/>
                <w:color w:val="000000"/>
                <w:sz w:val="16"/>
              </w:rPr>
              <w:t>USD millions</w:t>
            </w:r>
          </w:p>
        </w:tc>
      </w:tr>
      <w:tr>
        <w:trPr>
          <w:cantSplit/>
        </w:trPr>
        <w:tc>
          <w:tcPr>
            <w:tcW w:type="dxa" w:w="6696"/>
            <w:vAlign w:val="center"/>
            <w:tcMar>
              <w:top w:w="85" w:type="dxa"/>
              <w:bottom w:w="85" w:type="dxa"/>
              <w:left w:w="85" w:type="dxa"/>
              <w:right w:w="85" w:type="dxa"/>
            </w:tcMar>
            <w:shd w:fill="E5E5E5"/>
          </w:tcPr>
          <w:p>
            <w:pPr>
              <w:spacing w:after="40" w:before="40" w:line="240" w:lineRule="auto"/>
              <w:jc w:val="left"/>
            </w:pPr>
            <w:r>
              <w:rPr>
                <w:rFonts w:ascii="Arial" w:hAnsi="Arial" w:eastAsia="Arial" w:cs="Arial"/>
                <w:color w:val="000000"/>
                <w:sz w:val="16"/>
              </w:rPr>
              <w:t>Debt face value</w:t>
            </w:r>
          </w:p>
        </w:tc>
        <w:tc>
          <w:tcPr>
            <w:tcW w:type="dxa" w:w="2880"/>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46,136</w:t>
            </w:r>
          </w:p>
        </w:tc>
      </w:tr>
      <w:tr>
        <w:trPr>
          <w:cantSplit/>
        </w:trPr>
        <w:tc>
          <w:tcPr>
            <w:tcW w:type="dxa" w:w="6696"/>
            <w:vAlign w:val="center"/>
            <w:tcMar>
              <w:top w:w="85" w:type="dxa"/>
              <w:bottom w:w="85" w:type="dxa"/>
              <w:left w:w="85" w:type="dxa"/>
              <w:right w:w="85" w:type="dxa"/>
            </w:tcMar>
            <w:shd w:fill="FFFFFF"/>
          </w:tcPr>
          <w:p>
            <w:pPr>
              <w:spacing w:after="40" w:before="40" w:line="240" w:lineRule="auto"/>
              <w:jc w:val="left"/>
            </w:pPr>
            <w:r>
              <w:rPr>
                <w:rFonts w:ascii="Arial" w:hAnsi="Arial" w:eastAsia="Arial" w:cs="Arial"/>
                <w:color w:val="000000"/>
                <w:sz w:val="16"/>
              </w:rPr>
              <w:t>Less discounts and issuance costs</w:t>
            </w:r>
          </w:p>
        </w:tc>
        <w:tc>
          <w:tcPr>
            <w:tcW w:type="dxa" w:w="2880"/>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(1,081)</w:t>
            </w:r>
          </w:p>
        </w:tc>
      </w:tr>
      <w:tr>
        <w:trPr>
          <w:cantSplit/>
        </w:trPr>
        <w:tc>
          <w:tcPr>
            <w:tcW w:type="dxa" w:w="6696"/>
            <w:vAlign w:val="center"/>
            <w:tcMar>
              <w:top w:w="85" w:type="dxa"/>
              <w:bottom w:w="85" w:type="dxa"/>
              <w:left w:w="85" w:type="dxa"/>
              <w:right w:w="85" w:type="dxa"/>
            </w:tcMar>
            <w:shd w:fill="E5E5E5"/>
          </w:tcPr>
          <w:p>
            <w:pPr>
              <w:spacing w:after="40" w:before="40" w:line="240" w:lineRule="auto"/>
              <w:jc w:val="left"/>
            </w:pPr>
            <w:r>
              <w:rPr>
                <w:rFonts w:ascii="Arial" w:hAnsi="Arial" w:eastAsia="Arial" w:cs="Arial"/>
                <w:color w:val="000000"/>
                <w:sz w:val="16"/>
              </w:rPr>
              <w:t>Less hedge adjustments</w:t>
            </w:r>
          </w:p>
        </w:tc>
        <w:tc>
          <w:tcPr>
            <w:tcW w:type="dxa" w:w="2880"/>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(11)</w:t>
            </w:r>
          </w:p>
        </w:tc>
      </w:tr>
      <w:tr>
        <w:trPr>
          <w:cantSplit/>
        </w:trPr>
        <w:tc>
          <w:tcPr>
            <w:tcW w:type="dxa" w:w="6696"/>
            <w:vAlign w:val="center"/>
            <w:tcMar>
              <w:top w:w="85" w:type="dxa"/>
              <w:bottom w:w="85" w:type="dxa"/>
              <w:left w:w="85" w:type="dxa"/>
              <w:right w:w="85" w:type="dxa"/>
            </w:tcMar>
            <w:shd w:fill="FFFFFF"/>
          </w:tcPr>
          <w:p>
            <w:pPr>
              <w:spacing w:after="40" w:before="40" w:line="240" w:lineRule="auto"/>
              <w:jc w:val="left"/>
            </w:pPr>
            <w:r>
              <w:rPr>
                <w:rFonts w:ascii="Arial" w:hAnsi="Arial" w:eastAsia="Arial" w:cs="Arial"/>
                <w:color w:val="000000"/>
                <w:sz w:val="16"/>
              </w:rPr>
              <w:t>Less debt exchange premiums</w:t>
            </w:r>
          </w:p>
        </w:tc>
        <w:tc>
          <w:tcPr>
            <w:tcW w:type="dxa" w:w="2880"/>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(4,750)</w:t>
            </w:r>
          </w:p>
        </w:tc>
      </w:tr>
      <w:tr>
        <w:trPr>
          <w:cantSplit/>
        </w:trPr>
        <w:tc>
          <w:tcPr>
            <w:tcW w:type="dxa" w:w="6696"/>
            <w:vAlign w:val="center"/>
            <w:tcMar>
              <w:top w:w="85" w:type="dxa"/>
              <w:bottom w:w="85" w:type="dxa"/>
              <w:left w:w="85" w:type="dxa"/>
              <w:right w:w="85" w:type="dxa"/>
            </w:tcMar>
            <w:shd w:fill="E5E5E5"/>
          </w:tcPr>
          <w:p>
            <w:pPr>
              <w:spacing w:after="40" w:before="40" w:line="240" w:lineRule="auto"/>
              <w:jc w:val="left"/>
            </w:pPr>
            <w:r>
              <w:rPr>
                <w:rFonts w:ascii="Arial" w:hAnsi="Arial" w:eastAsia="Arial" w:cs="Arial"/>
                <w:color w:val="000000"/>
                <w:sz w:val="16"/>
              </w:rPr>
              <w:t>Debt carrying amount</w:t>
            </w:r>
          </w:p>
        </w:tc>
        <w:tc>
          <w:tcPr>
            <w:tcW w:type="dxa" w:w="2880"/>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40,294</w:t>
            </w:r>
          </w:p>
        </w:tc>
      </w:tr>
    </w:tbl>
    <w:p>
      <w:pPr>
        <w:spacing w:after="0"/>
        <w:jc w:val="left"/>
      </w:pPr>
    </w:p>
    <w:p>
      <w:pPr>
        <w:pStyle w:val="Heading2"/>
        <w:jc w:val="left"/>
      </w:pPr>
      <w:r>
        <w:rPr>
          <w:rFonts w:ascii="Arial" w:hAnsi="Arial" w:eastAsia="Arial" w:cs="Arial"/>
          <w:color w:val="000000"/>
          <w:sz w:val="18"/>
        </w:rPr>
        <w:t>Finance and operating leases</w:t>
      </w:r>
    </w:p>
    <w:p>
      <w:pPr>
        <w:jc w:val="left"/>
      </w:pPr>
      <w:r>
        <w:rPr>
          <w:rFonts w:ascii="Arial" w:hAnsi="Arial" w:eastAsia="Arial" w:cs="Arial"/>
          <w:color w:val="000000"/>
          <w:sz w:val="18"/>
        </w:rPr>
        <w:t>Legacy lease payments come from the FY2026 contractual schedules. Payments include interest, so the model separates their interest and principal components. Finance lease principal is a financing cash outflow. Operating lease expense and cash payments are reconciled through the ROU asset amortization and the liability principal reduction in CFO.</w:t>
      </w:r>
    </w:p>
    <w:p>
      <w:pPr>
        <w:jc w:val="left"/>
      </w:pPr>
      <w:r>
        <w:rPr>
          <w:rFonts w:ascii="Arial" w:hAnsi="Arial" w:eastAsia="Arial" w:cs="Arial"/>
          <w:color w:val="000000"/>
          <w:sz w:val="18"/>
        </w:rPr>
        <w:t>New lease assets and obligations are modeled together, with assumed terms and a half-year convention for additions. New operating leases use a simplified amortization and principal profile. This is an annual planning approximation rather than a contract-by-contract effective-interest schedule. Current liabilities use the next year's expected payment profile, including explicitly labeled FY2032 tail assumptions.</w:t>
      </w:r>
    </w:p>
    <w:p>
      <w:pPr>
        <w:pStyle w:val="Heading2"/>
        <w:jc w:val="left"/>
      </w:pPr>
      <w:r>
        <w:rPr>
          <w:rFonts w:ascii="Arial" w:hAnsi="Arial" w:eastAsia="Arial" w:cs="Arial"/>
          <w:color w:val="000000"/>
          <w:sz w:val="18"/>
        </w:rPr>
        <w:t>Funding order and interest timing</w:t>
      </w:r>
    </w:p>
    <w:p>
      <w:pPr>
        <w:jc w:val="left"/>
      </w:pPr>
      <w:r>
        <w:rPr>
          <w:rFonts w:ascii="Arial" w:hAnsi="Arial" w:eastAsia="Arial" w:cs="Arial"/>
          <w:color w:val="000000"/>
          <w:sz w:val="18"/>
        </w:rPr>
        <w:t>The model first uses available cash generation, then liquidates short-term investments above a minimum reserve, and finally calculates the new borrowing needed to meet the minimum cash balance. The research policy is $25 billion of cash and $20 billion of short-term investments. It represents a model funding need, not an available or committed credit facility.</w:t>
      </w:r>
    </w:p>
    <w:p>
      <w:pPr>
        <w:jc w:val="left"/>
      </w:pPr>
      <w:r>
        <w:rPr>
          <w:rFonts w:ascii="Arial" w:hAnsi="Arial" w:eastAsia="Arial" w:cs="Arial"/>
          <w:color w:val="000000"/>
          <w:sz w:val="18"/>
        </w:rPr>
        <w:t>Liquidity borrowing occurs at year-end so interest begins in the following year. Interest on debt uses opening face value, and investment income uses opening liquid assets. This timing keeps the forecast free of an unintended interest-and-cash circular reference. The three saved scenarios require no incremental liquidity borrowing.</w:t>
      </w:r>
    </w:p>
    <w:p>
      <w:pPr>
        <w:jc w:val="left"/>
      </w:pPr>
      <w:r>
        <w:rPr>
          <w:rFonts w:ascii="Arial" w:hAnsi="Arial" w:eastAsia="Arial" w:cs="Arial"/>
          <w:color w:val="000000"/>
          <w:sz w:val="18"/>
        </w:rPr>
        <w:br w:type="page"/>
      </w:r>
    </w:p>
    <w:p>
      <w:pPr>
        <w:pStyle w:val="Heading1"/>
        <w:jc w:val="center"/>
      </w:pPr>
      <w:r>
        <w:rPr>
          <w:rFonts w:ascii="Arial" w:hAnsi="Arial" w:eastAsia="Arial" w:cs="Arial"/>
          <w:color w:val="000000"/>
          <w:sz w:val="21"/>
        </w:rPr>
        <w:t>Integrated forecast statements</w:t>
      </w:r>
    </w:p>
    <w:tbl>
      <w:tblPr>
        <w:tblW w:type="auto" w:w="0"/>
        <w:jc w:val="center"/>
        <w:tblLayout w:type="fixed"/>
        <w:tblLook w:firstColumn="1" w:firstRow="1" w:lastColumn="0" w:lastRow="0" w:noHBand="0" w:noVBand="1" w:val="04A0"/>
        <w:tblBorders>
          <w:top w:val="single" w:sz="4" w:color="000000"/>
          <w:bottom w:val="single" w:sz="4" w:color="000000"/>
          <w:insideH w:val="nil" w:sz="4" w:color="000000"/>
          <w:left w:val="nil"/>
          <w:right w:val="nil"/>
          <w:insideV w:val="nil"/>
        </w:tblBorders>
      </w:tblPr>
      <w:tblGrid>
        <w:gridCol w:w="2880"/>
        <w:gridCol w:w="1339"/>
        <w:gridCol w:w="1339"/>
        <w:gridCol w:w="1339"/>
        <w:gridCol w:w="1339"/>
        <w:gridCol w:w="1339"/>
      </w:tblGrid>
      <w:tr>
        <w:trPr>
          <w:cantSplit/>
          <w:tblHeader/>
        </w:trPr>
        <w:tc>
          <w:tcPr>
            <w:tcW w:type="dxa" w:w="2880"/>
            <w:vAlign w:val="center"/>
            <w:tcMar>
              <w:top w:w="85" w:type="dxa"/>
              <w:bottom w:w="85" w:type="dxa"/>
              <w:left w:w="85" w:type="dxa"/>
              <w:right w:w="85" w:type="dxa"/>
            </w:tcMar>
            <w:shd w:fill="FFFFFF"/>
            <w:tcBorders>
              <w:bottom w:val="single" w:sz="4" w:color="000000"/>
            </w:tcBorders>
          </w:tcPr>
          <w:p>
            <w:pPr>
              <w:spacing w:after="40" w:before="40" w:line="240" w:lineRule="auto"/>
              <w:jc w:val="left"/>
            </w:pPr>
            <w:r>
              <w:rPr>
                <w:rFonts w:ascii="Arial" w:hAnsi="Arial" w:eastAsia="Arial" w:cs="Arial"/>
                <w:b/>
                <w:color w:val="000000"/>
                <w:sz w:val="16"/>
              </w:rPr>
              <w:t>Base forecast</w:t>
            </w:r>
          </w:p>
        </w:tc>
        <w:tc>
          <w:tcPr>
            <w:tcW w:type="dxa" w:w="1339"/>
            <w:vAlign w:val="center"/>
            <w:tcMar>
              <w:top w:w="85" w:type="dxa"/>
              <w:bottom w:w="85" w:type="dxa"/>
              <w:left w:w="85" w:type="dxa"/>
              <w:right w:w="85" w:type="dxa"/>
            </w:tcMar>
            <w:shd w:fill="FFFFFF"/>
            <w:tcBorders>
              <w:bottom w:val="single" w:sz="4" w:color="000000"/>
            </w:tcBorders>
          </w:tcPr>
          <w:p>
            <w:pPr>
              <w:spacing w:after="40" w:before="40" w:line="240" w:lineRule="auto"/>
              <w:jc w:val="center"/>
            </w:pPr>
            <w:r>
              <w:rPr>
                <w:rFonts w:ascii="Arial" w:hAnsi="Arial" w:eastAsia="Arial" w:cs="Arial"/>
                <w:b/>
                <w:color w:val="000000"/>
                <w:sz w:val="16"/>
              </w:rPr>
              <w:t>FY2027</w:t>
            </w:r>
          </w:p>
        </w:tc>
        <w:tc>
          <w:tcPr>
            <w:tcW w:type="dxa" w:w="1339"/>
            <w:vAlign w:val="center"/>
            <w:tcMar>
              <w:top w:w="85" w:type="dxa"/>
              <w:bottom w:w="85" w:type="dxa"/>
              <w:left w:w="85" w:type="dxa"/>
              <w:right w:w="85" w:type="dxa"/>
            </w:tcMar>
            <w:shd w:fill="FFFFFF"/>
            <w:tcBorders>
              <w:bottom w:val="single" w:sz="4" w:color="000000"/>
            </w:tcBorders>
          </w:tcPr>
          <w:p>
            <w:pPr>
              <w:spacing w:after="40" w:before="40" w:line="240" w:lineRule="auto"/>
              <w:jc w:val="center"/>
            </w:pPr>
            <w:r>
              <w:rPr>
                <w:rFonts w:ascii="Arial" w:hAnsi="Arial" w:eastAsia="Arial" w:cs="Arial"/>
                <w:b/>
                <w:color w:val="000000"/>
                <w:sz w:val="16"/>
              </w:rPr>
              <w:t>FY2028</w:t>
            </w:r>
          </w:p>
        </w:tc>
        <w:tc>
          <w:tcPr>
            <w:tcW w:type="dxa" w:w="1339"/>
            <w:vAlign w:val="center"/>
            <w:tcMar>
              <w:top w:w="85" w:type="dxa"/>
              <w:bottom w:w="85" w:type="dxa"/>
              <w:left w:w="85" w:type="dxa"/>
              <w:right w:w="85" w:type="dxa"/>
            </w:tcMar>
            <w:shd w:fill="FFFFFF"/>
            <w:tcBorders>
              <w:bottom w:val="single" w:sz="4" w:color="000000"/>
            </w:tcBorders>
          </w:tcPr>
          <w:p>
            <w:pPr>
              <w:spacing w:after="40" w:before="40" w:line="240" w:lineRule="auto"/>
              <w:jc w:val="center"/>
            </w:pPr>
            <w:r>
              <w:rPr>
                <w:rFonts w:ascii="Arial" w:hAnsi="Arial" w:eastAsia="Arial" w:cs="Arial"/>
                <w:b/>
                <w:color w:val="000000"/>
                <w:sz w:val="16"/>
              </w:rPr>
              <w:t>FY2029</w:t>
            </w:r>
          </w:p>
        </w:tc>
        <w:tc>
          <w:tcPr>
            <w:tcW w:type="dxa" w:w="1339"/>
            <w:vAlign w:val="center"/>
            <w:tcMar>
              <w:top w:w="85" w:type="dxa"/>
              <w:bottom w:w="85" w:type="dxa"/>
              <w:left w:w="85" w:type="dxa"/>
              <w:right w:w="85" w:type="dxa"/>
            </w:tcMar>
            <w:shd w:fill="FFFFFF"/>
            <w:tcBorders>
              <w:bottom w:val="single" w:sz="4" w:color="000000"/>
            </w:tcBorders>
          </w:tcPr>
          <w:p>
            <w:pPr>
              <w:spacing w:after="40" w:before="40" w:line="240" w:lineRule="auto"/>
              <w:jc w:val="center"/>
            </w:pPr>
            <w:r>
              <w:rPr>
                <w:rFonts w:ascii="Arial" w:hAnsi="Arial" w:eastAsia="Arial" w:cs="Arial"/>
                <w:b/>
                <w:color w:val="000000"/>
                <w:sz w:val="16"/>
              </w:rPr>
              <w:t>FY2030</w:t>
            </w:r>
          </w:p>
        </w:tc>
        <w:tc>
          <w:tcPr>
            <w:tcW w:type="dxa" w:w="1339"/>
            <w:vAlign w:val="center"/>
            <w:tcMar>
              <w:top w:w="85" w:type="dxa"/>
              <w:bottom w:w="85" w:type="dxa"/>
              <w:left w:w="85" w:type="dxa"/>
              <w:right w:w="85" w:type="dxa"/>
            </w:tcMar>
            <w:shd w:fill="FFFFFF"/>
            <w:tcBorders>
              <w:bottom w:val="single" w:sz="4" w:color="000000"/>
            </w:tcBorders>
          </w:tcPr>
          <w:p>
            <w:pPr>
              <w:spacing w:after="40" w:before="40" w:line="240" w:lineRule="auto"/>
              <w:jc w:val="center"/>
            </w:pPr>
            <w:r>
              <w:rPr>
                <w:rFonts w:ascii="Arial" w:hAnsi="Arial" w:eastAsia="Arial" w:cs="Arial"/>
                <w:b/>
                <w:color w:val="000000"/>
                <w:sz w:val="16"/>
              </w:rPr>
              <w:t>FY2031</w:t>
            </w:r>
          </w:p>
        </w:tc>
      </w:tr>
      <w:tr>
        <w:trPr>
          <w:cantSplit/>
        </w:trPr>
        <w:tc>
          <w:tcPr>
            <w:tcW w:type="dxa" w:w="2880"/>
            <w:vAlign w:val="center"/>
            <w:tcMar>
              <w:top w:w="85" w:type="dxa"/>
              <w:bottom w:w="85" w:type="dxa"/>
              <w:left w:w="85" w:type="dxa"/>
              <w:right w:w="85" w:type="dxa"/>
            </w:tcMar>
            <w:shd w:fill="E5E5E5"/>
          </w:tcPr>
          <w:p>
            <w:pPr>
              <w:spacing w:after="40" w:before="40" w:line="240" w:lineRule="auto"/>
              <w:jc w:val="left"/>
            </w:pPr>
            <w:r>
              <w:rPr>
                <w:rFonts w:ascii="Arial" w:hAnsi="Arial" w:eastAsia="Arial" w:cs="Arial"/>
                <w:color w:val="000000"/>
                <w:sz w:val="16"/>
              </w:rPr>
              <w:t>Revenue</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385.0</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444.5</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508.9</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577.3</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648.1</w:t>
            </w:r>
          </w:p>
        </w:tc>
      </w:tr>
      <w:tr>
        <w:trPr>
          <w:cantSplit/>
        </w:trPr>
        <w:tc>
          <w:tcPr>
            <w:tcW w:type="dxa" w:w="2880"/>
            <w:vAlign w:val="center"/>
            <w:tcMar>
              <w:top w:w="85" w:type="dxa"/>
              <w:bottom w:w="85" w:type="dxa"/>
              <w:left w:w="85" w:type="dxa"/>
              <w:right w:w="85" w:type="dxa"/>
            </w:tcMar>
            <w:shd w:fill="FFFFFF"/>
          </w:tcPr>
          <w:p>
            <w:pPr>
              <w:spacing w:after="40" w:before="40" w:line="240" w:lineRule="auto"/>
              <w:jc w:val="left"/>
            </w:pPr>
            <w:r>
              <w:rPr>
                <w:rFonts w:ascii="Arial" w:hAnsi="Arial" w:eastAsia="Arial" w:cs="Arial"/>
                <w:color w:val="000000"/>
                <w:sz w:val="16"/>
              </w:rPr>
              <w:t>Operating income</w:t>
            </w:r>
          </w:p>
        </w:tc>
        <w:tc>
          <w:tcPr>
            <w:tcW w:type="dxa" w:w="1339"/>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175.7</w:t>
            </w:r>
          </w:p>
        </w:tc>
        <w:tc>
          <w:tcPr>
            <w:tcW w:type="dxa" w:w="1339"/>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189.2</w:t>
            </w:r>
          </w:p>
        </w:tc>
        <w:tc>
          <w:tcPr>
            <w:tcW w:type="dxa" w:w="1339"/>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204.7</w:t>
            </w:r>
          </w:p>
        </w:tc>
        <w:tc>
          <w:tcPr>
            <w:tcW w:type="dxa" w:w="1339"/>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223.0</w:t>
            </w:r>
          </w:p>
        </w:tc>
        <w:tc>
          <w:tcPr>
            <w:tcW w:type="dxa" w:w="1339"/>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242.8</w:t>
            </w:r>
          </w:p>
        </w:tc>
      </w:tr>
      <w:tr>
        <w:trPr>
          <w:cantSplit/>
        </w:trPr>
        <w:tc>
          <w:tcPr>
            <w:tcW w:type="dxa" w:w="2880"/>
            <w:vAlign w:val="center"/>
            <w:tcMar>
              <w:top w:w="85" w:type="dxa"/>
              <w:bottom w:w="85" w:type="dxa"/>
              <w:left w:w="85" w:type="dxa"/>
              <w:right w:w="85" w:type="dxa"/>
            </w:tcMar>
            <w:shd w:fill="E5E5E5"/>
          </w:tcPr>
          <w:p>
            <w:pPr>
              <w:spacing w:after="40" w:before="40" w:line="240" w:lineRule="auto"/>
              <w:jc w:val="left"/>
            </w:pPr>
            <w:r>
              <w:rPr>
                <w:rFonts w:ascii="Arial" w:hAnsi="Arial" w:eastAsia="Arial" w:cs="Arial"/>
                <w:color w:val="000000"/>
                <w:sz w:val="16"/>
              </w:rPr>
              <w:t>Net income</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139.2</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150.0</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163.3</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179.6</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198.2</w:t>
            </w:r>
          </w:p>
        </w:tc>
      </w:tr>
      <w:tr>
        <w:trPr>
          <w:cantSplit/>
        </w:trPr>
        <w:tc>
          <w:tcPr>
            <w:tcW w:type="dxa" w:w="2880"/>
            <w:vAlign w:val="center"/>
            <w:tcMar>
              <w:top w:w="85" w:type="dxa"/>
              <w:bottom w:w="85" w:type="dxa"/>
              <w:left w:w="85" w:type="dxa"/>
              <w:right w:w="85" w:type="dxa"/>
            </w:tcMar>
            <w:shd w:fill="FFFFFF"/>
          </w:tcPr>
          <w:p>
            <w:pPr>
              <w:spacing w:after="40" w:before="40" w:line="240" w:lineRule="auto"/>
              <w:jc w:val="left"/>
            </w:pPr>
            <w:r>
              <w:rPr>
                <w:rFonts w:ascii="Arial" w:hAnsi="Arial" w:eastAsia="Arial" w:cs="Arial"/>
                <w:color w:val="000000"/>
                <w:sz w:val="16"/>
              </w:rPr>
              <w:t>Operating cash flow</w:t>
            </w:r>
          </w:p>
        </w:tc>
        <w:tc>
          <w:tcPr>
            <w:tcW w:type="dxa" w:w="1339"/>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209.0</w:t>
            </w:r>
          </w:p>
        </w:tc>
        <w:tc>
          <w:tcPr>
            <w:tcW w:type="dxa" w:w="1339"/>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249.6</w:t>
            </w:r>
          </w:p>
        </w:tc>
        <w:tc>
          <w:tcPr>
            <w:tcW w:type="dxa" w:w="1339"/>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290.8</w:t>
            </w:r>
          </w:p>
        </w:tc>
        <w:tc>
          <w:tcPr>
            <w:tcW w:type="dxa" w:w="1339"/>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336.7</w:t>
            </w:r>
          </w:p>
        </w:tc>
        <w:tc>
          <w:tcPr>
            <w:tcW w:type="dxa" w:w="1339"/>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385.3</w:t>
            </w:r>
          </w:p>
        </w:tc>
      </w:tr>
      <w:tr>
        <w:trPr>
          <w:cantSplit/>
        </w:trPr>
        <w:tc>
          <w:tcPr>
            <w:tcW w:type="dxa" w:w="2880"/>
            <w:vAlign w:val="center"/>
            <w:tcMar>
              <w:top w:w="85" w:type="dxa"/>
              <w:bottom w:w="85" w:type="dxa"/>
              <w:left w:w="85" w:type="dxa"/>
              <w:right w:w="85" w:type="dxa"/>
            </w:tcMar>
            <w:shd w:fill="E5E5E5"/>
          </w:tcPr>
          <w:p>
            <w:pPr>
              <w:spacing w:after="40" w:before="40" w:line="240" w:lineRule="auto"/>
              <w:jc w:val="left"/>
            </w:pPr>
            <w:r>
              <w:rPr>
                <w:rFonts w:ascii="Arial" w:hAnsi="Arial" w:eastAsia="Arial" w:cs="Arial"/>
                <w:color w:val="000000"/>
                <w:sz w:val="16"/>
              </w:rPr>
              <w:t>Investing cash flow</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-127.1</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-128.9</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-132.3</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-132.8</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-136.1</w:t>
            </w:r>
          </w:p>
        </w:tc>
      </w:tr>
      <w:tr>
        <w:trPr>
          <w:cantSplit/>
        </w:trPr>
        <w:tc>
          <w:tcPr>
            <w:tcW w:type="dxa" w:w="2880"/>
            <w:vAlign w:val="center"/>
            <w:tcMar>
              <w:top w:w="85" w:type="dxa"/>
              <w:bottom w:w="85" w:type="dxa"/>
              <w:left w:w="85" w:type="dxa"/>
              <w:right w:w="85" w:type="dxa"/>
            </w:tcMar>
            <w:shd w:fill="FFFFFF"/>
          </w:tcPr>
          <w:p>
            <w:pPr>
              <w:spacing w:after="40" w:before="40" w:line="240" w:lineRule="auto"/>
              <w:jc w:val="left"/>
            </w:pPr>
            <w:r>
              <w:rPr>
                <w:rFonts w:ascii="Arial" w:hAnsi="Arial" w:eastAsia="Arial" w:cs="Arial"/>
                <w:color w:val="000000"/>
                <w:sz w:val="16"/>
              </w:rPr>
              <w:t>Financing cash flow</w:t>
            </w:r>
          </w:p>
        </w:tc>
        <w:tc>
          <w:tcPr>
            <w:tcW w:type="dxa" w:w="1339"/>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-65.0</w:t>
            </w:r>
          </w:p>
        </w:tc>
        <w:tc>
          <w:tcPr>
            <w:tcW w:type="dxa" w:w="1339"/>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-64.0</w:t>
            </w:r>
          </w:p>
        </w:tc>
        <w:tc>
          <w:tcPr>
            <w:tcW w:type="dxa" w:w="1339"/>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-74.3</w:t>
            </w:r>
          </w:p>
        </w:tc>
        <w:tc>
          <w:tcPr>
            <w:tcW w:type="dxa" w:w="1339"/>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-81.9</w:t>
            </w:r>
          </w:p>
        </w:tc>
        <w:tc>
          <w:tcPr>
            <w:tcW w:type="dxa" w:w="1339"/>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-92.5</w:t>
            </w:r>
          </w:p>
        </w:tc>
      </w:tr>
      <w:tr>
        <w:trPr>
          <w:cantSplit/>
        </w:trPr>
        <w:tc>
          <w:tcPr>
            <w:tcW w:type="dxa" w:w="2880"/>
            <w:vAlign w:val="center"/>
            <w:tcMar>
              <w:top w:w="85" w:type="dxa"/>
              <w:bottom w:w="85" w:type="dxa"/>
              <w:left w:w="85" w:type="dxa"/>
              <w:right w:w="85" w:type="dxa"/>
            </w:tcMar>
            <w:shd w:fill="E5E5E5"/>
          </w:tcPr>
          <w:p>
            <w:pPr>
              <w:spacing w:after="40" w:before="40" w:line="240" w:lineRule="auto"/>
              <w:jc w:val="left"/>
            </w:pPr>
            <w:r>
              <w:rPr>
                <w:rFonts w:ascii="Arial" w:hAnsi="Arial" w:eastAsia="Arial" w:cs="Arial"/>
                <w:color w:val="000000"/>
                <w:sz w:val="16"/>
              </w:rPr>
              <w:t>Closing cash</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37.8</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94.5</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178.7</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300.7</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457.4</w:t>
            </w:r>
          </w:p>
        </w:tc>
      </w:tr>
      <w:tr>
        <w:trPr>
          <w:cantSplit/>
        </w:trPr>
        <w:tc>
          <w:tcPr>
            <w:tcW w:type="dxa" w:w="2880"/>
            <w:vAlign w:val="center"/>
            <w:tcMar>
              <w:top w:w="85" w:type="dxa"/>
              <w:bottom w:w="85" w:type="dxa"/>
              <w:left w:w="85" w:type="dxa"/>
              <w:right w:w="85" w:type="dxa"/>
            </w:tcMar>
            <w:shd w:fill="FFFFFF"/>
          </w:tcPr>
          <w:p>
            <w:pPr>
              <w:spacing w:after="40" w:before="40" w:line="240" w:lineRule="auto"/>
              <w:jc w:val="left"/>
            </w:pPr>
            <w:r>
              <w:rPr>
                <w:rFonts w:ascii="Arial" w:hAnsi="Arial" w:eastAsia="Arial" w:cs="Arial"/>
                <w:color w:val="000000"/>
                <w:sz w:val="16"/>
              </w:rPr>
              <w:t>Total assets</w:t>
            </w:r>
          </w:p>
        </w:tc>
        <w:tc>
          <w:tcPr>
            <w:tcW w:type="dxa" w:w="1339"/>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899.9</w:t>
            </w:r>
          </w:p>
        </w:tc>
        <w:tc>
          <w:tcPr>
            <w:tcW w:type="dxa" w:w="1339"/>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1,063.2</w:t>
            </w:r>
          </w:p>
        </w:tc>
        <w:tc>
          <w:tcPr>
            <w:tcW w:type="dxa" w:w="1339"/>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1,237.6</w:t>
            </w:r>
          </w:p>
        </w:tc>
        <w:tc>
          <w:tcPr>
            <w:tcW w:type="dxa" w:w="1339"/>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1,426.7</w:t>
            </w:r>
          </w:p>
        </w:tc>
        <w:tc>
          <w:tcPr>
            <w:tcW w:type="dxa" w:w="1339"/>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1,629.2</w:t>
            </w:r>
          </w:p>
        </w:tc>
      </w:tr>
      <w:tr>
        <w:trPr>
          <w:cantSplit/>
        </w:trPr>
        <w:tc>
          <w:tcPr>
            <w:tcW w:type="dxa" w:w="2880"/>
            <w:vAlign w:val="center"/>
            <w:tcMar>
              <w:top w:w="85" w:type="dxa"/>
              <w:bottom w:w="85" w:type="dxa"/>
              <w:left w:w="85" w:type="dxa"/>
              <w:right w:w="85" w:type="dxa"/>
            </w:tcMar>
            <w:shd w:fill="E5E5E5"/>
          </w:tcPr>
          <w:p>
            <w:pPr>
              <w:spacing w:after="40" w:before="40" w:line="240" w:lineRule="auto"/>
              <w:jc w:val="left"/>
            </w:pPr>
            <w:r>
              <w:rPr>
                <w:rFonts w:ascii="Arial" w:hAnsi="Arial" w:eastAsia="Arial" w:cs="Arial"/>
                <w:color w:val="000000"/>
                <w:sz w:val="16"/>
              </w:rPr>
              <w:t>Total liabilities</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354.4</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407.3</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462.0</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519.8</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577.7</w:t>
            </w:r>
          </w:p>
        </w:tc>
      </w:tr>
      <w:tr>
        <w:trPr>
          <w:cantSplit/>
        </w:trPr>
        <w:tc>
          <w:tcPr>
            <w:tcW w:type="dxa" w:w="2880"/>
            <w:vAlign w:val="center"/>
            <w:tcMar>
              <w:top w:w="85" w:type="dxa"/>
              <w:bottom w:w="85" w:type="dxa"/>
              <w:left w:w="85" w:type="dxa"/>
              <w:right w:w="85" w:type="dxa"/>
            </w:tcMar>
            <w:shd w:fill="FFFFFF"/>
          </w:tcPr>
          <w:p>
            <w:pPr>
              <w:spacing w:after="40" w:before="40" w:line="240" w:lineRule="auto"/>
              <w:jc w:val="left"/>
            </w:pPr>
            <w:r>
              <w:rPr>
                <w:rFonts w:ascii="Arial" w:hAnsi="Arial" w:eastAsia="Arial" w:cs="Arial"/>
                <w:color w:val="000000"/>
                <w:sz w:val="16"/>
              </w:rPr>
              <w:t>Total equity</w:t>
            </w:r>
          </w:p>
        </w:tc>
        <w:tc>
          <w:tcPr>
            <w:tcW w:type="dxa" w:w="1339"/>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545.5</w:t>
            </w:r>
          </w:p>
        </w:tc>
        <w:tc>
          <w:tcPr>
            <w:tcW w:type="dxa" w:w="1339"/>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655.9</w:t>
            </w:r>
          </w:p>
        </w:tc>
        <w:tc>
          <w:tcPr>
            <w:tcW w:type="dxa" w:w="1339"/>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775.6</w:t>
            </w:r>
          </w:p>
        </w:tc>
        <w:tc>
          <w:tcPr>
            <w:tcW w:type="dxa" w:w="1339"/>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906.9</w:t>
            </w:r>
          </w:p>
        </w:tc>
        <w:tc>
          <w:tcPr>
            <w:tcW w:type="dxa" w:w="1339"/>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1,051.5</w:t>
            </w:r>
          </w:p>
        </w:tc>
      </w:tr>
      <w:tr>
        <w:trPr>
          <w:cantSplit/>
        </w:trPr>
        <w:tc>
          <w:tcPr>
            <w:tcW w:type="dxa" w:w="2880"/>
            <w:vAlign w:val="center"/>
            <w:tcMar>
              <w:top w:w="85" w:type="dxa"/>
              <w:bottom w:w="85" w:type="dxa"/>
              <w:left w:w="85" w:type="dxa"/>
              <w:right w:w="85" w:type="dxa"/>
            </w:tcMar>
            <w:shd w:fill="E5E5E5"/>
          </w:tcPr>
          <w:p>
            <w:pPr>
              <w:spacing w:after="40" w:before="40" w:line="240" w:lineRule="auto"/>
              <w:jc w:val="left"/>
            </w:pPr>
            <w:r>
              <w:rPr>
                <w:rFonts w:ascii="Arial" w:hAnsi="Arial" w:eastAsia="Arial" w:cs="Arial"/>
                <w:color w:val="000000"/>
                <w:sz w:val="16"/>
              </w:rPr>
              <w:t>Balance difference</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0.00</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0.00</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0.00</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0.00</w:t>
            </w:r>
          </w:p>
        </w:tc>
        <w:tc>
          <w:tcPr>
            <w:tcW w:type="dxa" w:w="1339"/>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0.00</w:t>
            </w:r>
          </w:p>
        </w:tc>
      </w:tr>
    </w:tbl>
    <w:p>
      <w:pPr>
        <w:spacing w:after="0"/>
        <w:jc w:val="left"/>
      </w:pPr>
    </w:p>
    <w:p>
      <w:pPr>
        <w:pStyle w:val="Caption"/>
        <w:jc w:val="left"/>
      </w:pPr>
      <w:r>
        <w:rPr>
          <w:rFonts w:ascii="Arial" w:hAnsi="Arial" w:eastAsia="Arial" w:cs="Arial"/>
          <w:color w:val="000000"/>
          <w:sz w:val="16"/>
        </w:rPr>
        <w:t>Amounts in USD billions. Cash outflows are shown as negative numbers in this report and in parentheses in the workbook.</w:t>
      </w:r>
    </w:p>
    <w:p>
      <w:pPr>
        <w:pStyle w:val="Heading2"/>
        <w:jc w:val="left"/>
      </w:pPr>
      <w:r>
        <w:rPr>
          <w:rFonts w:ascii="Arial" w:hAnsi="Arial" w:eastAsia="Arial" w:cs="Arial"/>
          <w:color w:val="000000"/>
          <w:sz w:val="18"/>
        </w:rPr>
        <w:t>Connections between the three forms</w:t>
      </w:r>
    </w:p>
    <w:p>
      <w:pPr>
        <w:jc w:val="left"/>
      </w:pPr>
      <w:r>
        <w:rPr>
          <w:rFonts w:ascii="Arial" w:hAnsi="Arial" w:eastAsia="Arial" w:cs="Arial"/>
          <w:color w:val="000000"/>
          <w:sz w:val="18"/>
        </w:rPr>
        <w:t>The income statement determines net income. That result starts the indirect cash flow statement and increases retained earnings. Cash flows determine closing cash on the balance sheet. The asset, debt, lease and equity schedules determine the remaining balance-sheet accounts. The balance sheet is checked independently and contains no unexplained asset or equity balancing entry.</w:t>
      </w:r>
    </w:p>
    <w:p>
      <w:pPr>
        <w:pStyle w:val="Heading2"/>
        <w:jc w:val="left"/>
      </w:pPr>
      <w:r>
        <w:rPr>
          <w:rFonts w:ascii="Arial" w:hAnsi="Arial" w:eastAsia="Arial" w:cs="Arial"/>
          <w:color w:val="000000"/>
          <w:sz w:val="18"/>
        </w:rPr>
        <w:t>Tax equity and shares</w:t>
      </w:r>
    </w:p>
    <w:p>
      <w:pPr>
        <w:jc w:val="left"/>
      </w:pPr>
      <w:r>
        <w:rPr>
          <w:rFonts w:ascii="Arial" w:hAnsi="Arial" w:eastAsia="Arial" w:cs="Arial"/>
          <w:color w:val="000000"/>
          <w:sz w:val="18"/>
        </w:rPr>
        <w:t>Income tax expense is based on an editable effective rate, initially 20%. Current income tax payable stays constant, while long-term income tax and deferred tax liabilities use explicit ratios. This gives an integrated tax forecast without asserting a jurisdiction-specific tax payment schedule or a full forecast of deferred tax assets.</w:t>
      </w:r>
    </w:p>
    <w:p>
      <w:pPr>
        <w:jc w:val="left"/>
      </w:pPr>
      <w:r>
        <w:rPr>
          <w:rFonts w:ascii="Arial" w:hAnsi="Arial" w:eastAsia="Arial" w:cs="Arial"/>
          <w:color w:val="000000"/>
          <w:sz w:val="18"/>
        </w:rPr>
        <w:t>Paid-in capital increases with stock-based compensation and cash share issuance. Buybacks are allocated between paid-in capital and retained earnings. Dividends are assumed declared and paid in the same fiscal year. Diluted weighted-average shares follow an independent net-change assumption; the model does not infer a repurchase share price from cash buybacks.</w:t>
      </w:r>
    </w:p>
    <w:p>
      <w:pPr>
        <w:jc w:val="left"/>
      </w:pPr>
      <w:r>
        <w:rPr>
          <w:rFonts w:ascii="Arial" w:hAnsi="Arial" w:eastAsia="Arial" w:cs="Arial"/>
          <w:color w:val="000000"/>
          <w:sz w:val="18"/>
        </w:rPr>
        <w:t>FY2026 recognized investment gains are not extrapolated into forecast earnings. Forecast other income reflects modeled investment income and financing costs. This explains why the initial forecast growth in net income can differ from growth in operating income.</w:t>
      </w:r>
    </w:p>
    <w:p>
      <w:pPr>
        <w:jc w:val="left"/>
      </w:pPr>
      <w:r>
        <w:rPr>
          <w:rFonts w:ascii="Arial" w:hAnsi="Arial" w:eastAsia="Arial" w:cs="Arial"/>
          <w:color w:val="000000"/>
          <w:sz w:val="18"/>
        </w:rPr>
        <w:br w:type="page"/>
      </w:r>
    </w:p>
    <w:p>
      <w:pPr>
        <w:pStyle w:val="Heading1"/>
        <w:jc w:val="center"/>
      </w:pPr>
      <w:r>
        <w:rPr>
          <w:rFonts w:ascii="Arial" w:hAnsi="Arial" w:eastAsia="Arial" w:cs="Arial"/>
          <w:color w:val="000000"/>
          <w:sz w:val="21"/>
        </w:rPr>
        <w:t>Comparison of the three scenarios</w:t>
      </w:r>
    </w:p>
    <w:tbl>
      <w:tblPr>
        <w:tblW w:type="auto" w:w="0"/>
        <w:jc w:val="center"/>
        <w:tblLayout w:type="fixed"/>
        <w:tblLook w:firstColumn="1" w:firstRow="1" w:lastColumn="0" w:lastRow="0" w:noHBand="0" w:noVBand="1" w:val="04A0"/>
        <w:tblBorders>
          <w:top w:val="single" w:sz="4" w:color="000000"/>
          <w:bottom w:val="single" w:sz="4" w:color="000000"/>
          <w:insideH w:val="nil" w:sz="4" w:color="000000"/>
          <w:left w:val="nil"/>
          <w:right w:val="nil"/>
          <w:insideV w:val="nil"/>
        </w:tblBorders>
      </w:tblPr>
      <w:tblGrid>
        <w:gridCol w:w="4032"/>
        <w:gridCol w:w="1843"/>
        <w:gridCol w:w="1843"/>
        <w:gridCol w:w="1843"/>
      </w:tblGrid>
      <w:tr>
        <w:trPr>
          <w:cantSplit/>
          <w:tblHeader/>
        </w:trPr>
        <w:tc>
          <w:tcPr>
            <w:tcW w:type="dxa" w:w="4032"/>
            <w:vAlign w:val="center"/>
            <w:tcMar>
              <w:top w:w="85" w:type="dxa"/>
              <w:bottom w:w="85" w:type="dxa"/>
              <w:left w:w="85" w:type="dxa"/>
              <w:right w:w="85" w:type="dxa"/>
            </w:tcMar>
            <w:shd w:fill="FFFFFF"/>
            <w:tcBorders>
              <w:bottom w:val="single" w:sz="4" w:color="000000"/>
            </w:tcBorders>
          </w:tcPr>
          <w:p>
            <w:pPr>
              <w:spacing w:after="40" w:before="40" w:line="240" w:lineRule="auto"/>
              <w:jc w:val="left"/>
            </w:pPr>
            <w:r>
              <w:rPr>
                <w:rFonts w:ascii="Arial" w:hAnsi="Arial" w:eastAsia="Arial" w:cs="Arial"/>
                <w:b/>
                <w:color w:val="000000"/>
                <w:sz w:val="16"/>
              </w:rPr>
              <w:t>FY2031 result</w:t>
            </w:r>
          </w:p>
        </w:tc>
        <w:tc>
          <w:tcPr>
            <w:tcW w:type="dxa" w:w="1843"/>
            <w:vAlign w:val="center"/>
            <w:tcMar>
              <w:top w:w="85" w:type="dxa"/>
              <w:bottom w:w="85" w:type="dxa"/>
              <w:left w:w="85" w:type="dxa"/>
              <w:right w:w="85" w:type="dxa"/>
            </w:tcMar>
            <w:shd w:fill="FFFFFF"/>
            <w:tcBorders>
              <w:bottom w:val="single" w:sz="4" w:color="000000"/>
            </w:tcBorders>
          </w:tcPr>
          <w:p>
            <w:pPr>
              <w:spacing w:after="40" w:before="40" w:line="240" w:lineRule="auto"/>
              <w:jc w:val="center"/>
            </w:pPr>
            <w:r>
              <w:rPr>
                <w:rFonts w:ascii="Arial" w:hAnsi="Arial" w:eastAsia="Arial" w:cs="Arial"/>
                <w:b/>
                <w:color w:val="000000"/>
                <w:sz w:val="16"/>
              </w:rPr>
              <w:t>Base</w:t>
            </w:r>
          </w:p>
        </w:tc>
        <w:tc>
          <w:tcPr>
            <w:tcW w:type="dxa" w:w="1843"/>
            <w:vAlign w:val="center"/>
            <w:tcMar>
              <w:top w:w="85" w:type="dxa"/>
              <w:bottom w:w="85" w:type="dxa"/>
              <w:left w:w="85" w:type="dxa"/>
              <w:right w:w="85" w:type="dxa"/>
            </w:tcMar>
            <w:shd w:fill="FFFFFF"/>
            <w:tcBorders>
              <w:bottom w:val="single" w:sz="4" w:color="000000"/>
            </w:tcBorders>
          </w:tcPr>
          <w:p>
            <w:pPr>
              <w:spacing w:after="40" w:before="40" w:line="240" w:lineRule="auto"/>
              <w:jc w:val="center"/>
            </w:pPr>
            <w:r>
              <w:rPr>
                <w:rFonts w:ascii="Arial" w:hAnsi="Arial" w:eastAsia="Arial" w:cs="Arial"/>
                <w:b/>
                <w:color w:val="000000"/>
                <w:sz w:val="16"/>
              </w:rPr>
              <w:t>Upside</w:t>
            </w:r>
          </w:p>
        </w:tc>
        <w:tc>
          <w:tcPr>
            <w:tcW w:type="dxa" w:w="1843"/>
            <w:vAlign w:val="center"/>
            <w:tcMar>
              <w:top w:w="85" w:type="dxa"/>
              <w:bottom w:w="85" w:type="dxa"/>
              <w:left w:w="85" w:type="dxa"/>
              <w:right w:w="85" w:type="dxa"/>
            </w:tcMar>
            <w:shd w:fill="FFFFFF"/>
            <w:tcBorders>
              <w:bottom w:val="single" w:sz="4" w:color="000000"/>
            </w:tcBorders>
          </w:tcPr>
          <w:p>
            <w:pPr>
              <w:spacing w:after="40" w:before="40" w:line="240" w:lineRule="auto"/>
              <w:jc w:val="center"/>
            </w:pPr>
            <w:r>
              <w:rPr>
                <w:rFonts w:ascii="Arial" w:hAnsi="Arial" w:eastAsia="Arial" w:cs="Arial"/>
                <w:b/>
                <w:color w:val="000000"/>
                <w:sz w:val="16"/>
              </w:rPr>
              <w:t>Downside</w:t>
            </w:r>
          </w:p>
        </w:tc>
      </w:tr>
      <w:tr>
        <w:trPr>
          <w:cantSplit/>
        </w:trPr>
        <w:tc>
          <w:tcPr>
            <w:tcW w:type="dxa" w:w="4032"/>
            <w:vAlign w:val="center"/>
            <w:tcMar>
              <w:top w:w="85" w:type="dxa"/>
              <w:bottom w:w="85" w:type="dxa"/>
              <w:left w:w="85" w:type="dxa"/>
              <w:right w:w="85" w:type="dxa"/>
            </w:tcMar>
            <w:shd w:fill="E5E5E5"/>
          </w:tcPr>
          <w:p>
            <w:pPr>
              <w:spacing w:after="40" w:before="40" w:line="240" w:lineRule="auto"/>
              <w:jc w:val="left"/>
            </w:pPr>
            <w:r>
              <w:rPr>
                <w:rFonts w:ascii="Arial" w:hAnsi="Arial" w:eastAsia="Arial" w:cs="Arial"/>
                <w:color w:val="000000"/>
                <w:sz w:val="16"/>
              </w:rPr>
              <w:t>Revenue</w:t>
            </w:r>
          </w:p>
        </w:tc>
        <w:tc>
          <w:tcPr>
            <w:tcW w:type="dxa" w:w="1843"/>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648.1</w:t>
            </w:r>
          </w:p>
        </w:tc>
        <w:tc>
          <w:tcPr>
            <w:tcW w:type="dxa" w:w="1843"/>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766.4</w:t>
            </w:r>
          </w:p>
        </w:tc>
        <w:tc>
          <w:tcPr>
            <w:tcW w:type="dxa" w:w="1843"/>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473.7</w:t>
            </w:r>
          </w:p>
        </w:tc>
      </w:tr>
      <w:tr>
        <w:trPr>
          <w:cantSplit/>
        </w:trPr>
        <w:tc>
          <w:tcPr>
            <w:tcW w:type="dxa" w:w="4032"/>
            <w:vAlign w:val="center"/>
            <w:tcMar>
              <w:top w:w="85" w:type="dxa"/>
              <w:bottom w:w="85" w:type="dxa"/>
              <w:left w:w="85" w:type="dxa"/>
              <w:right w:w="85" w:type="dxa"/>
            </w:tcMar>
            <w:shd w:fill="FFFFFF"/>
          </w:tcPr>
          <w:p>
            <w:pPr>
              <w:spacing w:after="40" w:before="40" w:line="240" w:lineRule="auto"/>
              <w:jc w:val="left"/>
            </w:pPr>
            <w:r>
              <w:rPr>
                <w:rFonts w:ascii="Arial" w:hAnsi="Arial" w:eastAsia="Arial" w:cs="Arial"/>
                <w:color w:val="000000"/>
                <w:sz w:val="16"/>
              </w:rPr>
              <w:t>Operating margin</w:t>
            </w:r>
          </w:p>
        </w:tc>
        <w:tc>
          <w:tcPr>
            <w:tcW w:type="dxa" w:w="1843"/>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37.5%</w:t>
            </w:r>
          </w:p>
        </w:tc>
        <w:tc>
          <w:tcPr>
            <w:tcW w:type="dxa" w:w="1843"/>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38.8%</w:t>
            </w:r>
          </w:p>
        </w:tc>
        <w:tc>
          <w:tcPr>
            <w:tcW w:type="dxa" w:w="1843"/>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21.8%</w:t>
            </w:r>
          </w:p>
        </w:tc>
      </w:tr>
      <w:tr>
        <w:trPr>
          <w:cantSplit/>
        </w:trPr>
        <w:tc>
          <w:tcPr>
            <w:tcW w:type="dxa" w:w="4032"/>
            <w:vAlign w:val="center"/>
            <w:tcMar>
              <w:top w:w="85" w:type="dxa"/>
              <w:bottom w:w="85" w:type="dxa"/>
              <w:left w:w="85" w:type="dxa"/>
              <w:right w:w="85" w:type="dxa"/>
            </w:tcMar>
            <w:shd w:fill="E5E5E5"/>
          </w:tcPr>
          <w:p>
            <w:pPr>
              <w:spacing w:after="40" w:before="40" w:line="240" w:lineRule="auto"/>
              <w:jc w:val="left"/>
            </w:pPr>
            <w:r>
              <w:rPr>
                <w:rFonts w:ascii="Arial" w:hAnsi="Arial" w:eastAsia="Arial" w:cs="Arial"/>
                <w:color w:val="000000"/>
                <w:sz w:val="16"/>
              </w:rPr>
              <w:t>Net income</w:t>
            </w:r>
          </w:p>
        </w:tc>
        <w:tc>
          <w:tcPr>
            <w:tcW w:type="dxa" w:w="1843"/>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198.2</w:t>
            </w:r>
          </w:p>
        </w:tc>
        <w:tc>
          <w:tcPr>
            <w:tcW w:type="dxa" w:w="1843"/>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240.1</w:t>
            </w:r>
          </w:p>
        </w:tc>
        <w:tc>
          <w:tcPr>
            <w:tcW w:type="dxa" w:w="1843"/>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85.4</w:t>
            </w:r>
          </w:p>
        </w:tc>
      </w:tr>
      <w:tr>
        <w:trPr>
          <w:cantSplit/>
        </w:trPr>
        <w:tc>
          <w:tcPr>
            <w:tcW w:type="dxa" w:w="4032"/>
            <w:vAlign w:val="center"/>
            <w:tcMar>
              <w:top w:w="85" w:type="dxa"/>
              <w:bottom w:w="85" w:type="dxa"/>
              <w:left w:w="85" w:type="dxa"/>
              <w:right w:w="85" w:type="dxa"/>
            </w:tcMar>
            <w:shd w:fill="FFFFFF"/>
          </w:tcPr>
          <w:p>
            <w:pPr>
              <w:spacing w:after="40" w:before="40" w:line="240" w:lineRule="auto"/>
              <w:jc w:val="left"/>
            </w:pPr>
            <w:r>
              <w:rPr>
                <w:rFonts w:ascii="Arial" w:hAnsi="Arial" w:eastAsia="Arial" w:cs="Arial"/>
                <w:color w:val="000000"/>
                <w:sz w:val="16"/>
              </w:rPr>
              <w:t>Free cash flow</w:t>
            </w:r>
          </w:p>
        </w:tc>
        <w:tc>
          <w:tcPr>
            <w:tcW w:type="dxa" w:w="1843"/>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255.7</w:t>
            </w:r>
          </w:p>
        </w:tc>
        <w:tc>
          <w:tcPr>
            <w:tcW w:type="dxa" w:w="1843"/>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283.2</w:t>
            </w:r>
          </w:p>
        </w:tc>
        <w:tc>
          <w:tcPr>
            <w:tcW w:type="dxa" w:w="1843"/>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169.8</w:t>
            </w:r>
          </w:p>
        </w:tc>
      </w:tr>
      <w:tr>
        <w:trPr>
          <w:cantSplit/>
        </w:trPr>
        <w:tc>
          <w:tcPr>
            <w:tcW w:type="dxa" w:w="4032"/>
            <w:vAlign w:val="center"/>
            <w:tcMar>
              <w:top w:w="85" w:type="dxa"/>
              <w:bottom w:w="85" w:type="dxa"/>
              <w:left w:w="85" w:type="dxa"/>
              <w:right w:w="85" w:type="dxa"/>
            </w:tcMar>
            <w:shd w:fill="E5E5E5"/>
          </w:tcPr>
          <w:p>
            <w:pPr>
              <w:spacing w:after="40" w:before="40" w:line="240" w:lineRule="auto"/>
              <w:jc w:val="left"/>
            </w:pPr>
            <w:r>
              <w:rPr>
                <w:rFonts w:ascii="Arial" w:hAnsi="Arial" w:eastAsia="Arial" w:cs="Arial"/>
                <w:color w:val="000000"/>
                <w:sz w:val="16"/>
              </w:rPr>
              <w:t>FCF after finance lease principal</w:t>
            </w:r>
          </w:p>
        </w:tc>
        <w:tc>
          <w:tcPr>
            <w:tcW w:type="dxa" w:w="1843"/>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241.5</w:t>
            </w:r>
          </w:p>
        </w:tc>
        <w:tc>
          <w:tcPr>
            <w:tcW w:type="dxa" w:w="1843"/>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266.2</w:t>
            </w:r>
          </w:p>
        </w:tc>
        <w:tc>
          <w:tcPr>
            <w:tcW w:type="dxa" w:w="1843"/>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158.3</w:t>
            </w:r>
          </w:p>
        </w:tc>
      </w:tr>
      <w:tr>
        <w:trPr>
          <w:cantSplit/>
        </w:trPr>
        <w:tc>
          <w:tcPr>
            <w:tcW w:type="dxa" w:w="4032"/>
            <w:vAlign w:val="center"/>
            <w:tcMar>
              <w:top w:w="85" w:type="dxa"/>
              <w:bottom w:w="85" w:type="dxa"/>
              <w:left w:w="85" w:type="dxa"/>
              <w:right w:w="85" w:type="dxa"/>
            </w:tcMar>
            <w:shd w:fill="FFFFFF"/>
          </w:tcPr>
          <w:p>
            <w:pPr>
              <w:spacing w:after="40" w:before="40" w:line="240" w:lineRule="auto"/>
              <w:jc w:val="left"/>
            </w:pPr>
            <w:r>
              <w:rPr>
                <w:rFonts w:ascii="Arial" w:hAnsi="Arial" w:eastAsia="Arial" w:cs="Arial"/>
                <w:color w:val="000000"/>
                <w:sz w:val="16"/>
              </w:rPr>
              <w:t>Net PPE</w:t>
            </w:r>
          </w:p>
        </w:tc>
        <w:tc>
          <w:tcPr>
            <w:tcW w:type="dxa" w:w="1843"/>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586.5</w:t>
            </w:r>
          </w:p>
        </w:tc>
        <w:tc>
          <w:tcPr>
            <w:tcW w:type="dxa" w:w="1843"/>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747.6</w:t>
            </w:r>
          </w:p>
        </w:tc>
        <w:tc>
          <w:tcPr>
            <w:tcW w:type="dxa" w:w="1843"/>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456.5</w:t>
            </w:r>
          </w:p>
        </w:tc>
      </w:tr>
      <w:tr>
        <w:trPr>
          <w:cantSplit/>
        </w:trPr>
        <w:tc>
          <w:tcPr>
            <w:tcW w:type="dxa" w:w="4032"/>
            <w:vAlign w:val="center"/>
            <w:tcMar>
              <w:top w:w="85" w:type="dxa"/>
              <w:bottom w:w="85" w:type="dxa"/>
              <w:left w:w="85" w:type="dxa"/>
              <w:right w:w="85" w:type="dxa"/>
            </w:tcMar>
            <w:shd w:fill="E5E5E5"/>
          </w:tcPr>
          <w:p>
            <w:pPr>
              <w:spacing w:after="40" w:before="40" w:line="240" w:lineRule="auto"/>
              <w:jc w:val="left"/>
            </w:pPr>
            <w:r>
              <w:rPr>
                <w:rFonts w:ascii="Arial" w:hAnsi="Arial" w:eastAsia="Arial" w:cs="Arial"/>
                <w:color w:val="000000"/>
                <w:sz w:val="16"/>
              </w:rPr>
              <w:t>Finance lease liabilities</w:t>
            </w:r>
          </w:p>
        </w:tc>
        <w:tc>
          <w:tcPr>
            <w:tcW w:type="dxa" w:w="1843"/>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181.3</w:t>
            </w:r>
          </w:p>
        </w:tc>
        <w:tc>
          <w:tcPr>
            <w:tcW w:type="dxa" w:w="1843"/>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222.8</w:t>
            </w:r>
          </w:p>
        </w:tc>
        <w:tc>
          <w:tcPr>
            <w:tcW w:type="dxa" w:w="1843"/>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142.3</w:t>
            </w:r>
          </w:p>
        </w:tc>
      </w:tr>
      <w:tr>
        <w:trPr>
          <w:cantSplit/>
        </w:trPr>
        <w:tc>
          <w:tcPr>
            <w:tcW w:type="dxa" w:w="4032"/>
            <w:vAlign w:val="center"/>
            <w:tcMar>
              <w:top w:w="85" w:type="dxa"/>
              <w:bottom w:w="85" w:type="dxa"/>
              <w:left w:w="85" w:type="dxa"/>
              <w:right w:w="85" w:type="dxa"/>
            </w:tcMar>
            <w:shd w:fill="FFFFFF"/>
          </w:tcPr>
          <w:p>
            <w:pPr>
              <w:spacing w:after="40" w:before="40" w:line="240" w:lineRule="auto"/>
              <w:jc w:val="left"/>
            </w:pPr>
            <w:r>
              <w:rPr>
                <w:rFonts w:ascii="Arial" w:hAnsi="Arial" w:eastAsia="Arial" w:cs="Arial"/>
                <w:color w:val="000000"/>
                <w:sz w:val="16"/>
              </w:rPr>
              <w:t>Cash and short-term investments</w:t>
            </w:r>
          </w:p>
        </w:tc>
        <w:tc>
          <w:tcPr>
            <w:tcW w:type="dxa" w:w="1843"/>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513.3</w:t>
            </w:r>
          </w:p>
        </w:tc>
        <w:tc>
          <w:tcPr>
            <w:tcW w:type="dxa" w:w="1843"/>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490.2</w:t>
            </w:r>
          </w:p>
        </w:tc>
        <w:tc>
          <w:tcPr>
            <w:tcW w:type="dxa" w:w="1843"/>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397.5</w:t>
            </w:r>
          </w:p>
        </w:tc>
      </w:tr>
      <w:tr>
        <w:trPr>
          <w:cantSplit/>
        </w:trPr>
        <w:tc>
          <w:tcPr>
            <w:tcW w:type="dxa" w:w="4032"/>
            <w:vAlign w:val="center"/>
            <w:tcMar>
              <w:top w:w="85" w:type="dxa"/>
              <w:bottom w:w="85" w:type="dxa"/>
              <w:left w:w="85" w:type="dxa"/>
              <w:right w:w="85" w:type="dxa"/>
            </w:tcMar>
            <w:shd w:fill="E5E5E5"/>
          </w:tcPr>
          <w:p>
            <w:pPr>
              <w:spacing w:after="40" w:before="40" w:line="240" w:lineRule="auto"/>
              <w:jc w:val="left"/>
            </w:pPr>
            <w:r>
              <w:rPr>
                <w:rFonts w:ascii="Arial" w:hAnsi="Arial" w:eastAsia="Arial" w:cs="Arial"/>
                <w:color w:val="000000"/>
                <w:sz w:val="16"/>
              </w:rPr>
              <w:t>Diluted EPS in USD</w:t>
            </w:r>
          </w:p>
        </w:tc>
        <w:tc>
          <w:tcPr>
            <w:tcW w:type="dxa" w:w="1843"/>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27.00</w:t>
            </w:r>
          </w:p>
        </w:tc>
        <w:tc>
          <w:tcPr>
            <w:tcW w:type="dxa" w:w="1843"/>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33.03</w:t>
            </w:r>
          </w:p>
        </w:tc>
        <w:tc>
          <w:tcPr>
            <w:tcW w:type="dxa" w:w="1843"/>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11.34</w:t>
            </w:r>
          </w:p>
        </w:tc>
      </w:tr>
    </w:tbl>
    <w:p>
      <w:pPr>
        <w:spacing w:after="0"/>
        <w:jc w:val="left"/>
      </w:pPr>
    </w:p>
    <w:p>
      <w:pPr>
        <w:pStyle w:val="Caption"/>
        <w:jc w:val="left"/>
      </w:pPr>
      <w:r>
        <w:rPr>
          <w:rFonts w:ascii="Arial" w:hAnsi="Arial" w:eastAsia="Arial" w:cs="Arial"/>
          <w:color w:val="000000"/>
          <w:sz w:val="16"/>
        </w:rPr>
        <w:t>Monetary figures in USD billions except EPS. The table is a saved comparison generated from the supplied Python assumptions. The Excel workbook has one active forecast selected in Assumptions D4.</w:t>
      </w:r>
    </w:p>
    <w:p>
      <w:pPr>
        <w:jc w:val="left"/>
      </w:pPr>
      <w:r>
        <w:rPr>
          <w:rFonts w:ascii="Arial" w:hAnsi="Arial" w:eastAsia="Arial" w:cs="Arial"/>
          <w:color w:val="000000"/>
          <w:sz w:val="18"/>
        </w:rPr>
        <w:t>The Upside case produces less FCF than Base in FY2027 despite higher earnings: $84.9 billion versus $85.8 billion. Its larger investment budget initially absorbs the extra operating cash. By FY2031, stronger operating growth produces more free cash flow, even with higher continuing investment.</w:t>
      </w:r>
    </w:p>
    <w:p>
      <w:pPr>
        <w:jc w:val="left"/>
      </w:pPr>
      <w:r>
        <w:rPr>
          <w:rFonts w:ascii="Arial" w:hAnsi="Arial" w:eastAsia="Arial" w:cs="Arial"/>
          <w:color w:val="000000"/>
          <w:sz w:val="18"/>
        </w:rPr>
        <w:t>The Downside case materially compresses earnings as slower growth and shorter asset lives increase the cost burden. It still generates positive cash flow under the specified working-capital, payout and reinvestment assumptions. This should not be interpreted as proof that every adverse event would leave liquidity intact.</w:t>
      </w:r>
    </w:p>
    <w:p>
      <w:pPr>
        <w:jc w:val="left"/>
      </w:pPr>
      <w:r>
        <w:rPr>
          <w:rFonts w:ascii="Arial" w:hAnsi="Arial" w:eastAsia="Arial" w:cs="Arial"/>
          <w:color w:val="000000"/>
          <w:sz w:val="18"/>
        </w:rPr>
        <w:t>The accumulation of cash is especially sensitive to the assumed decline in cash capex intensity and the fixed capital-return rules. Acquisitions, larger buybacks, higher dividends or sustained infrastructure spending would reduce those cash balances. The saved FY2031 liquidity figures are conditional model results.</w:t>
      </w:r>
    </w:p>
    <w:p>
      <w:pPr>
        <w:jc w:val="left"/>
      </w:pPr>
      <w:r>
        <w:rPr>
          <w:rFonts w:ascii="Arial" w:hAnsi="Arial" w:eastAsia="Arial" w:cs="Arial"/>
          <w:color w:val="000000"/>
          <w:sz w:val="18"/>
        </w:rPr>
        <w:br w:type="page"/>
      </w:r>
    </w:p>
    <w:p>
      <w:pPr>
        <w:pStyle w:val="Heading1"/>
        <w:jc w:val="center"/>
      </w:pPr>
      <w:r>
        <w:rPr>
          <w:rFonts w:ascii="Arial" w:hAnsi="Arial" w:eastAsia="Arial" w:cs="Arial"/>
          <w:color w:val="000000"/>
          <w:sz w:val="21"/>
        </w:rPr>
        <w:t>Interpretation for four professional roles</w:t>
      </w:r>
    </w:p>
    <w:p>
      <w:pPr>
        <w:pStyle w:val="Heading2"/>
        <w:jc w:val="left"/>
      </w:pPr>
      <w:r>
        <w:rPr>
          <w:rFonts w:ascii="Arial" w:hAnsi="Arial" w:eastAsia="Arial" w:cs="Arial"/>
          <w:color w:val="000000"/>
          <w:sz w:val="18"/>
        </w:rPr>
        <w:t>Equity Research</w:t>
      </w:r>
    </w:p>
    <w:p>
      <w:pPr>
        <w:jc w:val="left"/>
      </w:pPr>
      <w:r>
        <w:rPr>
          <w:rFonts w:ascii="Arial" w:hAnsi="Arial" w:eastAsia="Arial" w:cs="Arial"/>
          <w:color w:val="000000"/>
          <w:sz w:val="18"/>
        </w:rPr>
        <w:t>The Equity Research sheet focuses on sales growth, operating margin, earnings per share, cash conversion and capital intensity. The central research question is whether growth in cloud and productivity products creates cash returns after infrastructure spending and lease obligations. Reported earnings and FCF need separate interpretation because investment gains and noncash charges affect them differently.</w:t>
      </w:r>
    </w:p>
    <w:p>
      <w:pPr>
        <w:jc w:val="left"/>
      </w:pPr>
      <w:r>
        <w:rPr>
          <w:rFonts w:ascii="Arial" w:hAnsi="Arial" w:eastAsia="Arial" w:cs="Arial"/>
          <w:color w:val="000000"/>
          <w:sz w:val="18"/>
        </w:rPr>
        <w:t>The relevant follow-up work is to test revenue and investment assumptions against product demand, competitive conditions and monetization. The author's own variant view will be developed through an interview before a research recommendation or target price is added in the later Equity Research case.</w:t>
      </w:r>
    </w:p>
    <w:p>
      <w:pPr>
        <w:pStyle w:val="Heading2"/>
        <w:jc w:val="left"/>
      </w:pPr>
      <w:r>
        <w:rPr>
          <w:rFonts w:ascii="Arial" w:hAnsi="Arial" w:eastAsia="Arial" w:cs="Arial"/>
          <w:color w:val="000000"/>
          <w:sz w:val="18"/>
        </w:rPr>
        <w:t>Investment Banking</w:t>
      </w:r>
    </w:p>
    <w:p>
      <w:pPr>
        <w:jc w:val="left"/>
      </w:pPr>
      <w:r>
        <w:rPr>
          <w:rFonts w:ascii="Arial" w:hAnsi="Arial" w:eastAsia="Arial" w:cs="Arial"/>
          <w:color w:val="000000"/>
          <w:sz w:val="18"/>
        </w:rPr>
        <w:t>The Investment Banking sheet distinguishes carrying debt, lease obligations, liquidity and net debt under explicitly different definitions. It presents operating income plus disclosed depreciation and amortization as an analytical earnings proxy. Microsoft does not report this figure as EBITDA, and lease treatment must remain consistent when the model later feeds valuation or financing analysis.</w:t>
      </w:r>
    </w:p>
    <w:p>
      <w:pPr>
        <w:jc w:val="left"/>
      </w:pPr>
      <w:r>
        <w:rPr>
          <w:rFonts w:ascii="Arial" w:hAnsi="Arial" w:eastAsia="Arial" w:cs="Arial"/>
          <w:color w:val="000000"/>
          <w:sz w:val="18"/>
        </w:rPr>
        <w:t>This view supports the quality of the enterprise-to-equity and capital-structure inputs for a future valuation. It does not estimate a transaction price or a financing commitment.</w:t>
      </w:r>
    </w:p>
    <w:p>
      <w:pPr>
        <w:pStyle w:val="Heading2"/>
        <w:jc w:val="left"/>
      </w:pPr>
      <w:r>
        <w:rPr>
          <w:rFonts w:ascii="Arial" w:hAnsi="Arial" w:eastAsia="Arial" w:cs="Arial"/>
          <w:color w:val="000000"/>
          <w:sz w:val="18"/>
        </w:rPr>
        <w:t>Private Equity</w:t>
      </w:r>
    </w:p>
    <w:p>
      <w:pPr>
        <w:jc w:val="left"/>
      </w:pPr>
      <w:r>
        <w:rPr>
          <w:rFonts w:ascii="Arial" w:hAnsi="Arial" w:eastAsia="Arial" w:cs="Arial"/>
          <w:color w:val="000000"/>
          <w:sz w:val="18"/>
        </w:rPr>
        <w:t>The Private Equity sheet evaluates reinvestment needs, stock-based compensation and cash conversion as operating diligence questions. It compares cash after finance lease principal with accounting earnings and shows how capital intensity affects distributable cash. Microsoft is assessed as a listed operating company; the view does not assume a leveraged acquisition or private ownership.</w:t>
      </w:r>
    </w:p>
    <w:p>
      <w:pPr>
        <w:pStyle w:val="Heading2"/>
        <w:jc w:val="left"/>
      </w:pPr>
      <w:r>
        <w:rPr>
          <w:rFonts w:ascii="Arial" w:hAnsi="Arial" w:eastAsia="Arial" w:cs="Arial"/>
          <w:color w:val="000000"/>
          <w:sz w:val="18"/>
        </w:rPr>
        <w:t>FP and A</w:t>
      </w:r>
    </w:p>
    <w:p>
      <w:pPr>
        <w:jc w:val="left"/>
      </w:pPr>
      <w:r>
        <w:rPr>
          <w:rFonts w:ascii="Arial" w:hAnsi="Arial" w:eastAsia="Arial" w:cs="Arial"/>
          <w:color w:val="000000"/>
          <w:sz w:val="18"/>
        </w:rPr>
        <w:t>The FP&amp;A sheet provides a driver bridge from FY2026 operating income to the selected forecast period. It adds revenue changes by segment and subtracts changes in costs and operating expenses. The bridge updates with the shared forecast drivers, supporting an explanation of the forecast rather than a separate set of contradictory forecasts.</w:t>
      </w:r>
    </w:p>
    <w:p>
      <w:pPr>
        <w:jc w:val="left"/>
      </w:pPr>
      <w:r>
        <w:rPr>
          <w:rFonts w:ascii="Arial" w:hAnsi="Arial" w:eastAsia="Arial" w:cs="Arial"/>
          <w:color w:val="000000"/>
          <w:sz w:val="18"/>
        </w:rPr>
        <w:t>Its strongest planning use is to identify which assumptions account for a change in profit, cash investment or funding. Budget-versus-actual comparisons and operational budget ownership require a separate case with actual planning data.</w:t>
      </w:r>
    </w:p>
    <w:p>
      <w:pPr>
        <w:jc w:val="left"/>
      </w:pPr>
      <w:r>
        <w:rPr>
          <w:rFonts w:ascii="Arial" w:hAnsi="Arial" w:eastAsia="Arial" w:cs="Arial"/>
          <w:color w:val="000000"/>
          <w:sz w:val="18"/>
        </w:rPr>
        <w:br w:type="page"/>
      </w:r>
    </w:p>
    <w:p>
      <w:pPr>
        <w:pStyle w:val="Heading1"/>
        <w:jc w:val="center"/>
      </w:pPr>
      <w:r>
        <w:rPr>
          <w:rFonts w:ascii="Arial" w:hAnsi="Arial" w:eastAsia="Arial" w:cs="Arial"/>
          <w:color w:val="000000"/>
          <w:sz w:val="21"/>
        </w:rPr>
        <w:t>Validation and material modeling limits</w:t>
      </w:r>
    </w:p>
    <w:tbl>
      <w:tblPr>
        <w:tblW w:type="auto" w:w="0"/>
        <w:jc w:val="center"/>
        <w:tblLayout w:type="fixed"/>
        <w:tblLook w:firstColumn="1" w:firstRow="1" w:lastColumn="0" w:lastRow="0" w:noHBand="0" w:noVBand="1" w:val="04A0"/>
        <w:tblBorders>
          <w:top w:val="single" w:sz="4" w:color="000000"/>
          <w:bottom w:val="single" w:sz="4" w:color="000000"/>
          <w:insideH w:val="nil" w:sz="4" w:color="000000"/>
          <w:left w:val="nil"/>
          <w:right w:val="nil"/>
          <w:insideV w:val="nil"/>
        </w:tblBorders>
      </w:tblPr>
      <w:tblGrid>
        <w:gridCol w:w="6120"/>
        <w:gridCol w:w="3456"/>
      </w:tblGrid>
      <w:tr>
        <w:trPr>
          <w:cantSplit/>
          <w:tblHeader/>
        </w:trPr>
        <w:tc>
          <w:tcPr>
            <w:tcW w:type="dxa" w:w="6120"/>
            <w:vAlign w:val="center"/>
            <w:tcMar>
              <w:top w:w="85" w:type="dxa"/>
              <w:bottom w:w="85" w:type="dxa"/>
              <w:left w:w="85" w:type="dxa"/>
              <w:right w:w="85" w:type="dxa"/>
            </w:tcMar>
            <w:shd w:fill="FFFFFF"/>
            <w:tcBorders>
              <w:bottom w:val="single" w:sz="4" w:color="000000"/>
            </w:tcBorders>
          </w:tcPr>
          <w:p>
            <w:pPr>
              <w:spacing w:after="40" w:before="40" w:line="240" w:lineRule="auto"/>
              <w:jc w:val="left"/>
            </w:pPr>
            <w:r>
              <w:rPr>
                <w:rFonts w:ascii="Arial" w:hAnsi="Arial" w:eastAsia="Arial" w:cs="Arial"/>
                <w:b/>
                <w:color w:val="000000"/>
                <w:sz w:val="16"/>
              </w:rPr>
              <w:t>Validation</w:t>
            </w:r>
          </w:p>
        </w:tc>
        <w:tc>
          <w:tcPr>
            <w:tcW w:type="dxa" w:w="3456"/>
            <w:vAlign w:val="center"/>
            <w:tcMar>
              <w:top w:w="85" w:type="dxa"/>
              <w:bottom w:w="85" w:type="dxa"/>
              <w:left w:w="85" w:type="dxa"/>
              <w:right w:w="85" w:type="dxa"/>
            </w:tcMar>
            <w:shd w:fill="FFFFFF"/>
            <w:tcBorders>
              <w:bottom w:val="single" w:sz="4" w:color="000000"/>
            </w:tcBorders>
          </w:tcPr>
          <w:p>
            <w:pPr>
              <w:spacing w:after="40" w:before="40" w:line="240" w:lineRule="auto"/>
              <w:jc w:val="center"/>
            </w:pPr>
            <w:r>
              <w:rPr>
                <w:rFonts w:ascii="Arial" w:hAnsi="Arial" w:eastAsia="Arial" w:cs="Arial"/>
                <w:b/>
                <w:color w:val="000000"/>
                <w:sz w:val="16"/>
              </w:rPr>
              <w:t>Result</w:t>
            </w:r>
          </w:p>
        </w:tc>
      </w:tr>
      <w:tr>
        <w:trPr>
          <w:cantSplit/>
        </w:trPr>
        <w:tc>
          <w:tcPr>
            <w:tcW w:type="dxa" w:w="6120"/>
            <w:vAlign w:val="center"/>
            <w:tcMar>
              <w:top w:w="85" w:type="dxa"/>
              <w:bottom w:w="85" w:type="dxa"/>
              <w:left w:w="85" w:type="dxa"/>
              <w:right w:w="85" w:type="dxa"/>
            </w:tcMar>
            <w:shd w:fill="E5E5E5"/>
          </w:tcPr>
          <w:p>
            <w:pPr>
              <w:spacing w:after="40" w:before="40" w:line="240" w:lineRule="auto"/>
              <w:jc w:val="left"/>
            </w:pPr>
            <w:r>
              <w:rPr>
                <w:rFonts w:ascii="Arial" w:hAnsi="Arial" w:eastAsia="Arial" w:cs="Arial"/>
                <w:color w:val="000000"/>
                <w:sz w:val="16"/>
              </w:rPr>
              <w:t>Historical source and reconciliation controls</w:t>
            </w:r>
          </w:p>
        </w:tc>
        <w:tc>
          <w:tcPr>
            <w:tcW w:type="dxa" w:w="3456"/>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170 passed</w:t>
            </w:r>
          </w:p>
        </w:tc>
      </w:tr>
      <w:tr>
        <w:trPr>
          <w:cantSplit/>
        </w:trPr>
        <w:tc>
          <w:tcPr>
            <w:tcW w:type="dxa" w:w="6120"/>
            <w:vAlign w:val="center"/>
            <w:tcMar>
              <w:top w:w="85" w:type="dxa"/>
              <w:bottom w:w="85" w:type="dxa"/>
              <w:left w:w="85" w:type="dxa"/>
              <w:right w:w="85" w:type="dxa"/>
            </w:tcMar>
            <w:shd w:fill="FFFFFF"/>
          </w:tcPr>
          <w:p>
            <w:pPr>
              <w:spacing w:after="40" w:before="40" w:line="240" w:lineRule="auto"/>
              <w:jc w:val="left"/>
            </w:pPr>
            <w:r>
              <w:rPr>
                <w:rFonts w:ascii="Arial" w:hAnsi="Arial" w:eastAsia="Arial" w:cs="Arial"/>
                <w:color w:val="000000"/>
                <w:sz w:val="16"/>
              </w:rPr>
              <w:t>Forecast relationships across three scenarios</w:t>
            </w:r>
          </w:p>
        </w:tc>
        <w:tc>
          <w:tcPr>
            <w:tcW w:type="dxa" w:w="3456"/>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90 passed</w:t>
            </w:r>
          </w:p>
        </w:tc>
      </w:tr>
      <w:tr>
        <w:trPr>
          <w:cantSplit/>
        </w:trPr>
        <w:tc>
          <w:tcPr>
            <w:tcW w:type="dxa" w:w="6120"/>
            <w:vAlign w:val="center"/>
            <w:tcMar>
              <w:top w:w="85" w:type="dxa"/>
              <w:bottom w:w="85" w:type="dxa"/>
              <w:left w:w="85" w:type="dxa"/>
              <w:right w:w="85" w:type="dxa"/>
            </w:tcMar>
            <w:shd w:fill="E5E5E5"/>
          </w:tcPr>
          <w:p>
            <w:pPr>
              <w:spacing w:after="40" w:before="40" w:line="240" w:lineRule="auto"/>
              <w:jc w:val="left"/>
            </w:pPr>
            <w:r>
              <w:rPr>
                <w:rFonts w:ascii="Arial" w:hAnsi="Arial" w:eastAsia="Arial" w:cs="Arial"/>
                <w:color w:val="000000"/>
                <w:sz w:val="16"/>
              </w:rPr>
              <w:t>Recorded Excel versus Python output comparisons</w:t>
            </w:r>
          </w:p>
        </w:tc>
        <w:tc>
          <w:tcPr>
            <w:tcW w:type="dxa" w:w="3456"/>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210 comparisons</w:t>
            </w:r>
          </w:p>
        </w:tc>
      </w:tr>
      <w:tr>
        <w:trPr>
          <w:cantSplit/>
        </w:trPr>
        <w:tc>
          <w:tcPr>
            <w:tcW w:type="dxa" w:w="6120"/>
            <w:vAlign w:val="center"/>
            <w:tcMar>
              <w:top w:w="85" w:type="dxa"/>
              <w:bottom w:w="85" w:type="dxa"/>
              <w:left w:w="85" w:type="dxa"/>
              <w:right w:w="85" w:type="dxa"/>
            </w:tcMar>
            <w:shd w:fill="FFFFFF"/>
          </w:tcPr>
          <w:p>
            <w:pPr>
              <w:spacing w:after="40" w:before="40" w:line="240" w:lineRule="auto"/>
              <w:jc w:val="left"/>
            </w:pPr>
            <w:r>
              <w:rPr>
                <w:rFonts w:ascii="Arial" w:hAnsi="Arial" w:eastAsia="Arial" w:cs="Arial"/>
                <w:color w:val="000000"/>
                <w:sz w:val="16"/>
              </w:rPr>
              <w:t>Later-year capital expenditure response</w:t>
            </w:r>
          </w:p>
        </w:tc>
        <w:tc>
          <w:tcPr>
            <w:tcW w:type="dxa" w:w="3456"/>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PPE rises and FCF falls when FY2031 capex increases</w:t>
            </w:r>
          </w:p>
        </w:tc>
      </w:tr>
      <w:tr>
        <w:trPr>
          <w:cantSplit/>
        </w:trPr>
        <w:tc>
          <w:tcPr>
            <w:tcW w:type="dxa" w:w="6120"/>
            <w:vAlign w:val="center"/>
            <w:tcMar>
              <w:top w:w="85" w:type="dxa"/>
              <w:bottom w:w="85" w:type="dxa"/>
              <w:left w:w="85" w:type="dxa"/>
              <w:right w:w="85" w:type="dxa"/>
            </w:tcMar>
            <w:shd w:fill="E5E5E5"/>
          </w:tcPr>
          <w:p>
            <w:pPr>
              <w:spacing w:after="40" w:before="40" w:line="240" w:lineRule="auto"/>
              <w:jc w:val="left"/>
            </w:pPr>
            <w:r>
              <w:rPr>
                <w:rFonts w:ascii="Arial" w:hAnsi="Arial" w:eastAsia="Arial" w:cs="Arial"/>
                <w:color w:val="000000"/>
                <w:sz w:val="16"/>
              </w:rPr>
              <w:t>Recorded unselected missing-case input test</w:t>
            </w:r>
          </w:p>
        </w:tc>
        <w:tc>
          <w:tcPr>
            <w:tcW w:type="dxa" w:w="3456"/>
            <w:vAlign w:val="center"/>
            <w:tcMar>
              <w:top w:w="85" w:type="dxa"/>
              <w:bottom w:w="85" w:type="dxa"/>
              <w:left w:w="85" w:type="dxa"/>
              <w:right w:w="85" w:type="dxa"/>
            </w:tcMar>
            <w:shd w:fill="E5E5E5"/>
          </w:tcPr>
          <w:p>
            <w:pPr>
              <w:spacing w:after="40" w:before="40" w:line="240" w:lineRule="auto"/>
              <w:jc w:val="center"/>
            </w:pPr>
            <w:r>
              <w:rPr>
                <w:rFonts w:ascii="Arial" w:hAnsi="Arial" w:eastAsia="Arial" w:cs="Arial"/>
                <w:color w:val="000000"/>
                <w:sz w:val="16"/>
              </w:rPr>
              <w:t>passed</w:t>
            </w:r>
          </w:p>
        </w:tc>
      </w:tr>
      <w:tr>
        <w:trPr>
          <w:cantSplit/>
        </w:trPr>
        <w:tc>
          <w:tcPr>
            <w:tcW w:type="dxa" w:w="6120"/>
            <w:vAlign w:val="center"/>
            <w:tcMar>
              <w:top w:w="85" w:type="dxa"/>
              <w:bottom w:w="85" w:type="dxa"/>
              <w:left w:w="85" w:type="dxa"/>
              <w:right w:w="85" w:type="dxa"/>
            </w:tcMar>
            <w:shd w:fill="FFFFFF"/>
          </w:tcPr>
          <w:p>
            <w:pPr>
              <w:spacing w:after="40" w:before="40" w:line="240" w:lineRule="auto"/>
              <w:jc w:val="left"/>
            </w:pPr>
            <w:r>
              <w:rPr>
                <w:rFonts w:ascii="Arial" w:hAnsi="Arial" w:eastAsia="Arial" w:cs="Arial"/>
                <w:color w:val="000000"/>
                <w:sz w:val="16"/>
              </w:rPr>
              <w:t>Recorded formula error scan</w:t>
            </w:r>
          </w:p>
        </w:tc>
        <w:tc>
          <w:tcPr>
            <w:tcW w:type="dxa" w:w="3456"/>
            <w:vAlign w:val="center"/>
            <w:tcMar>
              <w:top w:w="85" w:type="dxa"/>
              <w:bottom w:w="85" w:type="dxa"/>
              <w:left w:w="85" w:type="dxa"/>
              <w:right w:w="85" w:type="dxa"/>
            </w:tcMar>
            <w:shd w:fill="FFFFFF"/>
          </w:tcPr>
          <w:p>
            <w:pPr>
              <w:spacing w:after="40" w:before="40" w:line="240" w:lineRule="auto"/>
              <w:jc w:val="center"/>
            </w:pPr>
            <w:r>
              <w:rPr>
                <w:rFonts w:ascii="Arial" w:hAnsi="Arial" w:eastAsia="Arial" w:cs="Arial"/>
                <w:color w:val="000000"/>
                <w:sz w:val="16"/>
              </w:rPr>
              <w:t>No matches</w:t>
            </w:r>
          </w:p>
        </w:tc>
      </w:tr>
    </w:tbl>
    <w:p>
      <w:pPr>
        <w:spacing w:after="0"/>
        <w:jc w:val="left"/>
      </w:pPr>
    </w:p>
    <w:p>
      <w:pPr>
        <w:jc w:val="left"/>
      </w:pPr>
      <w:r>
        <w:rPr>
          <w:rFonts w:ascii="Arial" w:hAnsi="Arial" w:eastAsia="Arial" w:cs="Arial"/>
          <w:color w:val="000000"/>
          <w:sz w:val="18"/>
        </w:rPr>
        <w:t>The Python forecast was rerun after recovery of the saved files. All 90 forecast relationships passed again. Their maximum absolute difference is below one millionth of a USD million. The original spreadsheet verification records comparisons for all three cases and a later-year input-change test. These records are retained in the evidence directory.</w:t>
      </w:r>
    </w:p>
    <w:p>
      <w:pPr>
        <w:jc w:val="left"/>
      </w:pPr>
      <w:r>
        <w:rPr>
          <w:rFonts w:ascii="Arial" w:hAnsi="Arial" w:eastAsia="Arial" w:cs="Arial"/>
          <w:color w:val="000000"/>
          <w:sz w:val="18"/>
        </w:rPr>
        <w:t>The supplied verifier reads the saved Excel values and compares statement lines with the Python model. It also checks historical figures, formula-error cells, native text boxes and the direction of dependencies. A saved-value check does not itself execute Excel recalculation. After changing a workbook input, recalculate and save in Excel before using the verifier.</w:t>
      </w:r>
    </w:p>
    <w:p>
      <w:pPr>
        <w:pStyle w:val="Heading2"/>
        <w:jc w:val="left"/>
      </w:pPr>
      <w:r>
        <w:rPr>
          <w:rFonts w:ascii="Arial" w:hAnsi="Arial" w:eastAsia="Arial" w:cs="Arial"/>
          <w:color w:val="000000"/>
          <w:sz w:val="18"/>
        </w:rPr>
        <w:t>What the forecast simplifies</w:t>
      </w:r>
    </w:p>
    <w:p>
      <w:pPr>
        <w:jc w:val="left"/>
      </w:pPr>
      <w:r>
        <w:rPr>
          <w:rFonts w:ascii="Arial" w:hAnsi="Arial" w:eastAsia="Arial" w:cs="Arial"/>
          <w:color w:val="000000"/>
          <w:sz w:val="18"/>
        </w:rPr>
        <w:t>The largest model risks are the future revenue trajectory, the timing of investment and asset commissioning, useful lives, lease additions and segment expense allocations. New lease amortization is an annual approximation. Debt coupons and investment yields are explicit blended assumptions. The forecast omits unannounced acquisitions, disposal and impairment events, currency changes and changes in AOCI.</w:t>
      </w:r>
    </w:p>
    <w:p>
      <w:pPr>
        <w:jc w:val="left"/>
      </w:pPr>
      <w:r>
        <w:rPr>
          <w:rFonts w:ascii="Arial" w:hAnsi="Arial" w:eastAsia="Arial" w:cs="Arial"/>
          <w:color w:val="000000"/>
          <w:sz w:val="18"/>
        </w:rPr>
        <w:t>Tax liabilities use planning ratios rather than a detailed legal-entity or jurisdictional tax forecast. Diluted shares are an independent assumption. Repurchase cash does not automatically determine the share-count change. No covenant package, committed borrowing facility, credit rating, market valuation or share-price forecast is established by these accounting calculations.</w:t>
      </w:r>
    </w:p>
    <w:p>
      <w:pPr>
        <w:jc w:val="left"/>
      </w:pPr>
      <w:r>
        <w:rPr>
          <w:rFonts w:ascii="Arial" w:hAnsi="Arial" w:eastAsia="Arial" w:cs="Arial"/>
          <w:color w:val="000000"/>
          <w:sz w:val="18"/>
        </w:rPr>
        <w:t>Excel assumptions and Python assumptions are separately editable. A change made only in Excel is not automatically written to the Python JSON. The project includes an assumption export utility so that a saved Excel scenario can be checked against the same drivers in Python.</w:t>
      </w:r>
    </w:p>
    <w:p>
      <w:pPr>
        <w:jc w:val="left"/>
      </w:pPr>
      <w:r>
        <w:rPr>
          <w:rFonts w:ascii="Arial" w:hAnsi="Arial" w:eastAsia="Arial" w:cs="Arial"/>
          <w:color w:val="000000"/>
          <w:sz w:val="18"/>
        </w:rPr>
        <w:br w:type="page"/>
      </w:r>
    </w:p>
    <w:p>
      <w:pPr>
        <w:pStyle w:val="Heading1"/>
        <w:jc w:val="center"/>
      </w:pPr>
      <w:r>
        <w:rPr>
          <w:rFonts w:ascii="Arial" w:hAnsi="Arial" w:eastAsia="Arial" w:cs="Arial"/>
          <w:color w:val="000000"/>
          <w:sz w:val="21"/>
        </w:rPr>
        <w:t>Using the project and locating its sources</w:t>
      </w:r>
    </w:p>
    <w:p>
      <w:pPr>
        <w:pStyle w:val="Heading2"/>
        <w:jc w:val="left"/>
      </w:pPr>
      <w:r>
        <w:rPr>
          <w:rFonts w:ascii="Arial" w:hAnsi="Arial" w:eastAsia="Arial" w:cs="Arial"/>
          <w:color w:val="000000"/>
          <w:sz w:val="18"/>
        </w:rPr>
        <w:t>Excel workflow</w:t>
      </w:r>
    </w:p>
    <w:p>
      <w:pPr>
        <w:jc w:val="left"/>
      </w:pPr>
      <w:r>
        <w:rPr>
          <w:rFonts w:ascii="Arial" w:hAnsi="Arial" w:eastAsia="Arial" w:cs="Arial"/>
          <w:color w:val="000000"/>
          <w:sz w:val="18"/>
        </w:rPr>
        <w:t>Open the workbook, begin with Overview and review the linked statements. On Assumptions, set D4 to 1 for Base, 2 for Upside or 3 for Downside. Forecast drivers are in columns O through S. Each active driver is followed by the three editable scenario rows. Blue numeric entries are inputs. Green entries in the working schedules link to another worksheet. Black entries are local formulas or summary results.</w:t>
      </w:r>
    </w:p>
    <w:p>
      <w:pPr>
        <w:jc w:val="left"/>
      </w:pPr>
      <w:r>
        <w:rPr>
          <w:rFonts w:ascii="Arial" w:hAnsi="Arial" w:eastAsia="Arial" w:cs="Arial"/>
          <w:color w:val="000000"/>
          <w:sz w:val="18"/>
        </w:rPr>
        <w:t>Review Segments, Working Capital, PPE and Intangibles, Debt and Leases, and Tax and Equity to trace the output. The Audit sheet independently reviews the model and does not determine business results. Native editable text boxes explain calculations next to the related schedules. The four role sheets interpret the same forecast.</w:t>
      </w:r>
    </w:p>
    <w:p>
      <w:pPr>
        <w:pStyle w:val="Heading2"/>
        <w:jc w:val="left"/>
      </w:pPr>
      <w:r>
        <w:rPr>
          <w:rFonts w:ascii="Arial" w:hAnsi="Arial" w:eastAsia="Arial" w:cs="Arial"/>
          <w:color w:val="000000"/>
          <w:sz w:val="18"/>
        </w:rPr>
        <w:t>Python and portability</w:t>
      </w:r>
    </w:p>
    <w:p>
      <w:pPr>
        <w:jc w:val="left"/>
      </w:pPr>
      <w:r>
        <w:rPr>
          <w:rFonts w:ascii="Arial" w:hAnsi="Arial" w:eastAsia="Arial" w:cs="Arial"/>
          <w:color w:val="000000"/>
          <w:sz w:val="18"/>
        </w:rPr>
        <w:t>The forecast runs offline on the supplied historical data. Run python src/model.py from the project directory. The --case option changes the scenario printed in the terminal; all three cases are recalculated and saved on every run. Edit data/processed/assumptions.json to change Python assumptions. Follow README.md for saved-workbook verification, report reproduction and source retrieval.</w:t>
      </w:r>
    </w:p>
    <w:p>
      <w:pPr>
        <w:jc w:val="left"/>
      </w:pPr>
      <w:r>
        <w:rPr>
          <w:rFonts w:ascii="Arial" w:hAnsi="Arial" w:eastAsia="Arial" w:cs="Arial"/>
          <w:color w:val="000000"/>
          <w:sz w:val="18"/>
        </w:rPr>
        <w:t>The archive includes the workbook, Word report, source extracts, historical and forecast datasets, code, dependencies and verification evidence. Unzip it to retain the relative directory structure. The numerical model uses the Python standard library; source normalization additionally uses lxml and report generation uses python-docx and matplotlib.</w:t>
      </w:r>
    </w:p>
    <w:p>
      <w:pPr>
        <w:pStyle w:val="Heading2"/>
        <w:jc w:val="left"/>
      </w:pPr>
      <w:r>
        <w:rPr>
          <w:rFonts w:ascii="Arial" w:hAnsi="Arial" w:eastAsia="Arial" w:cs="Arial"/>
          <w:color w:val="000000"/>
          <w:sz w:val="18"/>
        </w:rPr>
        <w:t>Primary references</w:t>
      </w:r>
    </w:p>
    <w:p>
      <w:pPr>
        <w:jc w:val="left"/>
      </w:pPr>
      <w:r>
        <w:rPr>
          <w:rFonts w:ascii="Arial" w:hAnsi="Arial" w:eastAsia="Arial" w:cs="Arial"/>
          <w:color w:val="000000"/>
          <w:sz w:val="18"/>
        </w:rPr>
        <w:t>Microsoft Corporation. Form 10-K for the year ended 30 June 2026, filed 29 July 2026. Item 8 contains the three financial statements and the relevant property, lease, debt, intangible and segment disclosures. The exact source table indices are recorded in the datasets.</w:t>
      </w:r>
    </w:p>
    <w:p>
      <w:pPr>
        <w:jc w:val="left"/>
      </w:pPr>
      <w:r>
        <w:rPr>
          <w:rFonts w:ascii="Arial" w:hAnsi="Arial" w:eastAsia="Arial" w:cs="Arial"/>
          <w:color w:val="000000"/>
          <w:sz w:val="18"/>
        </w:rPr>
        <w:t>https://www.sec.gov/Archives/edgar/data/789019/000119312526323660/msft-20260630.htm</w:t>
      </w:r>
    </w:p>
    <w:p>
      <w:pPr>
        <w:jc w:val="left"/>
      </w:pPr>
      <w:r>
        <w:rPr>
          <w:rFonts w:ascii="Arial" w:hAnsi="Arial" w:eastAsia="Arial" w:cs="Arial"/>
          <w:color w:val="000000"/>
          <w:sz w:val="18"/>
        </w:rPr>
        <w:t>Microsoft Corporation. Annual reports for FY2016 through FY2025. FY2016 is used for the opening balance context. Source URLs and the report chosen for each statement are recorded in historical_financials.csv and source_manifest.json.</w:t>
      </w:r>
    </w:p>
    <w:p>
      <w:pPr>
        <w:jc w:val="left"/>
      </w:pPr>
      <w:r>
        <w:rPr>
          <w:rFonts w:ascii="Arial" w:hAnsi="Arial" w:eastAsia="Arial" w:cs="Arial"/>
          <w:color w:val="000000"/>
          <w:sz w:val="18"/>
        </w:rPr>
        <w:t>https://www.microsoft.com/en-us/Investor/annual-reports.aspx</w:t>
      </w:r>
    </w:p>
    <w:p>
      <w:pPr>
        <w:jc w:val="left"/>
      </w:pPr>
      <w:r>
        <w:rPr>
          <w:rFonts w:ascii="Arial" w:hAnsi="Arial" w:eastAsia="Arial" w:cs="Arial"/>
          <w:color w:val="000000"/>
          <w:sz w:val="18"/>
        </w:rPr>
        <w:t>U.S. Securities and Exchange Commission. Microsoft Company Facts, CIK 0000789019. Selected 10-K observations are filtered by fiscal period and the fixed information cutoff.</w:t>
      </w:r>
    </w:p>
    <w:p>
      <w:pPr>
        <w:jc w:val="left"/>
      </w:pPr>
      <w:r>
        <w:rPr>
          <w:rFonts w:ascii="Arial" w:hAnsi="Arial" w:eastAsia="Arial" w:cs="Arial"/>
          <w:color w:val="000000"/>
          <w:sz w:val="18"/>
        </w:rPr>
        <w:t>https://data.sec.gov/api/xbrl/companyfacts/CIK0000789019.json</w:t>
      </w:r>
    </w:p>
    <w:p>
      <w:pPr>
        <w:jc w:val="left"/>
      </w:pPr>
      <w:r>
        <w:rPr>
          <w:rFonts w:ascii="Arial" w:hAnsi="Arial" w:eastAsia="Arial" w:cs="Arial"/>
          <w:color w:val="000000"/>
          <w:sz w:val="18"/>
        </w:rPr>
        <w:br w:type="page"/>
      </w:r>
    </w:p>
    <w:p>
      <w:pPr>
        <w:pStyle w:val="Heading1"/>
        <w:jc w:val="center"/>
      </w:pPr>
      <w:r>
        <w:rPr>
          <w:rFonts w:ascii="Arial" w:hAnsi="Arial" w:eastAsia="Arial" w:cs="Arial"/>
          <w:color w:val="000000"/>
          <w:sz w:val="21"/>
        </w:rPr>
        <w:t>13 Historical regression analysis</w:t>
      </w:r>
    </w:p>
    <w:p>
      <w:pPr>
        <w:jc w:val="left"/>
      </w:pPr>
      <w:r>
        <w:rPr>
          <w:rFonts w:ascii="Arial" w:hAnsi="Arial" w:eastAsia="Arial" w:cs="Arial"/>
          <w:color w:val="000000"/>
          <w:sz w:val="18"/>
        </w:rPr>
        <w:t>The Financial Modeling worksheet estimates the historical relationship between operating cash flow and revenue. It uses the same ten actual years, FY2017 to FY2026, as the operating model. Forecast observations are excluded. The original three-statement assumptions and calculations remain the forecast framework.</w:t>
      </w:r>
    </w:p>
    <w:p>
      <w:pPr>
        <w:jc w:val="left"/>
      </w:pPr>
      <w:r>
        <w:rPr>
          <w:rFonts w:ascii="Arial" w:hAnsi="Arial" w:eastAsia="Arial" w:cs="Arial"/>
          <w:color w:val="000000"/>
          <w:sz w:val="18"/>
        </w:rPr>
        <w:t>The first specification regresses the natural logarithm of CFO on the natural logarithm of revenue, with an intercept. Its slope is a historical elasticity. The second specification uses annual changes in both logarithms and therefore has nine observations. It tests the association in growth rather than relying on the common trend in levels.</w:t>
      </w:r>
    </w:p>
    <w:tbl>
      <w:tblPr>
        <w:tblW w:type="auto" w:w="0"/>
        <w:jc w:val="center"/>
        <w:tblLayout w:type="fixed"/>
        <w:tblLook w:firstColumn="1" w:firstRow="1" w:lastColumn="0" w:lastRow="0" w:noHBand="0" w:noVBand="1" w:val="04A0"/>
        <w:tblBorders>
          <w:top w:val="single" w:sz="4" w:color="000000"/>
          <w:bottom w:val="single" w:sz="4" w:color="000000"/>
          <w:insideH w:val="nil" w:sz="4" w:color="000000"/>
          <w:left w:val="nil"/>
          <w:right w:val="nil"/>
          <w:insideV w:val="nil"/>
        </w:tblBorders>
      </w:tblPr>
      <w:tblGrid>
        <w:gridCol w:w="3816"/>
        <w:gridCol w:w="3024"/>
        <w:gridCol w:w="3024"/>
      </w:tblGrid>
      <w:tr>
        <w:trPr>
          <w:cantSplit/>
          <w:tblHeader/>
        </w:trPr>
        <w:tc>
          <w:tcPr>
            <w:tcW w:type="dxa" w:w="3816"/>
            <w:vAlign w:val="center"/>
            <w:shd w:fill="FFFFFF"/>
            <w:tcBorders>
              <w:bottom w:val="single" w:sz="4" w:color="000000"/>
            </w:tcBorders>
          </w:tcPr>
          <w:p>
            <w:pPr>
              <w:spacing w:after="40" w:before="40"/>
              <w:jc w:val="left"/>
            </w:pPr>
            <w:r>
              <w:rPr>
                <w:rFonts w:ascii="Arial" w:hAnsi="Arial" w:eastAsia="Arial" w:cs="Arial"/>
                <w:b/>
                <w:color w:val="000000"/>
                <w:sz w:val="16"/>
              </w:rPr>
              <w:t>Metric</w:t>
            </w:r>
          </w:p>
        </w:tc>
        <w:tc>
          <w:tcPr>
            <w:tcW w:type="dxa" w:w="3024"/>
            <w:vAlign w:val="center"/>
            <w:shd w:fill="FFFFFF"/>
            <w:tcBorders>
              <w:bottom w:val="single" w:sz="4" w:color="000000"/>
            </w:tcBorders>
          </w:tcPr>
          <w:p>
            <w:pPr>
              <w:spacing w:after="40" w:before="40"/>
              <w:jc w:val="left"/>
            </w:pPr>
            <w:r>
              <w:rPr>
                <w:rFonts w:ascii="Arial" w:hAnsi="Arial" w:eastAsia="Arial" w:cs="Arial"/>
                <w:b/>
                <w:color w:val="000000"/>
                <w:sz w:val="16"/>
              </w:rPr>
              <w:t>Log levels</w:t>
            </w:r>
          </w:p>
        </w:tc>
        <w:tc>
          <w:tcPr>
            <w:tcW w:type="dxa" w:w="3024"/>
            <w:vAlign w:val="center"/>
            <w:shd w:fill="FFFFFF"/>
            <w:tcBorders>
              <w:bottom w:val="single" w:sz="4" w:color="000000"/>
            </w:tcBorders>
          </w:tcPr>
          <w:p>
            <w:pPr>
              <w:spacing w:after="40" w:before="40"/>
              <w:jc w:val="left"/>
            </w:pPr>
            <w:r>
              <w:rPr>
                <w:rFonts w:ascii="Arial" w:hAnsi="Arial" w:eastAsia="Arial" w:cs="Arial"/>
                <w:b/>
                <w:color w:val="000000"/>
                <w:sz w:val="16"/>
              </w:rPr>
              <w:t>Log changes</w:t>
            </w:r>
          </w:p>
        </w:tc>
      </w:tr>
      <w:tr>
        <w:trPr>
          <w:cantSplit/>
        </w:trPr>
        <w:tc>
          <w:tcPr>
            <w:tcW w:type="dxa" w:w="3816"/>
            <w:vAlign w:val="center"/>
            <w:shd w:fill="E5E5E5"/>
          </w:tcPr>
          <w:p>
            <w:pPr>
              <w:spacing w:after="40" w:before="40"/>
              <w:jc w:val="left"/>
            </w:pPr>
            <w:r>
              <w:rPr>
                <w:rFonts w:ascii="Arial" w:hAnsi="Arial" w:eastAsia="Arial" w:cs="Arial"/>
                <w:b w:val="0"/>
                <w:color w:val="000000"/>
                <w:sz w:val="16"/>
              </w:rPr>
              <w:t>Observations</w:t>
            </w:r>
          </w:p>
        </w:tc>
        <w:tc>
          <w:tcPr>
            <w:tcW w:type="dxa" w:w="3024"/>
            <w:vAlign w:val="center"/>
            <w:shd w:fill="E5E5E5"/>
          </w:tcPr>
          <w:p>
            <w:pPr>
              <w:spacing w:after="40" w:before="40"/>
              <w:jc w:val="left"/>
            </w:pPr>
            <w:r>
              <w:rPr>
                <w:rFonts w:ascii="Arial" w:hAnsi="Arial" w:eastAsia="Arial" w:cs="Arial"/>
                <w:b w:val="0"/>
                <w:color w:val="000000"/>
                <w:sz w:val="16"/>
              </w:rPr>
              <w:t>10</w:t>
            </w:r>
          </w:p>
        </w:tc>
        <w:tc>
          <w:tcPr>
            <w:tcW w:type="dxa" w:w="3024"/>
            <w:vAlign w:val="center"/>
            <w:shd w:fill="E5E5E5"/>
          </w:tcPr>
          <w:p>
            <w:pPr>
              <w:spacing w:after="40" w:before="40"/>
              <w:jc w:val="left"/>
            </w:pPr>
            <w:r>
              <w:rPr>
                <w:rFonts w:ascii="Arial" w:hAnsi="Arial" w:eastAsia="Arial" w:cs="Arial"/>
                <w:b w:val="0"/>
                <w:color w:val="000000"/>
                <w:sz w:val="16"/>
              </w:rPr>
              <w:t>9</w:t>
            </w:r>
          </w:p>
        </w:tc>
      </w:tr>
      <w:tr>
        <w:trPr>
          <w:cantSplit/>
        </w:trPr>
        <w:tc>
          <w:tcPr>
            <w:tcW w:type="dxa" w:w="3816"/>
            <w:vAlign w:val="center"/>
            <w:shd w:fill="FFFFFF"/>
          </w:tcPr>
          <w:p>
            <w:pPr>
              <w:spacing w:after="40" w:before="40"/>
              <w:jc w:val="left"/>
            </w:pPr>
            <w:r>
              <w:rPr>
                <w:rFonts w:ascii="Arial" w:hAnsi="Arial" w:eastAsia="Arial" w:cs="Arial"/>
                <w:b w:val="0"/>
                <w:color w:val="000000"/>
                <w:sz w:val="16"/>
              </w:rPr>
              <w:t>Revenue slope</w:t>
            </w:r>
          </w:p>
        </w:tc>
        <w:tc>
          <w:tcPr>
            <w:tcW w:type="dxa" w:w="3024"/>
            <w:vAlign w:val="center"/>
            <w:shd w:fill="FFFFFF"/>
          </w:tcPr>
          <w:p>
            <w:pPr>
              <w:spacing w:after="40" w:before="40"/>
              <w:jc w:val="left"/>
            </w:pPr>
            <w:r>
              <w:rPr>
                <w:rFonts w:ascii="Arial" w:hAnsi="Arial" w:eastAsia="Arial" w:cs="Arial"/>
                <w:b w:val="0"/>
                <w:color w:val="000000"/>
                <w:sz w:val="16"/>
              </w:rPr>
              <w:t>1.2141</w:t>
            </w:r>
          </w:p>
        </w:tc>
        <w:tc>
          <w:tcPr>
            <w:tcW w:type="dxa" w:w="3024"/>
            <w:vAlign w:val="center"/>
            <w:shd w:fill="FFFFFF"/>
          </w:tcPr>
          <w:p>
            <w:pPr>
              <w:spacing w:after="40" w:before="40"/>
              <w:jc w:val="left"/>
            </w:pPr>
            <w:r>
              <w:rPr>
                <w:rFonts w:ascii="Arial" w:hAnsi="Arial" w:eastAsia="Arial" w:cs="Arial"/>
                <w:b w:val="0"/>
                <w:color w:val="000000"/>
                <w:sz w:val="16"/>
              </w:rPr>
              <w:t>2.6013</w:t>
            </w:r>
          </w:p>
        </w:tc>
      </w:tr>
      <w:tr>
        <w:trPr>
          <w:cantSplit/>
        </w:trPr>
        <w:tc>
          <w:tcPr>
            <w:tcW w:type="dxa" w:w="3816"/>
            <w:vAlign w:val="center"/>
            <w:shd w:fill="E5E5E5"/>
          </w:tcPr>
          <w:p>
            <w:pPr>
              <w:spacing w:after="40" w:before="40"/>
              <w:jc w:val="left"/>
            </w:pPr>
            <w:r>
              <w:rPr>
                <w:rFonts w:ascii="Arial" w:hAnsi="Arial" w:eastAsia="Arial" w:cs="Arial"/>
                <w:b w:val="0"/>
                <w:color w:val="000000"/>
                <w:sz w:val="16"/>
              </w:rPr>
              <w:t>HC3 slope standard error</w:t>
            </w:r>
          </w:p>
        </w:tc>
        <w:tc>
          <w:tcPr>
            <w:tcW w:type="dxa" w:w="3024"/>
            <w:vAlign w:val="center"/>
            <w:shd w:fill="E5E5E5"/>
          </w:tcPr>
          <w:p>
            <w:pPr>
              <w:spacing w:after="40" w:before="40"/>
              <w:jc w:val="left"/>
            </w:pPr>
            <w:r>
              <w:rPr>
                <w:rFonts w:ascii="Arial" w:hAnsi="Arial" w:eastAsia="Arial" w:cs="Arial"/>
                <w:b w:val="0"/>
                <w:color w:val="000000"/>
                <w:sz w:val="16"/>
              </w:rPr>
              <w:t>0.0594</w:t>
            </w:r>
          </w:p>
        </w:tc>
        <w:tc>
          <w:tcPr>
            <w:tcW w:type="dxa" w:w="3024"/>
            <w:vAlign w:val="center"/>
            <w:shd w:fill="E5E5E5"/>
          </w:tcPr>
          <w:p>
            <w:pPr>
              <w:spacing w:after="40" w:before="40"/>
              <w:jc w:val="left"/>
            </w:pPr>
            <w:r>
              <w:rPr>
                <w:rFonts w:ascii="Arial" w:hAnsi="Arial" w:eastAsia="Arial" w:cs="Arial"/>
                <w:b w:val="0"/>
                <w:color w:val="000000"/>
                <w:sz w:val="16"/>
              </w:rPr>
              <w:t>0.5722</w:t>
            </w:r>
          </w:p>
        </w:tc>
      </w:tr>
      <w:tr>
        <w:trPr>
          <w:cantSplit/>
        </w:trPr>
        <w:tc>
          <w:tcPr>
            <w:tcW w:type="dxa" w:w="3816"/>
            <w:vAlign w:val="center"/>
            <w:shd w:fill="FFFFFF"/>
          </w:tcPr>
          <w:p>
            <w:pPr>
              <w:spacing w:after="40" w:before="40"/>
              <w:jc w:val="left"/>
            </w:pPr>
            <w:r>
              <w:rPr>
                <w:rFonts w:ascii="Arial" w:hAnsi="Arial" w:eastAsia="Arial" w:cs="Arial"/>
                <w:b w:val="0"/>
                <w:color w:val="000000"/>
                <w:sz w:val="16"/>
              </w:rPr>
              <w:t>HC3 slope 95% interval</w:t>
            </w:r>
          </w:p>
        </w:tc>
        <w:tc>
          <w:tcPr>
            <w:tcW w:type="dxa" w:w="3024"/>
            <w:vAlign w:val="center"/>
            <w:shd w:fill="FFFFFF"/>
          </w:tcPr>
          <w:p>
            <w:pPr>
              <w:spacing w:after="40" w:before="40"/>
              <w:jc w:val="left"/>
            </w:pPr>
            <w:r>
              <w:rPr>
                <w:rFonts w:ascii="Arial" w:hAnsi="Arial" w:eastAsia="Arial" w:cs="Arial"/>
                <w:b w:val="0"/>
                <w:color w:val="000000"/>
                <w:sz w:val="16"/>
              </w:rPr>
              <w:t>1.0770 to 1.3511</w:t>
            </w:r>
          </w:p>
        </w:tc>
        <w:tc>
          <w:tcPr>
            <w:tcW w:type="dxa" w:w="3024"/>
            <w:vAlign w:val="center"/>
            <w:shd w:fill="FFFFFF"/>
          </w:tcPr>
          <w:p>
            <w:pPr>
              <w:spacing w:after="40" w:before="40"/>
              <w:jc w:val="left"/>
            </w:pPr>
            <w:r>
              <w:rPr>
                <w:rFonts w:ascii="Arial" w:hAnsi="Arial" w:eastAsia="Arial" w:cs="Arial"/>
                <w:b w:val="0"/>
                <w:color w:val="000000"/>
                <w:sz w:val="16"/>
              </w:rPr>
              <w:t>1.2483 to 3.9543</w:t>
            </w:r>
          </w:p>
        </w:tc>
      </w:tr>
      <w:tr>
        <w:trPr>
          <w:cantSplit/>
        </w:trPr>
        <w:tc>
          <w:tcPr>
            <w:tcW w:type="dxa" w:w="3816"/>
            <w:vAlign w:val="center"/>
            <w:shd w:fill="E5E5E5"/>
          </w:tcPr>
          <w:p>
            <w:pPr>
              <w:spacing w:after="40" w:before="40"/>
              <w:jc w:val="left"/>
            </w:pPr>
            <w:r>
              <w:rPr>
                <w:rFonts w:ascii="Arial" w:hAnsi="Arial" w:eastAsia="Arial" w:cs="Arial"/>
                <w:b w:val="0"/>
                <w:color w:val="000000"/>
                <w:sz w:val="16"/>
              </w:rPr>
              <w:t>HC3 slope p value</w:t>
            </w:r>
          </w:p>
        </w:tc>
        <w:tc>
          <w:tcPr>
            <w:tcW w:type="dxa" w:w="3024"/>
            <w:vAlign w:val="center"/>
            <w:shd w:fill="E5E5E5"/>
          </w:tcPr>
          <w:p>
            <w:pPr>
              <w:spacing w:after="40" w:before="40"/>
              <w:jc w:val="left"/>
            </w:pPr>
            <w:r>
              <w:rPr>
                <w:rFonts w:ascii="Arial" w:hAnsi="Arial" w:eastAsia="Arial" w:cs="Arial"/>
                <w:b w:val="0"/>
                <w:color w:val="000000"/>
                <w:sz w:val="16"/>
              </w:rPr>
              <w:t>3.45e-08</w:t>
            </w:r>
          </w:p>
        </w:tc>
        <w:tc>
          <w:tcPr>
            <w:tcW w:type="dxa" w:w="3024"/>
            <w:vAlign w:val="center"/>
            <w:shd w:fill="E5E5E5"/>
          </w:tcPr>
          <w:p>
            <w:pPr>
              <w:spacing w:after="40" w:before="40"/>
              <w:jc w:val="left"/>
            </w:pPr>
            <w:r>
              <w:rPr>
                <w:rFonts w:ascii="Arial" w:hAnsi="Arial" w:eastAsia="Arial" w:cs="Arial"/>
                <w:b w:val="0"/>
                <w:color w:val="000000"/>
                <w:sz w:val="16"/>
              </w:rPr>
              <w:t>0.002648</w:t>
            </w:r>
          </w:p>
        </w:tc>
      </w:tr>
      <w:tr>
        <w:trPr>
          <w:cantSplit/>
        </w:trPr>
        <w:tc>
          <w:tcPr>
            <w:tcW w:type="dxa" w:w="3816"/>
            <w:vAlign w:val="center"/>
            <w:shd w:fill="FFFFFF"/>
          </w:tcPr>
          <w:p>
            <w:pPr>
              <w:spacing w:after="40" w:before="40"/>
              <w:jc w:val="left"/>
            </w:pPr>
            <w:r>
              <w:rPr>
                <w:rFonts w:ascii="Arial" w:hAnsi="Arial" w:eastAsia="Arial" w:cs="Arial"/>
                <w:b w:val="0"/>
                <w:color w:val="000000"/>
                <w:sz w:val="16"/>
              </w:rPr>
              <w:t>R squared</w:t>
            </w:r>
          </w:p>
        </w:tc>
        <w:tc>
          <w:tcPr>
            <w:tcW w:type="dxa" w:w="3024"/>
            <w:vAlign w:val="center"/>
            <w:shd w:fill="FFFFFF"/>
          </w:tcPr>
          <w:p>
            <w:pPr>
              <w:spacing w:after="40" w:before="40"/>
              <w:jc w:val="left"/>
            </w:pPr>
            <w:r>
              <w:rPr>
                <w:rFonts w:ascii="Arial" w:hAnsi="Arial" w:eastAsia="Arial" w:cs="Arial"/>
                <w:b w:val="0"/>
                <w:color w:val="000000"/>
                <w:sz w:val="16"/>
              </w:rPr>
              <w:t>0.9897</w:t>
            </w:r>
          </w:p>
        </w:tc>
        <w:tc>
          <w:tcPr>
            <w:tcW w:type="dxa" w:w="3024"/>
            <w:vAlign w:val="center"/>
            <w:shd w:fill="FFFFFF"/>
          </w:tcPr>
          <w:p>
            <w:pPr>
              <w:spacing w:after="40" w:before="40"/>
              <w:jc w:val="left"/>
            </w:pPr>
            <w:r>
              <w:rPr>
                <w:rFonts w:ascii="Arial" w:hAnsi="Arial" w:eastAsia="Arial" w:cs="Arial"/>
                <w:b w:val="0"/>
                <w:color w:val="000000"/>
                <w:sz w:val="16"/>
              </w:rPr>
              <w:t>0.6285</w:t>
            </w:r>
          </w:p>
        </w:tc>
      </w:tr>
      <w:tr>
        <w:trPr>
          <w:cantSplit/>
        </w:trPr>
        <w:tc>
          <w:tcPr>
            <w:tcW w:type="dxa" w:w="3816"/>
            <w:vAlign w:val="center"/>
            <w:shd w:fill="E5E5E5"/>
          </w:tcPr>
          <w:p>
            <w:pPr>
              <w:spacing w:after="40" w:before="40"/>
              <w:jc w:val="left"/>
            </w:pPr>
            <w:r>
              <w:rPr>
                <w:rFonts w:ascii="Arial" w:hAnsi="Arial" w:eastAsia="Arial" w:cs="Arial"/>
                <w:b w:val="0"/>
                <w:color w:val="000000"/>
                <w:sz w:val="16"/>
              </w:rPr>
              <w:t>Durbin Watson</w:t>
            </w:r>
          </w:p>
        </w:tc>
        <w:tc>
          <w:tcPr>
            <w:tcW w:type="dxa" w:w="3024"/>
            <w:vAlign w:val="center"/>
            <w:shd w:fill="E5E5E5"/>
          </w:tcPr>
          <w:p>
            <w:pPr>
              <w:spacing w:after="40" w:before="40"/>
              <w:jc w:val="left"/>
            </w:pPr>
            <w:r>
              <w:rPr>
                <w:rFonts w:ascii="Arial" w:hAnsi="Arial" w:eastAsia="Arial" w:cs="Arial"/>
                <w:b w:val="0"/>
                <w:color w:val="000000"/>
                <w:sz w:val="16"/>
              </w:rPr>
              <w:t>1.8625</w:t>
            </w:r>
          </w:p>
        </w:tc>
        <w:tc>
          <w:tcPr>
            <w:tcW w:type="dxa" w:w="3024"/>
            <w:vAlign w:val="center"/>
            <w:shd w:fill="E5E5E5"/>
          </w:tcPr>
          <w:p>
            <w:pPr>
              <w:spacing w:after="40" w:before="40"/>
              <w:jc w:val="left"/>
            </w:pPr>
            <w:r>
              <w:rPr>
                <w:rFonts w:ascii="Arial" w:hAnsi="Arial" w:eastAsia="Arial" w:cs="Arial"/>
                <w:b w:val="0"/>
                <w:color w:val="000000"/>
                <w:sz w:val="16"/>
              </w:rPr>
              <w:t>2.2844</w:t>
            </w:r>
          </w:p>
        </w:tc>
      </w:tr>
      <w:tr>
        <w:trPr>
          <w:cantSplit/>
        </w:trPr>
        <w:tc>
          <w:tcPr>
            <w:tcW w:type="dxa" w:w="3816"/>
            <w:vAlign w:val="center"/>
            <w:shd w:fill="FFFFFF"/>
          </w:tcPr>
          <w:p>
            <w:pPr>
              <w:spacing w:after="40" w:before="40"/>
              <w:jc w:val="left"/>
            </w:pPr>
            <w:r>
              <w:rPr>
                <w:rFonts w:ascii="Arial" w:hAnsi="Arial" w:eastAsia="Arial" w:cs="Arial"/>
                <w:b w:val="0"/>
                <w:color w:val="000000"/>
                <w:sz w:val="16"/>
              </w:rPr>
              <w:t>Maximum leverage</w:t>
            </w:r>
          </w:p>
        </w:tc>
        <w:tc>
          <w:tcPr>
            <w:tcW w:type="dxa" w:w="3024"/>
            <w:vAlign w:val="center"/>
            <w:shd w:fill="FFFFFF"/>
          </w:tcPr>
          <w:p>
            <w:pPr>
              <w:spacing w:after="40" w:before="40"/>
              <w:jc w:val="left"/>
            </w:pPr>
            <w:r>
              <w:rPr>
                <w:rFonts w:ascii="Arial" w:hAnsi="Arial" w:eastAsia="Arial" w:cs="Arial"/>
                <w:b w:val="0"/>
                <w:color w:val="000000"/>
                <w:sz w:val="16"/>
              </w:rPr>
              <w:t>0.3581</w:t>
            </w:r>
          </w:p>
        </w:tc>
        <w:tc>
          <w:tcPr>
            <w:tcW w:type="dxa" w:w="3024"/>
            <w:vAlign w:val="center"/>
            <w:shd w:fill="FFFFFF"/>
          </w:tcPr>
          <w:p>
            <w:pPr>
              <w:spacing w:after="40" w:before="40"/>
              <w:jc w:val="left"/>
            </w:pPr>
            <w:r>
              <w:rPr>
                <w:rFonts w:ascii="Arial" w:hAnsi="Arial" w:eastAsia="Arial" w:cs="Arial"/>
                <w:b w:val="0"/>
                <w:color w:val="000000"/>
                <w:sz w:val="16"/>
              </w:rPr>
              <w:t>0.7961</w:t>
            </w:r>
          </w:p>
        </w:tc>
      </w:tr>
    </w:tbl>
    <w:p>
      <w:pPr>
        <w:jc w:val="left"/>
      </w:pPr>
      <w:r>
        <w:rPr>
          <w:rFonts w:ascii="Arial" w:hAnsi="Arial" w:eastAsia="Arial" w:cs="Arial"/>
          <w:color w:val="000000"/>
          <w:sz w:val="18"/>
        </w:rPr>
        <w:t>The levels slope is approximately 1.21, with a narrow in-sample interval. Trending annual series can generate a high fit without a stable predictive relationship. The changes specification has a wider interval and one observation with leverage near 0.80. This makes sensitivity to individual years material.</w:t>
      </w:r>
    </w:p>
    <w:p>
      <w:pPr>
        <w:jc w:val="left"/>
      </w:pPr>
      <w:r>
        <w:rPr>
          <w:rFonts w:ascii="Arial" w:hAnsi="Arial" w:eastAsia="Arial" w:cs="Arial"/>
          <w:color w:val="000000"/>
          <w:sz w:val="18"/>
        </w:rPr>
        <w:drawing>
          <wp:inline xmlns:a="http://schemas.openxmlformats.org/drawingml/2006/main" xmlns:pic="http://schemas.openxmlformats.org/drawingml/2006/picture">
            <wp:extent cx="5897880" cy="2696174"/>
            <wp:docPr id="2" name="Picture 2"/>
            <wp:cNvGraphicFramePr>
              <a:graphicFrameLocks noChangeAspect="1"/>
            </wp:cNvGraphicFramePr>
            <a:graphic>
              <a:graphicData uri="http://schemas.openxmlformats.org/drawingml/2006/picture">
                <pic:pic>
                  <pic:nvPicPr>
                    <pic:cNvPr id="0" name="actual_and_fitted_cfo.png"/>
                    <pic:cNvPicPr/>
                  </pic:nvPicPr>
                  <pic:blipFill>
                    <a:blip r:embed="rId11">
                      <a:grayscl/>
                    </a:blip>
                    <a:stretch>
                      <a:fillRect/>
                    </a:stretch>
                  </pic:blipFill>
                  <pic:spPr>
                    <a:xfrm>
                      <a:off x="0" y="0"/>
                      <a:ext cx="5897880" cy="2696174"/>
                    </a:xfrm>
                    <a:prstGeom prst="rect"/>
                  </pic:spPr>
                </pic:pic>
              </a:graphicData>
            </a:graphic>
          </wp:inline>
        </w:drawing>
      </w:r>
    </w:p>
    <w:p>
      <w:pPr>
        <w:pStyle w:val="Caption"/>
        <w:jc w:val="left"/>
      </w:pPr>
      <w:r>
        <w:rPr>
          <w:rFonts w:ascii="Arial" w:hAnsi="Arial" w:eastAsia="Arial" w:cs="Arial"/>
          <w:color w:val="000000"/>
          <w:sz w:val="16"/>
        </w:rPr>
        <w:t>Actual CFO and the fitted conditional median from the log levels regression. USD billions. The fitted series is an in-sample diagnostic.</w:t>
      </w:r>
    </w:p>
    <w:p>
      <w:pPr>
        <w:jc w:val="left"/>
      </w:pPr>
      <w:r>
        <w:rPr>
          <w:rFonts w:ascii="Arial" w:hAnsi="Arial" w:eastAsia="Arial" w:cs="Arial"/>
          <w:color w:val="000000"/>
          <w:sz w:val="18"/>
        </w:rPr>
        <w:br w:type="page"/>
      </w:r>
    </w:p>
    <w:p>
      <w:pPr>
        <w:pStyle w:val="Heading1"/>
        <w:jc w:val="center"/>
      </w:pPr>
      <w:r>
        <w:rPr>
          <w:rFonts w:ascii="Arial" w:hAnsi="Arial" w:eastAsia="Arial" w:cs="Arial"/>
          <w:color w:val="000000"/>
          <w:sz w:val="21"/>
        </w:rPr>
        <w:t>Regression interpretation and reproduction</w:t>
      </w:r>
    </w:p>
    <w:p>
      <w:pPr>
        <w:pStyle w:val="Heading2"/>
        <w:jc w:val="left"/>
      </w:pPr>
      <w:r>
        <w:rPr>
          <w:rFonts w:ascii="Arial" w:hAnsi="Arial" w:eastAsia="Arial" w:cs="Arial"/>
          <w:color w:val="000000"/>
          <w:sz w:val="18"/>
        </w:rPr>
        <w:t>What HC3 changes</w:t>
      </w:r>
    </w:p>
    <w:p>
      <w:pPr>
        <w:jc w:val="left"/>
      </w:pPr>
      <w:r>
        <w:rPr>
          <w:rFonts w:ascii="Arial" w:hAnsi="Arial" w:eastAsia="Arial" w:cs="Arial"/>
          <w:color w:val="000000"/>
          <w:sz w:val="18"/>
        </w:rPr>
        <w:t>HC3 uses each squared residual divided by the square of one minus its leverage in the covariance calculation. It changes standard errors, t statistics, p values and confidence intervals. It does not change the OLS coefficients, fitted values or R squared. The worksheet exposes centered regressors, residuals, leverage and observation weights so the calculation can be followed row by row.</w:t>
      </w:r>
    </w:p>
    <w:p>
      <w:pPr>
        <w:jc w:val="left"/>
      </w:pPr>
      <w:r>
        <w:rPr>
          <w:rFonts w:ascii="Arial" w:hAnsi="Arial" w:eastAsia="Arial" w:cs="Arial"/>
          <w:color w:val="000000"/>
          <w:sz w:val="18"/>
        </w:rPr>
        <w:t>Inference explicitly uses Student t with n minus two degrees of freedom. This is approximate in a sample this small. HC3 addresses heteroskedasticity under the model assumptions. It does not correct serial correlation, shared trends, omitted variables or structural breaks. Durbin Watson and the 4/n leverage reference are descriptive diagnostics here. Neither is treated as evidence that the model is valid for forecasting.</w:t>
      </w:r>
    </w:p>
    <w:p>
      <w:pPr>
        <w:pStyle w:val="Heading2"/>
        <w:jc w:val="left"/>
      </w:pPr>
      <w:r>
        <w:rPr>
          <w:rFonts w:ascii="Arial" w:hAnsi="Arial" w:eastAsia="Arial" w:cs="Arial"/>
          <w:color w:val="000000"/>
          <w:sz w:val="18"/>
        </w:rPr>
        <w:t>Using the enhanced workbook</w:t>
      </w:r>
    </w:p>
    <w:p>
      <w:pPr>
        <w:jc w:val="left"/>
      </w:pPr>
      <w:r>
        <w:rPr>
          <w:rFonts w:ascii="Arial" w:hAnsi="Arial" w:eastAsia="Arial" w:cs="Arial"/>
          <w:color w:val="000000"/>
          <w:sz w:val="18"/>
        </w:rPr>
        <w:t>The workbook now has 21 worksheets and 37 editable charts. New charts cover the four professional views, financial statements, assumptions, segments, operating expenses, working capital, capital assets, financing, taxes, historical data and filing disclosures. Their helper data link to the original cells. Active-case charts and analytical observations update with Assumptions D4.</w:t>
      </w:r>
    </w:p>
    <w:p>
      <w:pPr>
        <w:jc w:val="left"/>
      </w:pPr>
      <w:r>
        <w:rPr>
          <w:rFonts w:ascii="Arial" w:hAnsi="Arial" w:eastAsia="Arial" w:cs="Arial"/>
          <w:color w:val="000000"/>
          <w:sz w:val="18"/>
        </w:rPr>
        <w:t>Expanded native text boxes explain each sheet's calculations, financial interpretation and modeling limits. The workbook contains 8,600 cell Notes on key labels, inputs and calculated values. Hover over an annotated cell in desktop Excel to read its definition and formula references. If hover display is disabled, use Review, Notes, Show or Hide Note. These are Notes rather than discussion threads.</w:t>
      </w:r>
    </w:p>
    <w:p>
      <w:pPr>
        <w:pStyle w:val="Heading2"/>
        <w:jc w:val="left"/>
      </w:pPr>
      <w:r>
        <w:rPr>
          <w:rFonts w:ascii="Arial" w:hAnsi="Arial" w:eastAsia="Arial" w:cs="Arial"/>
          <w:color w:val="000000"/>
          <w:sz w:val="18"/>
        </w:rPr>
        <w:t>Python reproduction</w:t>
      </w:r>
    </w:p>
    <w:p>
      <w:pPr>
        <w:jc w:val="left"/>
      </w:pPr>
      <w:r>
        <w:rPr>
          <w:rFonts w:ascii="Arial" w:hAnsi="Arial" w:eastAsia="Arial" w:cs="Arial"/>
          <w:color w:val="000000"/>
          <w:sz w:val="18"/>
        </w:rPr>
        <w:t>On Financial Modeling, copy C160:C332 into regression_analysis.py in VSCode. The same complete file is included under src in the ZIP. Install NumPy and SciPy, with Matplotlib for the optional figure, then run python regression_analysis.py --out regression_output. It writes coefficient estimates, OLS and HC3 uncertainty, diagnostic CSV files and the comparison figure.</w:t>
      </w:r>
    </w:p>
    <w:p>
      <w:pPr>
        <w:jc w:val="left"/>
      </w:pPr>
      <w:r>
        <w:rPr>
          <w:rFonts w:ascii="Arial" w:hAnsi="Arial" w:eastAsia="Arial" w:cs="Arial"/>
          <w:color w:val="000000"/>
          <w:sz w:val="18"/>
        </w:rPr>
        <w:t>The code embeds the original historical actuals, so it can run after copying without other project files. For edited observations, export a CSV with year, revenue and cfo columns, then pass --csv input.csv. Changing Excel does not rewrite the embedded Python dataset. The supplied Excel regression calculations and Python matrix implementation were compared independently. The existing saved-workbook statement checks also remain in use.</w:t>
      </w:r>
    </w:p>
    <w:p>
      <w:pPr>
        <w:jc w:val="left"/>
      </w:pPr>
      <w:r>
        <w:rPr>
          <w:rFonts w:ascii="Arial" w:hAnsi="Arial" w:eastAsia="Arial" w:cs="Arial"/>
          <w:color w:val="000000"/>
          <w:sz w:val="18"/>
        </w:rPr>
        <w:t>Method reference: statsmodels OLSResults.HC3_se documentation at https://www.statsmodels.org/stable/generated/statsmodels.regression.linear_model.OLSResults.HC3_se.html. The Student t critical values are supplied as a visible reference table for degrees of freedom 1 to 30. The information cutoff for the financial data remains 8 October 2026; these presentation and analysis additions are dated 10 October 2026.</w:t>
      </w:r>
    </w:p>
    <w:sectPr w:rsidR="00FC693F" w:rsidRPr="0006063C" w:rsidSect="00034616">
      <w:footerReference w:type="default" r:id="rId9"/>
      <w:headerReference w:type="default" r:id="rId12"/>
      <w:pgSz w:w="11900" w:h="16840"/>
      <w:pgMar w:top="576" w:right="504" w:bottom="576" w:left="504"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color w:val="000000"/>
        <w:sz w:val="16"/>
      </w:rPr>
      <w:t xml:space="preserve">Goran Brkich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before="0"/>
    </w:pPr>
    <w:rPr>
      <w:rFonts w:ascii="Arial" w:hAnsi="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rPr>
      <w:rFonts w:ascii="Arial" w:hAnsi="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rPr>
      <w:rFonts w:ascii="Arial" w:hAnsi="Arial"/>
      <w:color w:val="000000"/>
    </w:rPr>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Arial" w:hAnsi="Arial"/>
      <w:b/>
      <w:bCs/>
      <w:caps/>
      <w:color w:val="000000"/>
      <w:sz w:val="21"/>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ascii="Arial" w:hAnsi="Arial"/>
      <w:b/>
      <w:bCs/>
      <w:caps/>
      <w:color w:val="000000"/>
      <w:sz w:val="18"/>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ascii="Arial" w:hAnsi="Arial"/>
      <w:b/>
      <w:bCs/>
      <w:caps/>
      <w:color w:val="000000"/>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rPr>
      <w:rFonts w:ascii="Arial" w:hAnsi="Arial"/>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000000"/>
    </w:rPr>
  </w:style>
  <w:style w:type="paragraph" w:styleId="Title">
    <w:name w:val="Title"/>
    <w:basedOn w:val="Normal"/>
    <w:next w:val="Normal"/>
    <w:link w:val="TitleChar"/>
    <w:uiPriority w:val="10"/>
    <w:qFormat/>
    <w:rsid w:val="00FC693F"/>
    <w:pPr>
      <w:keepNext w:val="0"/>
      <w:spacing w:after="120" w:line="240" w:lineRule="auto" w:before="0"/>
      <w:contextualSpacing/>
    </w:pPr>
    <w:rPr>
      <w:rFonts w:asciiTheme="majorHAnsi" w:eastAsiaTheme="majorEastAsia" w:hAnsiTheme="majorHAnsi" w:cstheme="majorBidi" w:ascii="Arial" w:hAnsi="Arial"/>
      <w:b/>
      <w:caps/>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000000"/>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120"/>
    </w:pPr>
    <w:rPr>
      <w:rFonts w:asciiTheme="majorHAnsi" w:eastAsiaTheme="majorEastAsia" w:hAnsiTheme="majorHAnsi" w:cstheme="majorBidi" w:ascii="Arial" w:hAnsi="Arial"/>
      <w:i/>
      <w:iCs/>
      <w:color w:val="000000"/>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000000"/>
      <w:spacing w:val="15"/>
      <w:sz w:val="24"/>
      <w:szCs w:val="24"/>
    </w:rPr>
  </w:style>
  <w:style w:type="paragraph" w:styleId="ListParagraph">
    <w:name w:val="List Paragraph"/>
    <w:basedOn w:val="Normal"/>
    <w:uiPriority w:val="34"/>
    <w:qFormat/>
    <w:rsid w:val="00FC693F"/>
    <w:pPr>
      <w:spacing w:line="252" w:lineRule="auto" w:after="100" w:before="0"/>
      <w:ind w:left="720"/>
      <w:contextualSpacing/>
    </w:pPr>
    <w:rPr>
      <w:rFonts w:ascii="Arial" w:hAnsi="Arial"/>
      <w:color w:val="000000"/>
      <w:sz w:val="18"/>
    </w:rPr>
  </w:style>
  <w:style w:type="paragraph" w:styleId="BodyText">
    <w:name w:val="Body Text"/>
    <w:basedOn w:val="Normal"/>
    <w:link w:val="BodyTextChar"/>
    <w:uiPriority w:val="99"/>
    <w:unhideWhenUsed/>
    <w:rsid w:val="00AA1D8D"/>
    <w:pPr>
      <w:spacing w:after="100" w:line="252" w:lineRule="auto" w:before="0"/>
    </w:pPr>
    <w:rPr>
      <w:rFonts w:ascii="Arial" w:hAnsi="Arial"/>
      <w:color w:val="000000"/>
      <w:sz w:val="18"/>
    </w:rPr>
  </w:style>
  <w:style w:type="character" w:customStyle="1" w:styleId="BodyTextChar">
    <w:name w:val="Body Text Char"/>
    <w:basedOn w:val="DefaultParagraphFont"/>
    <w:link w:val="BodyText"/>
    <w:uiPriority w:val="99"/>
    <w:rsid w:val="00AA1D8D"/>
    <w:rPr>
      <w:rFonts w:ascii="Arial" w:hAnsi="Arial"/>
      <w:color w:val="000000"/>
    </w:rPr>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rPr>
      <w:rFonts w:ascii="Arial" w:hAnsi="Arial"/>
      <w:color w:val="000000"/>
    </w:rPr>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rFonts w:ascii="Arial" w:hAnsi="Arial"/>
      <w:color w:val="000000"/>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Arial" w:hAnsi="Arial"/>
      <w:color w:val="000000"/>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rFonts w:ascii="Arial" w:hAnsi="Arial"/>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000000"/>
      <w:sz w:val="20"/>
      <w:szCs w:val="20"/>
    </w:rPr>
  </w:style>
  <w:style w:type="paragraph" w:styleId="Caption">
    <w:name w:val="caption"/>
    <w:basedOn w:val="Normal"/>
    <w:next w:val="Normal"/>
    <w:uiPriority w:val="35"/>
    <w:semiHidden/>
    <w:unhideWhenUsed/>
    <w:qFormat/>
    <w:rsid w:val="00FC693F"/>
    <w:pPr>
      <w:keepNext w:val="0"/>
      <w:spacing w:line="240" w:lineRule="auto" w:before="0" w:after="120"/>
    </w:pPr>
    <w:rPr>
      <w:rFonts w:ascii="Arial" w:hAnsi="Arial"/>
      <w:b w:val="0"/>
      <w:bCs/>
      <w:i/>
      <w:color w:val="000000"/>
      <w:sz w:val="16"/>
      <w:szCs w:val="18"/>
    </w:rPr>
  </w:style>
  <w:style w:type="character" w:styleId="Strong">
    <w:name w:val="Strong"/>
    <w:basedOn w:val="DefaultParagraphFont"/>
    <w:uiPriority w:val="22"/>
    <w:qFormat/>
    <w:rsid w:val="00FC693F"/>
    <w:rPr>
      <w:rFonts w:ascii="Arial" w:hAnsi="Arial"/>
      <w:b/>
      <w:bCs/>
      <w:color w:val="000000"/>
    </w:rPr>
  </w:style>
  <w:style w:type="character" w:styleId="Emphasis">
    <w:name w:val="Emphasis"/>
    <w:basedOn w:val="DefaultParagraphFont"/>
    <w:uiPriority w:val="20"/>
    <w:qFormat/>
    <w:rsid w:val="00FC693F"/>
    <w:rPr>
      <w:rFonts w:ascii="Arial" w:hAnsi="Arial"/>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rFonts w:ascii="Arial" w:hAnsi="Arial"/>
      <w:b/>
      <w:bCs/>
      <w:i/>
      <w:iCs/>
      <w:color w:val="000000"/>
    </w:rPr>
  </w:style>
  <w:style w:type="character" w:styleId="SubtleEmphasis">
    <w:name w:val="Subtle Emphasis"/>
    <w:basedOn w:val="DefaultParagraphFont"/>
    <w:uiPriority w:val="19"/>
    <w:qFormat/>
    <w:rsid w:val="00FC693F"/>
    <w:rPr>
      <w:rFonts w:ascii="Arial" w:hAnsi="Arial"/>
      <w:i/>
      <w:iCs/>
      <w:color w:val="000000"/>
    </w:rPr>
  </w:style>
  <w:style w:type="character" w:styleId="IntenseEmphasis">
    <w:name w:val="Intense Emphasis"/>
    <w:basedOn w:val="DefaultParagraphFont"/>
    <w:uiPriority w:val="21"/>
    <w:qFormat/>
    <w:rsid w:val="00FC693F"/>
    <w:rPr>
      <w:rFonts w:ascii="Arial" w:hAnsi="Arial"/>
      <w:b/>
      <w:bCs/>
      <w:i/>
      <w:iCs/>
      <w:color w:val="000000"/>
    </w:rPr>
  </w:style>
  <w:style w:type="character" w:styleId="SubtleReference">
    <w:name w:val="Subtle Reference"/>
    <w:basedOn w:val="DefaultParagraphFont"/>
    <w:uiPriority w:val="31"/>
    <w:qFormat/>
    <w:rsid w:val="00FC693F"/>
    <w:rPr>
      <w:rFonts w:ascii="Arial" w:hAnsi="Arial"/>
      <w:smallCaps/>
      <w:color w:val="000000"/>
      <w:u w:val="single"/>
    </w:rPr>
  </w:style>
  <w:style w:type="character" w:styleId="IntenseReference">
    <w:name w:val="Intense Reference"/>
    <w:basedOn w:val="DefaultParagraphFont"/>
    <w:uiPriority w:val="32"/>
    <w:qFormat/>
    <w:rsid w:val="00FC693F"/>
    <w:rPr>
      <w:rFonts w:ascii="Arial" w:hAnsi="Arial"/>
      <w:b/>
      <w:bCs/>
      <w:smallCaps/>
      <w:color w:val="000000"/>
      <w:spacing w:val="5"/>
      <w:u w:val="single"/>
    </w:rPr>
  </w:style>
  <w:style w:type="character" w:styleId="BookTitle">
    <w:name w:val="Book Title"/>
    <w:basedOn w:val="DefaultParagraphFont"/>
    <w:uiPriority w:val="33"/>
    <w:qFormat/>
    <w:rsid w:val="00FC693F"/>
    <w:rPr>
      <w:rFonts w:ascii="Arial" w:hAnsi="Arial"/>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Three Statement Financial Model</dc:title>
  <dc:subject>Historical financial statements and integrated forecast</dc:subject>
  <dc:creator>Goran Brkich</dc:creator>
  <cp:keywords/>
  <dc:description>generated by python-docx</dc:description>
  <cp:lastModifiedBy/>
  <cp:revision>1</cp:revision>
  <dcterms:created xsi:type="dcterms:W3CDTF">2013-12-23T23:15:00Z</dcterms:created>
  <dcterms:modified xsi:type="dcterms:W3CDTF">2013-12-23T23:15:00Z</dcterms:modified>
  <cp:category/>
</cp:coreProperties>
</file>