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</w:pPr>
      <w:r>
        <w:rPr>
          <w:b/>
          <w:bCs/>
          <w:color w:val="9A7428"/>
          <w:spacing w:val="30"/>
          <w:sz w:val="20"/>
          <w:szCs w:val="20"/>
        </w:rPr>
        <w:t xml:space="preserve">ДОКЛАД-ПРЕЗЕНТАЦИЯ · ГРУППА 2</w:t>
      </w:r>
    </w:p>
    <w:p>
      <w:pPr>
        <w:pStyle w:val="Title"/>
        <w:spacing w:after="160"/>
      </w:pPr>
      <w:r>
        <w:t xml:space="preserve">Кризис Европейской валютной системы 1992–1993 гг.</w:t>
      </w:r>
    </w:p>
    <w:p>
      <w:pPr>
        <w:spacing w:after="200" w:line="300"/>
      </w:pPr>
      <w:r>
        <w:rPr>
          <w:b w:val="false"/>
          <w:bCs w:val="false"/>
          <w:i w:val="false"/>
          <w:iCs w:val="false"/>
          <w:color w:val="6B7280"/>
          <w:sz w:val="21"/>
          <w:szCs w:val="21"/>
        </w:rPr>
        <w:t xml:space="preserve">Текст 9 слайдов и текст выступления на 5 минут. Данные графиков и схем приведены таблицами.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038"/>
        <w:gridCol w:w="2800"/>
        <w:gridCol w:w="1500"/>
      </w:tblGrid>
      <w:tr>
        <w:trPr>
          <w:tblHeader/>
        </w:trPr>
        <w:tc>
          <w:tcPr>
            <w:tcW w:type="dxa" w:w="13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31A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Слайд</w:t>
            </w:r>
          </w:p>
        </w:tc>
        <w:tc>
          <w:tcPr>
            <w:tcW w:type="dxa" w:w="4038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31A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Тема</w:t>
            </w:r>
          </w:p>
        </w:tc>
        <w:tc>
          <w:tcPr>
            <w:tcW w:type="dxa" w:w="28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31A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Докладчик</w:t>
            </w:r>
          </w:p>
        </w:tc>
        <w:tc>
          <w:tcPr>
            <w:tcW w:type="dxa" w:w="15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31A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Время</w:t>
            </w:r>
          </w:p>
        </w:tc>
      </w:tr>
      <w:tr>
        <w:tc>
          <w:tcPr>
            <w:tcW w:type="dxa" w:w="13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01</w:t>
            </w:r>
          </w:p>
        </w:tc>
        <w:tc>
          <w:tcPr>
            <w:tcW w:type="dxa" w:w="4038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Титульный лист</w:t>
            </w:r>
          </w:p>
        </w:tc>
        <w:tc>
          <w:tcPr>
            <w:tcW w:type="dxa" w:w="28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Н. Р. Аверьянов</w:t>
            </w:r>
          </w:p>
        </w:tc>
        <w:tc>
          <w:tcPr>
            <w:tcW w:type="dxa" w:w="15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0:15</w:t>
            </w:r>
          </w:p>
        </w:tc>
      </w:tr>
      <w:tr>
        <w:tc>
          <w:tcPr>
            <w:tcW w:type="dxa" w:w="13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02–03</w:t>
            </w:r>
          </w:p>
        </w:tc>
        <w:tc>
          <w:tcPr>
            <w:tcW w:type="dxa" w:w="4038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Причины кризиса</w:t>
            </w:r>
          </w:p>
        </w:tc>
        <w:tc>
          <w:tcPr>
            <w:tcW w:type="dxa" w:w="28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Н. Р. Аверьянов</w:t>
            </w:r>
          </w:p>
        </w:tc>
        <w:tc>
          <w:tcPr>
            <w:tcW w:type="dxa" w:w="15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1:25</w:t>
            </w:r>
          </w:p>
        </w:tc>
      </w:tr>
      <w:tr>
        <w:tc>
          <w:tcPr>
            <w:tcW w:type="dxa" w:w="13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04–06</w:t>
            </w:r>
          </w:p>
        </w:tc>
        <w:tc>
          <w:tcPr>
            <w:tcW w:type="dxa" w:w="4038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Ход кризиса</w:t>
            </w:r>
          </w:p>
        </w:tc>
        <w:tc>
          <w:tcPr>
            <w:tcW w:type="dxa" w:w="28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Е. А. Гордеев</w:t>
            </w:r>
          </w:p>
        </w:tc>
        <w:tc>
          <w:tcPr>
            <w:tcW w:type="dxa" w:w="15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1:40</w:t>
            </w:r>
          </w:p>
        </w:tc>
      </w:tr>
      <w:tr>
        <w:tc>
          <w:tcPr>
            <w:tcW w:type="dxa" w:w="13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07–09</w:t>
            </w:r>
          </w:p>
        </w:tc>
        <w:tc>
          <w:tcPr>
            <w:tcW w:type="dxa" w:w="4038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Последствия и выводы</w:t>
            </w:r>
          </w:p>
        </w:tc>
        <w:tc>
          <w:tcPr>
            <w:tcW w:type="dxa" w:w="28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И. С. Татьянченко</w:t>
            </w:r>
          </w:p>
        </w:tc>
        <w:tc>
          <w:tcPr>
            <w:tcW w:type="dxa" w:w="15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1:05</w:t>
            </w:r>
          </w:p>
        </w:tc>
      </w:tr>
      <w:tr>
        <w:tc>
          <w:tcPr>
            <w:tcW w:type="dxa" w:w="13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038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Итого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8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≈ 4:25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</w:p>
    <w:p>
      <w:pPr>
        <w:spacing w:after="140" w:line="280"/>
      </w:pPr>
      <w:r>
        <w:rPr>
          <w:b w:val="false"/>
          <w:bCs w:val="false"/>
          <w:i w:val="false"/>
          <w:iCs w:val="false"/>
          <w:color w:val="6B7280"/>
          <w:sz w:val="20"/>
          <w:szCs w:val="20"/>
        </w:rPr>
        <w:t xml:space="preserve">Время указано для чистой речи в спокойном темпе (около 120 слов в минуту). С паузами и переключением слайдов выходит около 5 минут.</w:t>
      </w:r>
    </w:p>
    <w:p>
      <w:pPr>
        <w:pStyle w:val="Heading2"/>
        <w:keepNext/>
        <w:spacing w:after="60" w:before="360"/>
      </w:pPr>
      <w:r>
        <w:rPr>
          <w:color w:val="9A7428"/>
        </w:rPr>
        <w:t xml:space="preserve">Слайд 01. </w:t>
      </w:r>
      <w:r>
        <w:t xml:space="preserve">Титульный лист</w:t>
      </w:r>
    </w:p>
    <w:p>
      <w:pPr>
        <w:keepNext/>
        <w:pBdr>
          <w:bottom w:val="single" w:color="D5D9E0" w:sz="4" w:space="6"/>
        </w:pBdr>
        <w:spacing w:after="160"/>
      </w:pPr>
      <w:r>
        <w:rPr>
          <w:color w:val="6B7280"/>
          <w:sz w:val="19"/>
          <w:szCs w:val="19"/>
        </w:rPr>
        <w:t xml:space="preserve">Титульный лист · Группа 2</w:t>
      </w:r>
    </w:p>
    <w:p>
      <w:pPr>
        <w:spacing w:after="120" w:line="300"/>
      </w:pPr>
      <w:r>
        <w:rPr>
          <w:b w:val="false"/>
          <w:bCs w:val="false"/>
          <w:i w:val="false"/>
          <w:iCs w:val="false"/>
        </w:rPr>
        <w:t xml:space="preserve"/>
      </w:r>
      <w:r>
        <w:rPr>
          <w:b/>
          <w:bCs/>
          <w:i w:val="false"/>
          <w:iCs w:val="false"/>
        </w:rPr>
        <w:t xml:space="preserve">Кризис Европейской валютной системы 1992–1993</w:t>
      </w:r>
      <w:r>
        <w:rPr>
          <w:b w:val="false"/>
          <w:bCs w:val="false"/>
          <w:i w:val="false"/>
          <w:iCs w:val="false"/>
        </w:rPr>
        <w:t xml:space="preserve"/>
      </w:r>
    </w:p>
    <w:p>
      <w:pPr>
        <w:spacing w:after="120" w:line="300"/>
      </w:pPr>
      <w:r>
        <w:rPr>
          <w:b w:val="false"/>
          <w:bCs w:val="false"/>
          <w:i w:val="false"/>
          <w:iCs w:val="false"/>
        </w:rPr>
        <w:t xml:space="preserve">Как механизм фиксированных курсов ERM не выдержал давления рынка: Великобритания и Италия вышли из системы, а коридор колебаний расширили с ±2,25% до ±15%.</w:t>
      </w:r>
    </w:p>
    <w:p>
      <w:pPr>
        <w:spacing w:after="80" w:before="160"/>
      </w:pPr>
      <w:r>
        <w:rPr>
          <w:b/>
          <w:bCs/>
          <w:color w:val="9A7428"/>
          <w:spacing w:val="20"/>
          <w:sz w:val="17"/>
          <w:szCs w:val="17"/>
        </w:rPr>
        <w:t xml:space="preserve">СОСТАВ ГРУППЫ И РАСПРЕДЕЛЕНИЕ ЗАДАЧ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900"/>
        <w:gridCol w:w="4538"/>
        <w:gridCol w:w="900"/>
      </w:tblGrid>
      <w:tr>
        <w:trPr>
          <w:tblHeader/>
        </w:trPr>
        <w:tc>
          <w:tcPr>
            <w:tcW w:type="dxa" w:w="23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31A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Участник</w:t>
            </w:r>
          </w:p>
        </w:tc>
        <w:tc>
          <w:tcPr>
            <w:tcW w:type="dxa" w:w="1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31A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Раздел</w:t>
            </w:r>
          </w:p>
        </w:tc>
        <w:tc>
          <w:tcPr>
            <w:tcW w:type="dxa" w:w="4538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31A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Выполненные задачи</w:t>
            </w:r>
          </w:p>
        </w:tc>
        <w:tc>
          <w:tcPr>
            <w:tcW w:type="dxa" w:w="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31A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Слайды</w:t>
            </w:r>
          </w:p>
        </w:tc>
      </w:tr>
      <w:tr>
        <w:tc>
          <w:tcPr>
            <w:tcW w:type="dxa" w:w="23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Аверьянов Никита Романович</w:t>
            </w:r>
          </w:p>
        </w:tc>
        <w:tc>
          <w:tcPr>
            <w:tcW w:type="dxa" w:w="1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I. Причины кризиса</w:t>
            </w:r>
          </w:p>
        </w:tc>
        <w:tc>
          <w:tcPr>
            <w:tcW w:type="dxa" w:w="4538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устройство ЕВС и механизма курсов ERM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объединение Германии и ставки Бундесбанка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Маастрихт и свободное движение капитала</w:t>
            </w:r>
          </w:p>
        </w:tc>
        <w:tc>
          <w:tcPr>
            <w:tcW w:type="dxa" w:w="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02–03</w:t>
            </w:r>
          </w:p>
        </w:tc>
      </w:tr>
      <w:tr>
        <w:tc>
          <w:tcPr>
            <w:tcW w:type="dxa" w:w="23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Гордеев Егор Александрович</w:t>
            </w:r>
          </w:p>
        </w:tc>
        <w:tc>
          <w:tcPr>
            <w:tcW w:type="dxa" w:w="1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II. Ход кризиса</w:t>
            </w:r>
          </w:p>
        </w:tc>
        <w:tc>
          <w:tcPr>
            <w:tcW w:type="dxa" w:w="4538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хронология кризиса 1992–1993 гг.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«чёрная среда» и выход Великобритании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девальвации и коридор ±15%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вёрстка сайта-презентации</w:t>
            </w:r>
          </w:p>
        </w:tc>
        <w:tc>
          <w:tcPr>
            <w:tcW w:type="dxa" w:w="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04–06</w:t>
            </w:r>
          </w:p>
        </w:tc>
      </w:tr>
      <w:tr>
        <w:tc>
          <w:tcPr>
            <w:tcW w:type="dxa" w:w="23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Татьянченко Иван Сергеевич</w:t>
            </w:r>
          </w:p>
        </w:tc>
        <w:tc>
          <w:tcPr>
            <w:tcW w:type="dxa" w:w="1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III. Последствия и выводы</w:t>
            </w:r>
          </w:p>
        </w:tc>
        <w:tc>
          <w:tcPr>
            <w:tcW w:type="dxa" w:w="4538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последствия для Великобритании и Италии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итоги для Европы и выводы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список источников</w:t>
            </w:r>
          </w:p>
        </w:tc>
        <w:tc>
          <w:tcPr>
            <w:tcW w:type="dxa" w:w="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07–09</w:t>
            </w:r>
          </w:p>
        </w:tc>
      </w:tr>
    </w:tbl>
    <w:p>
      <w:pPr>
        <w:spacing w:after="120"/>
      </w:pPr>
    </w:p>
    <w:p>
      <w:pPr>
        <w:keepNext/>
        <w:pBdr>
          <w:left w:val="single" w:color="131A2A" w:sz="18" w:space="8"/>
        </w:pBdr>
        <w:shd w:fill="F3F1EC" w:color="auto" w:val="clear"/>
        <w:spacing w:after="60" w:before="200"/>
        <w:ind w:left="160" w:right="160"/>
      </w:pPr>
      <w:r>
        <w:rPr>
          <w:b/>
          <w:bCs/>
          <w:color w:val="131A2A"/>
          <w:spacing w:val="20"/>
          <w:sz w:val="17"/>
          <w:szCs w:val="17"/>
        </w:rPr>
        <w:t xml:space="preserve">ЧТО ГОВОРИТЬ · ≈ 15 С</w:t>
      </w:r>
    </w:p>
    <w:p>
      <w:pPr>
        <w:pBdr>
          <w:left w:val="single" w:color="131A2A" w:sz="18" w:space="8"/>
        </w:pBdr>
        <w:shd w:fill="F3F1EC" w:color="auto" w:val="clear"/>
        <w:spacing w:after="160" w:line="300"/>
        <w:ind w:left="160" w:right="160"/>
      </w:pPr>
      <w:r>
        <w:rPr>
          <w:b w:val="false"/>
          <w:bCs w:val="false"/>
          <w:i/>
          <w:iCs/>
        </w:rPr>
        <w:t xml:space="preserve">Здравствуйте. Тема нашего доклада — кризис Европейской валютной системы 1992–1993 годов. Мы расскажем о причинах кризиса, его ходе и последствиях. Распределение задач — на титульном слайде.</w:t>
      </w:r>
    </w:p>
    <w:p>
      <w:pPr>
        <w:pStyle w:val="Heading1"/>
        <w:keepNext/>
        <w:spacing w:after="80" w:before="480"/>
      </w:pPr>
      <w:r>
        <w:rPr>
          <w:color w:val="1B2D4F"/>
        </w:rPr>
        <w:t xml:space="preserve">Раздел I. Причины кризиса</w:t>
      </w:r>
    </w:p>
    <w:p>
      <w:pPr>
        <w:spacing w:after="120" w:line="300"/>
      </w:pPr>
      <w:r>
        <w:rPr>
          <w:b w:val="false"/>
          <w:bCs w:val="false"/>
          <w:i w:val="false"/>
          <w:iCs w:val="false"/>
          <w:color w:val="6B7280"/>
          <w:sz w:val="20"/>
          <w:szCs w:val="20"/>
        </w:rPr>
        <w:t xml:space="preserve">Докладчик: Аверьянов Никита Романович · слайды 02–03</w:t>
      </w:r>
    </w:p>
    <w:p>
      <w:pPr>
        <w:pStyle w:val="Heading2"/>
        <w:keepNext/>
        <w:spacing w:after="60" w:before="360"/>
      </w:pPr>
      <w:r>
        <w:rPr>
          <w:color w:val="9A7428"/>
        </w:rPr>
        <w:t xml:space="preserve">Слайд 02. </w:t>
      </w:r>
      <w:r>
        <w:t xml:space="preserve">Что такое ЕВС и механизм ERM</w:t>
      </w:r>
    </w:p>
    <w:p>
      <w:pPr>
        <w:keepNext/>
        <w:pBdr>
          <w:bottom w:val="single" w:color="D5D9E0" w:sz="4" w:space="6"/>
        </w:pBdr>
        <w:spacing w:after="160"/>
      </w:pPr>
      <w:r>
        <w:rPr>
          <w:color w:val="6B7280"/>
          <w:sz w:val="19"/>
          <w:szCs w:val="19"/>
        </w:rPr>
        <w:t xml:space="preserve">Раздел I · Причины кризиса · Докладчик: Н. Р. Аверьянов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 w:val="false"/>
          <w:bCs w:val="false"/>
          <w:i w:val="false"/>
          <w:iCs w:val="false"/>
        </w:rPr>
        <w:t xml:space="preserve">Европейская валютная система создана </w:t>
      </w:r>
      <w:r>
        <w:rPr>
          <w:b/>
          <w:bCs/>
          <w:i w:val="false"/>
          <w:iCs w:val="false"/>
        </w:rPr>
        <w:t xml:space="preserve">13 марта 1979 г.</w:t>
      </w:r>
      <w:r>
        <w:rPr>
          <w:b w:val="false"/>
          <w:bCs w:val="false"/>
          <w:i w:val="false"/>
          <w:iCs w:val="false"/>
        </w:rPr>
        <w:t xml:space="preserve">, чтобы ограничить колебания курсов валют стран ЕЭС.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 w:val="false"/>
          <w:bCs w:val="false"/>
          <w:i w:val="false"/>
          <w:iCs w:val="false"/>
        </w:rPr>
        <w:t xml:space="preserve">Её ядро — механизм обменных курсов </w:t>
      </w:r>
      <w:r>
        <w:rPr>
          <w:b/>
          <w:bCs/>
          <w:i w:val="false"/>
          <w:iCs w:val="false"/>
        </w:rPr>
        <w:t xml:space="preserve">ERM</w:t>
      </w:r>
      <w:r>
        <w:rPr>
          <w:b w:val="false"/>
          <w:bCs w:val="false"/>
          <w:i w:val="false"/>
          <w:iCs w:val="false"/>
        </w:rPr>
        <w:t xml:space="preserve">: у каждой валюты центральный курс и коридор </w:t>
      </w:r>
      <w:r>
        <w:rPr>
          <w:b/>
          <w:bCs/>
          <w:i w:val="false"/>
          <w:iCs w:val="false"/>
        </w:rPr>
        <w:t xml:space="preserve">±2,25%</w:t>
      </w:r>
      <w:r>
        <w:rPr>
          <w:b w:val="false"/>
          <w:bCs w:val="false"/>
          <w:i w:val="false"/>
          <w:iCs w:val="false"/>
        </w:rPr>
        <w:t xml:space="preserve">, для части валют </w:t>
      </w:r>
      <w:r>
        <w:rPr>
          <w:b/>
          <w:bCs/>
          <w:i w:val="false"/>
          <w:iCs w:val="false"/>
        </w:rPr>
        <w:t xml:space="preserve">±6%</w:t>
      </w:r>
      <w:r>
        <w:rPr>
          <w:b w:val="false"/>
          <w:bCs w:val="false"/>
          <w:i w:val="false"/>
          <w:iCs w:val="false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 w:val="false"/>
          <w:bCs w:val="false"/>
          <w:i w:val="false"/>
          <w:iCs w:val="false"/>
        </w:rPr>
        <w:t xml:space="preserve">На границе коридора центральные банки обязаны </w:t>
      </w:r>
      <w:r>
        <w:rPr>
          <w:b/>
          <w:bCs/>
          <w:i w:val="false"/>
          <w:iCs w:val="false"/>
        </w:rPr>
        <w:t xml:space="preserve">без ограничений покупать слабую валюту</w:t>
      </w:r>
      <w:r>
        <w:rPr>
          <w:b w:val="false"/>
          <w:bCs w:val="false"/>
          <w:i w:val="false"/>
          <w:iCs w:val="false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 w:val="false"/>
          <w:bCs w:val="false"/>
          <w:i w:val="false"/>
          <w:iCs w:val="false"/>
        </w:rPr>
        <w:t xml:space="preserve">С 1987 по 1992 г. курсы ни разу не пересматривали. К 1992 г. в ERM входили валюты 11 из 12 стран ЕС, в том числе фунт — с октября 1990 г., по курсу 2,95 марки.</w:t>
      </w:r>
    </w:p>
    <w:p>
      <w:pPr>
        <w:spacing w:after="140" w:line="280"/>
      </w:pPr>
      <w:r>
        <w:rPr>
          <w:b w:val="false"/>
          <w:bCs w:val="false"/>
          <w:i w:val="false"/>
          <w:iCs w:val="false"/>
          <w:color w:val="6B7280"/>
          <w:sz w:val="20"/>
          <w:szCs w:val="20"/>
        </w:rPr>
        <w:t xml:space="preserve">Схема на слайде: отклонение рыночного курса от центрального, %. Широкий коридор ±6%, узкий ±2,25%; в точках касания границ — обязательные интервенции.</w:t>
      </w:r>
    </w:p>
    <w:p>
      <w:pPr>
        <w:keepNext/>
        <w:pBdr>
          <w:left w:val="single" w:color="1B2D4F" w:sz="18" w:space="8"/>
        </w:pBdr>
        <w:shd w:fill="F3F1EC" w:color="auto" w:val="clear"/>
        <w:spacing w:after="60" w:before="200"/>
        <w:ind w:left="160" w:right="160"/>
      </w:pPr>
      <w:r>
        <w:rPr>
          <w:b/>
          <w:bCs/>
          <w:color w:val="1B2D4F"/>
          <w:spacing w:val="20"/>
          <w:sz w:val="17"/>
          <w:szCs w:val="17"/>
        </w:rPr>
        <w:t xml:space="preserve">ЧТО ГОВОРИТЬ · ≈ 40 С</w:t>
      </w:r>
    </w:p>
    <w:p>
      <w:pPr>
        <w:pBdr>
          <w:left w:val="single" w:color="1B2D4F" w:sz="18" w:space="8"/>
        </w:pBdr>
        <w:shd w:fill="F3F1EC" w:color="auto" w:val="clear"/>
        <w:spacing w:after="160" w:line="300"/>
        <w:ind w:left="160" w:right="160"/>
      </w:pPr>
      <w:r>
        <w:rPr>
          <w:b w:val="false"/>
          <w:bCs w:val="false"/>
          <w:i/>
          <w:iCs/>
        </w:rPr>
        <w:t xml:space="preserve">Европейская валютная система появилась в 1979 году, чтобы курсы валют стран ЕЭС не скакали. Её ядро — механизм обменных курсов ERM. У каждой валюты был центральный курс и коридор: плюс-минус 2,25 процента, у некоторых — 6. Если курс подходил к границе, центральные банки обязаны были покупать слабую валюту без ограничений. С 1987 года курсы ни разу не пересматривали, и к 1992 году в системе было почти всё ЕС, включая британский фунт. Курсы казались почти неизменными, и рынок считал их надёжными — вплоть до 1992 года.</w:t>
      </w:r>
    </w:p>
    <w:p>
      <w:pPr>
        <w:pStyle w:val="Heading2"/>
        <w:keepNext/>
        <w:spacing w:after="60" w:before="360"/>
      </w:pPr>
      <w:r>
        <w:rPr>
          <w:color w:val="9A7428"/>
        </w:rPr>
        <w:t xml:space="preserve">Слайд 03. </w:t>
      </w:r>
      <w:r>
        <w:t xml:space="preserve">Причины кризиса</w:t>
      </w:r>
    </w:p>
    <w:p>
      <w:pPr>
        <w:keepNext/>
        <w:pBdr>
          <w:bottom w:val="single" w:color="D5D9E0" w:sz="4" w:space="6"/>
        </w:pBdr>
        <w:spacing w:after="160"/>
      </w:pPr>
      <w:r>
        <w:rPr>
          <w:color w:val="6B7280"/>
          <w:sz w:val="19"/>
          <w:szCs w:val="19"/>
        </w:rPr>
        <w:t xml:space="preserve">Раздел I · Причины кризиса · Докладчик: Н. Р. Аверьянов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738"/>
      </w:tblGrid>
      <w:tr>
        <w:trPr>
          <w:tblHeader/>
        </w:trPr>
        <w:tc>
          <w:tcPr>
            <w:tcW w:type="dxa" w:w="2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B2D4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Причина</w:t>
            </w:r>
          </w:p>
        </w:tc>
        <w:tc>
          <w:tcPr>
            <w:tcW w:type="dxa" w:w="6738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B2D4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Суть</w:t>
            </w:r>
          </w:p>
        </w:tc>
      </w:tr>
      <w:tr>
        <w:tc>
          <w:tcPr>
            <w:tcW w:type="dxa" w:w="2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Объединение Германии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· 8,75%</w:t>
            </w:r>
          </w:p>
        </w:tc>
        <w:tc>
          <w:tcPr>
            <w:tcW w:type="dxa" w:w="6738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Расходы на восточные земли разогнали инфляцию, и Бундесбанк в июле 1992 г. поднял учётную ставку до 8,75%. Партнёрам по ERM пришлось держать такие же высокие ставки в разгар спада.</w:t>
            </w:r>
          </w:p>
        </w:tc>
      </w:tr>
      <w:tr>
        <w:tc>
          <w:tcPr>
            <w:tcW w:type="dxa" w:w="2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Сомнения в Маастрихте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· 50,7%</w:t>
            </w:r>
          </w:p>
        </w:tc>
        <w:tc>
          <w:tcPr>
            <w:tcW w:type="dxa" w:w="6738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В июне 1992 г. Дания отвергла Маастрихтский договор (50,7% «против»), Франция в сентябре одобрила его лишь 51,04% голосов. Рынок усомнился, что страны будут защищать курсы ради единой валюты.</w:t>
            </w:r>
          </w:p>
        </w:tc>
      </w:tr>
      <w:tr>
        <w:tc>
          <w:tcPr>
            <w:tcW w:type="dxa" w:w="2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Свободный капитал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· 1990</w:t>
            </w:r>
          </w:p>
        </w:tc>
        <w:tc>
          <w:tcPr>
            <w:tcW w:type="dxa" w:w="6738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С 1990 г. капитал в ЕС движется свободно. Инфляция в Италии, Испании и Великобритании выше немецкой, а курсы не менялись, поэтому их валюты оказались переоценены.</w:t>
            </w:r>
          </w:p>
        </w:tc>
      </w:tr>
    </w:tbl>
    <w:p>
      <w:pPr>
        <w:spacing w:after="120"/>
      </w:pPr>
    </w:p>
    <w:p>
      <w:pPr>
        <w:pBdr>
          <w:left w:val="single" w:color="9A7428" w:sz="12" w:space="12"/>
        </w:pBdr>
        <w:spacing w:after="200" w:before="80" w:line="320"/>
        <w:ind w:left="360"/>
      </w:pPr>
      <w:r>
        <w:rPr>
          <w:b w:val="false"/>
          <w:bCs w:val="false"/>
          <w:i/>
          <w:iCs/>
          <w:sz w:val="26"/>
          <w:szCs w:val="26"/>
        </w:rPr>
        <w:t xml:space="preserve">Фиксированный курс, свободный капитал и собственная денежная политика несовместимы. Участники ERM пожертвовали своей политикой, и в 1992 г. это стало невыносимо.</w:t>
      </w:r>
    </w:p>
    <w:p>
      <w:pPr>
        <w:keepNext/>
        <w:pBdr>
          <w:left w:val="single" w:color="1B2D4F" w:sz="18" w:space="8"/>
        </w:pBdr>
        <w:shd w:fill="F3F1EC" w:color="auto" w:val="clear"/>
        <w:spacing w:after="60" w:before="200"/>
        <w:ind w:left="160" w:right="160"/>
      </w:pPr>
      <w:r>
        <w:rPr>
          <w:b/>
          <w:bCs/>
          <w:color w:val="1B2D4F"/>
          <w:spacing w:val="20"/>
          <w:sz w:val="17"/>
          <w:szCs w:val="17"/>
        </w:rPr>
        <w:t xml:space="preserve">ЧТО ГОВОРИТЬ · ≈ 45 С</w:t>
      </w:r>
    </w:p>
    <w:p>
      <w:pPr>
        <w:pBdr>
          <w:left w:val="single" w:color="1B2D4F" w:sz="18" w:space="8"/>
        </w:pBdr>
        <w:shd w:fill="F3F1EC" w:color="auto" w:val="clear"/>
        <w:spacing w:after="160" w:line="300"/>
        <w:ind w:left="160" w:right="160"/>
      </w:pPr>
      <w:r>
        <w:rPr>
          <w:b w:val="false"/>
          <w:bCs w:val="false"/>
          <w:i/>
          <w:iCs/>
        </w:rPr>
        <w:t xml:space="preserve">Причин кризиса три. Первая — объединение Германии: расходы на восток разогнали инфляцию, и Бундесбанк поднял ставку до 8,75 процента. Остальным пришлось держать такие же высокие ставки, хотя у них был спад. Германии высокие ставки были нужны против инфляции, а Великобритании и Италии, наоборот, нужны были низкие, чтобы выйти из рецессии. Вторая — сомнения в Маастрихтском договоре: датчане его отвергли, французы одобрили еле-еле. Третья — свободное движение капитала при завышенных курсах фунта, лиры и песеты. Вывод на слайде: фиксированный курс, свободный капитал и своя денежная политика несовместимы. Передаю слово Егору.</w:t>
      </w:r>
    </w:p>
    <w:p>
      <w:pPr>
        <w:pStyle w:val="Heading1"/>
        <w:keepNext/>
        <w:spacing w:after="80" w:before="480"/>
      </w:pPr>
      <w:r>
        <w:rPr>
          <w:color w:val="44203A"/>
        </w:rPr>
        <w:t xml:space="preserve">Раздел II. Ход кризиса</w:t>
      </w:r>
    </w:p>
    <w:p>
      <w:pPr>
        <w:spacing w:after="120" w:line="300"/>
      </w:pPr>
      <w:r>
        <w:rPr>
          <w:b w:val="false"/>
          <w:bCs w:val="false"/>
          <w:i w:val="false"/>
          <w:iCs w:val="false"/>
          <w:color w:val="6B7280"/>
          <w:sz w:val="20"/>
          <w:szCs w:val="20"/>
        </w:rPr>
        <w:t xml:space="preserve">Докладчик: Гордеев Егор Александрович · слайды 04–06</w:t>
      </w:r>
    </w:p>
    <w:p>
      <w:pPr>
        <w:pStyle w:val="Heading2"/>
        <w:keepNext/>
        <w:spacing w:after="60" w:before="360"/>
      </w:pPr>
      <w:r>
        <w:rPr>
          <w:color w:val="9A7428"/>
        </w:rPr>
        <w:t xml:space="preserve">Слайд 04. </w:t>
      </w:r>
      <w:r>
        <w:t xml:space="preserve">Ход кризиса: четыре волны</w:t>
      </w:r>
    </w:p>
    <w:p>
      <w:pPr>
        <w:keepNext/>
        <w:pBdr>
          <w:bottom w:val="single" w:color="D5D9E0" w:sz="4" w:space="6"/>
        </w:pBdr>
        <w:spacing w:after="160"/>
      </w:pPr>
      <w:r>
        <w:rPr>
          <w:color w:val="6B7280"/>
          <w:sz w:val="19"/>
          <w:szCs w:val="19"/>
        </w:rPr>
        <w:t xml:space="preserve">Раздел II · Ход кризиса · Докладчик: Е. А. Гордеев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rPr>
          <w:tblHeader/>
        </w:trPr>
        <w:tc>
          <w:tcPr>
            <w:tcW w:type="dxa" w:w="31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4420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Волна</w:t>
            </w:r>
          </w:p>
        </w:tc>
        <w:tc>
          <w:tcPr>
            <w:tcW w:type="dxa" w:w="6538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4420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События</w:t>
            </w:r>
          </w:p>
        </w:tc>
      </w:tr>
      <w:tr>
        <w:tc>
          <w:tcPr>
            <w:tcW w:type="dxa" w:w="31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Предвестники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июнь — июль 1992</w:t>
            </w:r>
          </w:p>
        </w:tc>
        <w:tc>
          <w:tcPr>
            <w:tcW w:type="dxa" w:w="6538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02.06 — Дания отвергает Маастрихтский договор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16.07 — Бундесбанк поднимает ставку до 8,75%</w:t>
            </w:r>
          </w:p>
        </w:tc>
      </w:tr>
      <w:tr>
        <w:tc>
          <w:tcPr>
            <w:tcW w:type="dxa" w:w="31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Обвал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сентябрь 1992</w:t>
            </w:r>
          </w:p>
        </w:tc>
        <w:tc>
          <w:tcPr>
            <w:tcW w:type="dxa" w:w="6538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13.09 — лира девальвирована на 7%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16.09 — «чёрная среда»: фунт выходит из ERM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17.09 — Италия выходит из ERM</w:t>
            </w:r>
          </w:p>
        </w:tc>
      </w:tr>
      <w:tr>
        <w:tc>
          <w:tcPr>
            <w:tcW w:type="dxa" w:w="31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Цепная реакция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ноябрь 1992 — май 1993</w:t>
            </w:r>
          </w:p>
        </w:tc>
        <w:tc>
          <w:tcPr>
            <w:tcW w:type="dxa" w:w="6538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22.11 — песета и эскудо −6%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30.01 — ирландский фунт −10%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13.05 — песета −8%, эскудо −6,5%</w:t>
            </w:r>
          </w:p>
        </w:tc>
      </w:tr>
      <w:tr>
        <w:tc>
          <w:tcPr>
            <w:tcW w:type="dxa" w:w="31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Развязка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июль — август 1993</w:t>
            </w:r>
          </w:p>
        </w:tc>
        <w:tc>
          <w:tcPr>
            <w:tcW w:type="dxa" w:w="6538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июль — атака на французский франк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02.08 — коридор ERM расширен до ±15%</w:t>
            </w:r>
          </w:p>
        </w:tc>
      </w:tr>
    </w:tbl>
    <w:p>
      <w:pPr>
        <w:spacing w:after="120"/>
      </w:pPr>
    </w:p>
    <w:p>
      <w:pPr>
        <w:keepNext/>
        <w:pBdr>
          <w:left w:val="single" w:color="44203A" w:sz="18" w:space="8"/>
        </w:pBdr>
        <w:shd w:fill="F3F1EC" w:color="auto" w:val="clear"/>
        <w:spacing w:after="60" w:before="200"/>
        <w:ind w:left="160" w:right="160"/>
      </w:pPr>
      <w:r>
        <w:rPr>
          <w:b/>
          <w:bCs/>
          <w:color w:val="44203A"/>
          <w:spacing w:val="20"/>
          <w:sz w:val="17"/>
          <w:szCs w:val="17"/>
        </w:rPr>
        <w:t xml:space="preserve">ЧТО ГОВОРИТЬ · ≈ 30 С</w:t>
      </w:r>
    </w:p>
    <w:p>
      <w:pPr>
        <w:pBdr>
          <w:left w:val="single" w:color="44203A" w:sz="18" w:space="8"/>
        </w:pBdr>
        <w:shd w:fill="F3F1EC" w:color="auto" w:val="clear"/>
        <w:spacing w:after="160" w:line="300"/>
        <w:ind w:left="160" w:right="160"/>
      </w:pPr>
      <w:r>
        <w:rPr>
          <w:b w:val="false"/>
          <w:bCs w:val="false"/>
          <w:i/>
          <w:iCs/>
        </w:rPr>
        <w:t xml:space="preserve">Кризис шёл четырьмя волнами. Цвет точки показывает тип события: красный — выход из системы, золотой — девальвация, синий — решение властей. Летом 1992-го — предвестники: отказ Дании и высокие ставки Бундесбанка. В сентябре — обвал: лиру девальвировали, а Великобритания и Италия вышли из ERM. Потом цепная реакция: девальвации песеты, эскудо и ирландского фунта. И развязка летом 1993-го — атака на французский франк.</w:t>
      </w:r>
    </w:p>
    <w:p>
      <w:pPr>
        <w:pStyle w:val="Heading2"/>
        <w:keepNext/>
        <w:spacing w:after="60" w:before="360"/>
      </w:pPr>
      <w:r>
        <w:rPr>
          <w:color w:val="9A7428"/>
        </w:rPr>
        <w:t xml:space="preserve">Слайд 05. </w:t>
      </w:r>
      <w:r>
        <w:t xml:space="preserve">«Чёрная среда»: выход Великобритании, 16 сентября 1992 г.</w:t>
      </w:r>
    </w:p>
    <w:p>
      <w:pPr>
        <w:keepNext/>
        <w:pBdr>
          <w:bottom w:val="single" w:color="D5D9E0" w:sz="4" w:space="6"/>
        </w:pBdr>
        <w:spacing w:after="160"/>
      </w:pPr>
      <w:r>
        <w:rPr>
          <w:color w:val="6B7280"/>
          <w:sz w:val="19"/>
          <w:szCs w:val="19"/>
        </w:rPr>
        <w:t xml:space="preserve">Раздел II · Ход кризиса · Докладчик: Е. А. Гордеев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8238"/>
      </w:tblGrid>
      <w:tr>
        <w:trPr>
          <w:tblHeader/>
        </w:trPr>
        <w:tc>
          <w:tcPr>
            <w:tcW w:type="dxa" w:w="14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4420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Время</w:t>
            </w:r>
          </w:p>
        </w:tc>
        <w:tc>
          <w:tcPr>
            <w:tcW w:type="dxa" w:w="8238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4420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Событие</w:t>
            </w:r>
          </w:p>
        </w:tc>
      </w:tr>
      <w:tr>
        <w:tc>
          <w:tcPr>
            <w:tcW w:type="dxa" w:w="14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утро</w:t>
            </w:r>
          </w:p>
        </w:tc>
        <w:tc>
          <w:tcPr>
            <w:tcW w:type="dxa" w:w="8238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Массовые продажи фунта. Банк Англии скупает фунты за счёт резервов, но курс не отходит от нижней границы 2,7780 DM.</w:t>
            </w:r>
          </w:p>
        </w:tc>
      </w:tr>
      <w:tr>
        <w:tc>
          <w:tcPr>
            <w:tcW w:type="dxa" w:w="14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11:00</w:t>
            </w:r>
          </w:p>
        </w:tc>
        <w:tc>
          <w:tcPr>
            <w:tcW w:type="dxa" w:w="8238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Базовая ставка поднята с 10% до 12%. Реакции рынка почти нет.</w:t>
            </w:r>
          </w:p>
        </w:tc>
      </w:tr>
      <w:tr>
        <w:tc>
          <w:tcPr>
            <w:tcW w:type="dxa" w:w="14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14:15</w:t>
            </w:r>
          </w:p>
        </w:tc>
        <w:tc>
          <w:tcPr>
            <w:tcW w:type="dxa" w:w="8238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Объявлено повышение до 15% со следующего дня. Продажи продолжаются.</w:t>
            </w:r>
          </w:p>
        </w:tc>
      </w:tr>
      <w:tr>
        <w:tc>
          <w:tcPr>
            <w:tcW w:type="dxa" w:w="14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19:30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8238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Министр финансов Норман Ламонт объявляет о выходе Великобритании из ERM.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 w:val="false"/>
          <w:bCs w:val="false"/>
          <w:i w:val="false"/>
          <w:iCs w:val="false"/>
        </w:rPr>
        <w:t xml:space="preserve"/>
      </w:r>
      <w:r>
        <w:rPr>
          <w:b/>
          <w:bCs/>
          <w:i w:val="false"/>
          <w:iCs w:val="false"/>
        </w:rPr>
        <w:t xml:space="preserve">12 → 15%</w:t>
      </w:r>
      <w:r>
        <w:rPr>
          <w:b w:val="false"/>
          <w:bCs w:val="false"/>
          <w:i w:val="false"/>
          <w:iCs w:val="false"/>
        </w:rPr>
        <w:t xml:space="preserve"> — ставка за один день; 15% только объявили.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 w:val="false"/>
          <w:bCs w:val="false"/>
          <w:i w:val="false"/>
          <w:iCs w:val="false"/>
        </w:rPr>
        <w:t xml:space="preserve"/>
      </w:r>
      <w:r>
        <w:rPr>
          <w:b/>
          <w:bCs/>
          <w:i w:val="false"/>
          <w:iCs w:val="false"/>
        </w:rPr>
        <w:t xml:space="preserve">£3,3 млрд</w:t>
      </w:r>
      <w:r>
        <w:rPr>
          <w:b w:val="false"/>
          <w:bCs w:val="false"/>
          <w:i w:val="false"/>
          <w:iCs w:val="false"/>
        </w:rPr>
        <w:t xml:space="preserve"> — потери казначейства по оценке 2005 г.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 w:val="false"/>
          <w:bCs w:val="false"/>
          <w:i w:val="false"/>
          <w:iCs w:val="false"/>
        </w:rPr>
        <w:t xml:space="preserve"/>
      </w:r>
      <w:r>
        <w:rPr>
          <w:b/>
          <w:bCs/>
          <w:i w:val="false"/>
          <w:iCs w:val="false"/>
        </w:rPr>
        <w:t xml:space="preserve">$10 млрд</w:t>
      </w:r>
      <w:r>
        <w:rPr>
          <w:b w:val="false"/>
          <w:bCs w:val="false"/>
          <w:i w:val="false"/>
          <w:iCs w:val="false"/>
        </w:rPr>
        <w:t xml:space="preserve"> — позиция фонда Джорджа Сороса против фунта; </w:t>
      </w:r>
      <w:r>
        <w:rPr>
          <w:b/>
          <w:bCs/>
          <w:i w:val="false"/>
          <w:iCs w:val="false"/>
        </w:rPr>
        <w:t xml:space="preserve">более $1 млрд</w:t>
      </w:r>
      <w:r>
        <w:rPr>
          <w:b w:val="false"/>
          <w:bCs w:val="false"/>
          <w:i w:val="false"/>
          <w:iCs w:val="false"/>
        </w:rPr>
        <w:t xml:space="preserve"> — его прибыль.</w:t>
      </w:r>
    </w:p>
    <w:p>
      <w:pPr>
        <w:spacing w:after="140" w:line="280"/>
      </w:pPr>
      <w:r>
        <w:rPr>
          <w:b w:val="false"/>
          <w:bCs w:val="false"/>
          <w:i w:val="false"/>
          <w:iCs w:val="false"/>
          <w:color w:val="6B7280"/>
          <w:sz w:val="20"/>
          <w:szCs w:val="20"/>
        </w:rPr>
        <w:t xml:space="preserve">Рынок не поверил ставкам: в рецессии, при ипотеке с плавающей ставкой, правительство не могло долго держать 12–15%. Для спекулянтов это была почти беспроигрышная ставка.</w:t>
      </w:r>
    </w:p>
    <w:p>
      <w:pPr>
        <w:keepNext/>
        <w:pBdr>
          <w:left w:val="single" w:color="44203A" w:sz="18" w:space="8"/>
        </w:pBdr>
        <w:shd w:fill="F3F1EC" w:color="auto" w:val="clear"/>
        <w:spacing w:after="60" w:before="200"/>
        <w:ind w:left="160" w:right="160"/>
      </w:pPr>
      <w:r>
        <w:rPr>
          <w:b/>
          <w:bCs/>
          <w:color w:val="44203A"/>
          <w:spacing w:val="20"/>
          <w:sz w:val="17"/>
          <w:szCs w:val="17"/>
        </w:rPr>
        <w:t xml:space="preserve">ЧТО ГОВОРИТЬ · ≈ 40 С</w:t>
      </w:r>
    </w:p>
    <w:p>
      <w:pPr>
        <w:pBdr>
          <w:left w:val="single" w:color="44203A" w:sz="18" w:space="8"/>
        </w:pBdr>
        <w:shd w:fill="F3F1EC" w:color="auto" w:val="clear"/>
        <w:spacing w:after="160" w:line="300"/>
        <w:ind w:left="160" w:right="160"/>
      </w:pPr>
      <w:r>
        <w:rPr>
          <w:b w:val="false"/>
          <w:bCs w:val="false"/>
          <w:i/>
          <w:iCs/>
        </w:rPr>
        <w:t xml:space="preserve">Самый известный эпизод — «чёрная среда», 16 сентября 1992 года. Банк Англии весь день скупал фунты и поднял ставку с 10 до 12 процентов, затем пообещал 15. Рынок не поверил: в рецессии такие ставки долго не удержать. Вечером министр финансов объявил о выходе из ERM, а ставку уже на следующий день вернули к 10 процентам. Казна потеряла около 3,3 миллиарда фунтов, а фонд Джорджа Сороса, поставивший против фунта около 10 миллиардов долларов, заработал больше миллиарда.</w:t>
      </w:r>
    </w:p>
    <w:p>
      <w:pPr>
        <w:pStyle w:val="Heading2"/>
        <w:keepNext/>
        <w:spacing w:after="60" w:before="360"/>
      </w:pPr>
      <w:r>
        <w:rPr>
          <w:color w:val="9A7428"/>
        </w:rPr>
        <w:t xml:space="preserve">Слайд 06. </w:t>
      </w:r>
      <w:r>
        <w:t xml:space="preserve">Цепная реакция и коридор ±15%</w:t>
      </w:r>
    </w:p>
    <w:p>
      <w:pPr>
        <w:keepNext/>
        <w:pBdr>
          <w:bottom w:val="single" w:color="D5D9E0" w:sz="4" w:space="6"/>
        </w:pBdr>
        <w:spacing w:after="160"/>
      </w:pPr>
      <w:r>
        <w:rPr>
          <w:color w:val="6B7280"/>
          <w:sz w:val="19"/>
          <w:szCs w:val="19"/>
        </w:rPr>
        <w:t xml:space="preserve">Раздел II · Ход кризиса · Докладчик: Е. А. Гордеев</w:t>
      </w:r>
    </w:p>
    <w:p>
      <w:pPr>
        <w:spacing w:after="120" w:line="300"/>
      </w:pPr>
      <w:r>
        <w:rPr>
          <w:b w:val="false"/>
          <w:bCs w:val="false"/>
          <w:i w:val="false"/>
          <w:iCs w:val="false"/>
        </w:rPr>
        <w:t xml:space="preserve">После фунта давление перешло на другие валюты. Летом 1993 г. рынок атаковал французский франк, и 2 августа министры финансов ЕС расширили коридор до ±15%.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5538"/>
        <w:gridCol w:w="1500"/>
      </w:tblGrid>
      <w:tr>
        <w:trPr>
          <w:tblHeader/>
        </w:trPr>
        <w:tc>
          <w:tcPr>
            <w:tcW w:type="dxa" w:w="26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4420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Валюта</w:t>
            </w:r>
          </w:p>
        </w:tc>
        <w:tc>
          <w:tcPr>
            <w:tcW w:type="dxa" w:w="5538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4420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Что произошло</w:t>
            </w:r>
          </w:p>
        </w:tc>
        <w:tc>
          <w:tcPr>
            <w:tcW w:type="dxa" w:w="15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4420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Итог</w:t>
            </w:r>
          </w:p>
        </w:tc>
      </w:tr>
      <w:tr>
        <w:tc>
          <w:tcPr>
            <w:tcW w:type="dxa" w:w="26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Фунт (GBP)</w:t>
            </w:r>
          </w:p>
        </w:tc>
        <w:tc>
          <w:tcPr>
            <w:tcW w:type="dxa" w:w="5538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Выход из ERM, 16.09.1992</w:t>
            </w:r>
          </w:p>
        </w:tc>
        <w:tc>
          <w:tcPr>
            <w:tcW w:type="dxa" w:w="15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вышла</w:t>
            </w:r>
          </w:p>
        </w:tc>
      </w:tr>
      <w:tr>
        <w:tc>
          <w:tcPr>
            <w:tcW w:type="dxa" w:w="26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Лира (ITL)</w:t>
            </w:r>
          </w:p>
        </w:tc>
        <w:tc>
          <w:tcPr>
            <w:tcW w:type="dxa" w:w="5538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−7%, затем выход из ERM, 17.09.1992</w:t>
            </w:r>
          </w:p>
        </w:tc>
        <w:tc>
          <w:tcPr>
            <w:tcW w:type="dxa" w:w="15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вышла</w:t>
            </w:r>
          </w:p>
        </w:tc>
      </w:tr>
      <w:tr>
        <w:tc>
          <w:tcPr>
            <w:tcW w:type="dxa" w:w="26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Песета (ESP)</w:t>
            </w:r>
          </w:p>
        </w:tc>
        <w:tc>
          <w:tcPr>
            <w:tcW w:type="dxa" w:w="5538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Три девальвации: −5%, −6%, −8%</w:t>
            </w:r>
          </w:p>
        </w:tc>
        <w:tc>
          <w:tcPr>
            <w:tcW w:type="dxa" w:w="15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×3</w:t>
            </w:r>
          </w:p>
        </w:tc>
      </w:tr>
      <w:tr>
        <w:tc>
          <w:tcPr>
            <w:tcW w:type="dxa" w:w="26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Эскудо (PTE)</w:t>
            </w:r>
          </w:p>
        </w:tc>
        <w:tc>
          <w:tcPr>
            <w:tcW w:type="dxa" w:w="5538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Две девальвации: −6%, −6,5%</w:t>
            </w:r>
          </w:p>
        </w:tc>
        <w:tc>
          <w:tcPr>
            <w:tcW w:type="dxa" w:w="15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×2</w:t>
            </w:r>
          </w:p>
        </w:tc>
      </w:tr>
      <w:tr>
        <w:tc>
          <w:tcPr>
            <w:tcW w:type="dxa" w:w="26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Ирландский фунт (IEP)</w:t>
            </w:r>
          </w:p>
        </w:tc>
        <w:tc>
          <w:tcPr>
            <w:tcW w:type="dxa" w:w="5538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−10%, 30.01.1993</w:t>
            </w:r>
          </w:p>
        </w:tc>
        <w:tc>
          <w:tcPr>
            <w:tcW w:type="dxa" w:w="15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×1</w:t>
            </w:r>
          </w:p>
        </w:tc>
      </w:tr>
      <w:tr>
        <w:tc>
          <w:tcPr>
            <w:tcW w:type="dxa" w:w="26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Франк (FRF)</w:t>
            </w:r>
          </w:p>
        </w:tc>
        <w:tc>
          <w:tcPr>
            <w:tcW w:type="dxa" w:w="5538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Удержан, но в 1993 г. коридор расширили</w:t>
            </w:r>
          </w:p>
        </w:tc>
        <w:tc>
          <w:tcPr>
            <w:tcW w:type="dxa" w:w="15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±15%</w:t>
            </w:r>
          </w:p>
        </w:tc>
      </w:tr>
    </w:tbl>
    <w:p>
      <w:pPr>
        <w:spacing w:after="120"/>
      </w:pPr>
    </w:p>
    <w:p>
      <w:pPr>
        <w:spacing w:after="80" w:before="160"/>
      </w:pPr>
      <w:r>
        <w:rPr>
          <w:b/>
          <w:bCs/>
          <w:color w:val="44203A"/>
          <w:spacing w:val="20"/>
          <w:sz w:val="17"/>
          <w:szCs w:val="17"/>
        </w:rPr>
        <w:t xml:space="preserve">ШИРИНА КОРИДОРА, % ОТ ЦЕНТРАЛЬНОГО КУРСА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38"/>
        <w:gridCol w:w="3200"/>
      </w:tblGrid>
      <w:tr>
        <w:trPr>
          <w:tblHeader/>
        </w:trPr>
        <w:tc>
          <w:tcPr>
            <w:tcW w:type="dxa" w:w="6438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4420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Коридор</w:t>
            </w:r>
          </w:p>
        </w:tc>
        <w:tc>
          <w:tcPr>
            <w:tcW w:type="dxa" w:w="32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4420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Ширина</w:t>
            </w:r>
          </w:p>
        </w:tc>
      </w:tr>
      <w:tr>
        <w:tc>
          <w:tcPr>
            <w:tcW w:type="dxa" w:w="6438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Узкий, 1979 — июль 1993</w:t>
            </w:r>
          </w:p>
        </w:tc>
        <w:tc>
          <w:tcPr>
            <w:tcW w:type="dxa" w:w="32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±2,25%</w:t>
            </w:r>
          </w:p>
        </w:tc>
      </w:tr>
      <w:tr>
        <w:tc>
          <w:tcPr>
            <w:tcW w:type="dxa" w:w="6438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Широкий: песета, фунт, эскудо</w:t>
            </w:r>
          </w:p>
        </w:tc>
        <w:tc>
          <w:tcPr>
            <w:tcW w:type="dxa" w:w="32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±6%</w:t>
            </w:r>
          </w:p>
        </w:tc>
      </w:tr>
      <w:tr>
        <w:tc>
          <w:tcPr>
            <w:tcW w:type="dxa" w:w="6438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С 2 августа 1993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2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±15%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</w:p>
    <w:p>
      <w:pPr>
        <w:spacing w:after="140" w:line="280"/>
      </w:pPr>
      <w:r>
        <w:rPr>
          <w:b w:val="false"/>
          <w:bCs w:val="false"/>
          <w:i w:val="false"/>
          <w:iCs w:val="false"/>
          <w:color w:val="6B7280"/>
          <w:sz w:val="20"/>
          <w:szCs w:val="20"/>
        </w:rPr>
        <w:t xml:space="preserve">Формально ERM сохранился, но коридор шириной 30% сделал курсы почти плавающими.</w:t>
      </w:r>
    </w:p>
    <w:p>
      <w:pPr>
        <w:keepNext/>
        <w:pBdr>
          <w:left w:val="single" w:color="44203A" w:sz="18" w:space="8"/>
        </w:pBdr>
        <w:shd w:fill="F3F1EC" w:color="auto" w:val="clear"/>
        <w:spacing w:after="60" w:before="200"/>
        <w:ind w:left="160" w:right="160"/>
      </w:pPr>
      <w:r>
        <w:rPr>
          <w:b/>
          <w:bCs/>
          <w:color w:val="44203A"/>
          <w:spacing w:val="20"/>
          <w:sz w:val="17"/>
          <w:szCs w:val="17"/>
        </w:rPr>
        <w:t xml:space="preserve">ЧТО ГОВОРИТЬ · ≈ 30 С</w:t>
      </w:r>
    </w:p>
    <w:p>
      <w:pPr>
        <w:pBdr>
          <w:left w:val="single" w:color="44203A" w:sz="18" w:space="8"/>
        </w:pBdr>
        <w:shd w:fill="F3F1EC" w:color="auto" w:val="clear"/>
        <w:spacing w:after="160" w:line="300"/>
        <w:ind w:left="160" w:right="160"/>
      </w:pPr>
      <w:r>
        <w:rPr>
          <w:b w:val="false"/>
          <w:bCs w:val="false"/>
          <w:i/>
          <w:iCs/>
        </w:rPr>
        <w:t xml:space="preserve">После фунта давление перешло на другие валюты: песету девальвировали трижды, эскудо дважды, ирландский фунт — на 10 процентов. Летом 1993-го атаковали французский франк, и 2 августа ЕС расширил коридор до плюс-минус 15 процентов. Формально система сохранилась, но курсы стали почти плавающими. По сути, решение 2 августа признало, что прежняя система не выдержала. Передаю слово Ивану.</w:t>
      </w:r>
    </w:p>
    <w:p>
      <w:pPr>
        <w:pStyle w:val="Heading1"/>
        <w:keepNext/>
        <w:spacing w:after="80" w:before="480"/>
      </w:pPr>
      <w:r>
        <w:rPr>
          <w:color w:val="1B3F37"/>
        </w:rPr>
        <w:t xml:space="preserve">Раздел III. Последствия и выводы</w:t>
      </w:r>
    </w:p>
    <w:p>
      <w:pPr>
        <w:spacing w:after="120" w:line="300"/>
      </w:pPr>
      <w:r>
        <w:rPr>
          <w:b w:val="false"/>
          <w:bCs w:val="false"/>
          <w:i w:val="false"/>
          <w:iCs w:val="false"/>
          <w:color w:val="6B7280"/>
          <w:sz w:val="20"/>
          <w:szCs w:val="20"/>
        </w:rPr>
        <w:t xml:space="preserve">Докладчик: Татьянченко Иван Сергеевич · слайды 07–09</w:t>
      </w:r>
    </w:p>
    <w:p>
      <w:pPr>
        <w:pStyle w:val="Heading2"/>
        <w:keepNext/>
        <w:spacing w:after="60" w:before="360"/>
      </w:pPr>
      <w:r>
        <w:rPr>
          <w:color w:val="9A7428"/>
        </w:rPr>
        <w:t xml:space="preserve">Слайд 07. </w:t>
      </w:r>
      <w:r>
        <w:t xml:space="preserve">Последствия для Великобритании и Италии</w:t>
      </w:r>
    </w:p>
    <w:p>
      <w:pPr>
        <w:keepNext/>
        <w:pBdr>
          <w:bottom w:val="single" w:color="D5D9E0" w:sz="4" w:space="6"/>
        </w:pBdr>
        <w:spacing w:after="160"/>
      </w:pPr>
      <w:r>
        <w:rPr>
          <w:color w:val="6B7280"/>
          <w:sz w:val="19"/>
          <w:szCs w:val="19"/>
        </w:rPr>
        <w:t xml:space="preserve">Раздел III · Последствия и выводы · Докладчик: И. С. Татьянченко</w:t>
      </w:r>
    </w:p>
    <w:p>
      <w:pPr>
        <w:spacing w:after="80" w:before="160"/>
      </w:pPr>
      <w:r>
        <w:rPr>
          <w:b/>
          <w:bCs/>
          <w:color w:val="1B3F37"/>
          <w:spacing w:val="20"/>
          <w:sz w:val="17"/>
          <w:szCs w:val="17"/>
        </w:rPr>
        <w:t xml:space="preserve">БАЗОВАЯ СТАВКА БАНКА АНГЛИИ (ГРАФИК НА СЛАЙДЕ)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B3F3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Дата</w:t>
            </w:r>
          </w:p>
        </w:tc>
        <w:tc>
          <w:tcPr>
            <w:tcW w:type="dxa" w:w="6438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B3F3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Ставка</w:t>
            </w:r>
          </w:p>
        </w:tc>
      </w:tr>
      <w:tr>
        <w:tc>
          <w:tcPr>
            <w:tcW w:type="dxa" w:w="32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05.05.1992</w:t>
            </w:r>
          </w:p>
        </w:tc>
        <w:tc>
          <w:tcPr>
            <w:tcW w:type="dxa" w:w="6438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10%</w:t>
            </w:r>
          </w:p>
        </w:tc>
      </w:tr>
      <w:tr>
        <w:tc>
          <w:tcPr>
            <w:tcW w:type="dxa" w:w="32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16.09.1992</w:t>
            </w:r>
          </w:p>
        </w:tc>
        <w:tc>
          <w:tcPr>
            <w:tcW w:type="dxa" w:w="6438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12% (объявлено 15%, не введено)</w:t>
            </w:r>
          </w:p>
        </w:tc>
      </w:tr>
      <w:tr>
        <w:tc>
          <w:tcPr>
            <w:tcW w:type="dxa" w:w="32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17.09.1992</w:t>
            </w:r>
          </w:p>
        </w:tc>
        <w:tc>
          <w:tcPr>
            <w:tcW w:type="dxa" w:w="6438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10%</w:t>
            </w:r>
          </w:p>
        </w:tc>
      </w:tr>
      <w:tr>
        <w:tc>
          <w:tcPr>
            <w:tcW w:type="dxa" w:w="32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22.09.1992</w:t>
            </w:r>
          </w:p>
        </w:tc>
        <w:tc>
          <w:tcPr>
            <w:tcW w:type="dxa" w:w="6438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9%</w:t>
            </w:r>
          </w:p>
        </w:tc>
      </w:tr>
      <w:tr>
        <w:tc>
          <w:tcPr>
            <w:tcW w:type="dxa" w:w="32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16.10.1992</w:t>
            </w:r>
          </w:p>
        </w:tc>
        <w:tc>
          <w:tcPr>
            <w:tcW w:type="dxa" w:w="6438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8%</w:t>
            </w:r>
          </w:p>
        </w:tc>
      </w:tr>
      <w:tr>
        <w:tc>
          <w:tcPr>
            <w:tcW w:type="dxa" w:w="32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13.11.1992</w:t>
            </w:r>
          </w:p>
        </w:tc>
        <w:tc>
          <w:tcPr>
            <w:tcW w:type="dxa" w:w="6438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7%</w:t>
            </w:r>
          </w:p>
        </w:tc>
      </w:tr>
      <w:tr>
        <w:tc>
          <w:tcPr>
            <w:tcW w:type="dxa" w:w="32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26.01.1993</w:t>
            </w:r>
          </w:p>
        </w:tc>
        <w:tc>
          <w:tcPr>
            <w:tcW w:type="dxa" w:w="6438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6%</w:t>
            </w:r>
          </w:p>
        </w:tc>
      </w:tr>
      <w:tr>
        <w:tc>
          <w:tcPr>
            <w:tcW w:type="dxa" w:w="32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23.11.1993</w:t>
            </w:r>
          </w:p>
        </w:tc>
        <w:tc>
          <w:tcPr>
            <w:tcW w:type="dxa" w:w="6438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4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5,5%</w:t>
            </w:r>
          </w:p>
        </w:tc>
      </w:tr>
    </w:tbl>
    <w:p>
      <w:pPr>
        <w:spacing w:after="120"/>
      </w:pPr>
    </w:p>
    <w:p>
      <w:pPr>
        <w:spacing w:after="80" w:before="160"/>
      </w:pPr>
      <w:r>
        <w:rPr>
          <w:b/>
          <w:bCs/>
          <w:color w:val="1B3F37"/>
          <w:spacing w:val="20"/>
          <w:sz w:val="17"/>
          <w:szCs w:val="17"/>
        </w:rPr>
        <w:t xml:space="preserve">ВЕЛИКОБРИТАНИЯ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 w:val="false"/>
          <w:bCs w:val="false"/>
          <w:i w:val="false"/>
          <w:iCs w:val="false"/>
        </w:rPr>
        <w:t xml:space="preserve">Без привязки ставку снизили с 10% до 6% к январю 1993 г., спад закончился.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 w:val="false"/>
          <w:bCs w:val="false"/>
          <w:i w:val="false"/>
          <w:iCs w:val="false"/>
        </w:rPr>
        <w:t xml:space="preserve">С октября 1992 г. — таргетирование инфляции, с 1997 г. — независимость Банка Англии.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 w:val="false"/>
          <w:bCs w:val="false"/>
          <w:i w:val="false"/>
          <w:iCs w:val="false"/>
        </w:rPr>
        <w:t xml:space="preserve">В ERM страна так и не вернулась и не перешла на евро.</w:t>
      </w:r>
    </w:p>
    <w:p>
      <w:pPr>
        <w:spacing w:after="80" w:before="160"/>
      </w:pPr>
      <w:r>
        <w:rPr>
          <w:b/>
          <w:bCs/>
          <w:color w:val="1B3F37"/>
          <w:spacing w:val="20"/>
          <w:sz w:val="17"/>
          <w:szCs w:val="17"/>
        </w:rPr>
        <w:t xml:space="preserve">ИТАЛИЯ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 w:val="false"/>
          <w:bCs w:val="false"/>
          <w:i w:val="false"/>
          <w:iCs w:val="false"/>
        </w:rPr>
        <w:t xml:space="preserve">Девальвация поддержала экспорт, правительство резко сократило бюджетный дефицит.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 w:val="false"/>
          <w:bCs w:val="false"/>
          <w:i w:val="false"/>
          <w:iCs w:val="false"/>
        </w:rPr>
        <w:t xml:space="preserve">Лира вернулась в ERM в ноябре 1996 г.</w:t>
      </w:r>
    </w:p>
    <w:p>
      <w:pPr>
        <w:keepNext/>
        <w:pBdr>
          <w:left w:val="single" w:color="1B3F37" w:sz="18" w:space="8"/>
        </w:pBdr>
        <w:shd w:fill="F3F1EC" w:color="auto" w:val="clear"/>
        <w:spacing w:after="60" w:before="200"/>
        <w:ind w:left="160" w:right="160"/>
      </w:pPr>
      <w:r>
        <w:rPr>
          <w:b/>
          <w:bCs/>
          <w:color w:val="1B3F37"/>
          <w:spacing w:val="20"/>
          <w:sz w:val="17"/>
          <w:szCs w:val="17"/>
        </w:rPr>
        <w:t xml:space="preserve">ЧТО ГОВОРИТЬ · ≈ 25 С</w:t>
      </w:r>
    </w:p>
    <w:p>
      <w:pPr>
        <w:pBdr>
          <w:left w:val="single" w:color="1B3F37" w:sz="18" w:space="8"/>
        </w:pBdr>
        <w:shd w:fill="F3F1EC" w:color="auto" w:val="clear"/>
        <w:spacing w:after="160" w:line="300"/>
        <w:ind w:left="160" w:right="160"/>
      </w:pPr>
      <w:r>
        <w:rPr>
          <w:b w:val="false"/>
          <w:bCs w:val="false"/>
          <w:i/>
          <w:iCs/>
        </w:rPr>
        <w:t xml:space="preserve">Великобритании выход из ERM даже помог: ставку снизили с 10 до 6 процентов, и спад закончился. Поэтому в Британии этот день иногда называют не чёрной, а «белой средой». Страна перешла к таргетированию инфляции, а в ERM так и не вернулась. Италия девальвацией поддержала экспорт, сократила дефицит бюджета и вернулась в ERM в 1996 году.</w:t>
      </w:r>
    </w:p>
    <w:p>
      <w:pPr>
        <w:pStyle w:val="Heading2"/>
        <w:keepNext/>
        <w:spacing w:after="60" w:before="360"/>
      </w:pPr>
      <w:r>
        <w:rPr>
          <w:color w:val="9A7428"/>
        </w:rPr>
        <w:t xml:space="preserve">Слайд 08. </w:t>
      </w:r>
      <w:r>
        <w:t xml:space="preserve">Итоги кризиса и выводы</w:t>
      </w:r>
    </w:p>
    <w:p>
      <w:pPr>
        <w:keepNext/>
        <w:pBdr>
          <w:bottom w:val="single" w:color="D5D9E0" w:sz="4" w:space="6"/>
        </w:pBdr>
        <w:spacing w:after="160"/>
      </w:pPr>
      <w:r>
        <w:rPr>
          <w:color w:val="6B7280"/>
          <w:sz w:val="19"/>
          <w:szCs w:val="19"/>
        </w:rPr>
        <w:t xml:space="preserve">Раздел III · Последствия и выводы · Докладчик: И. С. Татьянченко</w:t>
      </w:r>
    </w:p>
    <w:p>
      <w:pPr>
        <w:spacing w:after="80" w:before="160"/>
      </w:pPr>
      <w:r>
        <w:rPr>
          <w:b/>
          <w:bCs/>
          <w:color w:val="1B3F37"/>
          <w:spacing w:val="20"/>
          <w:sz w:val="17"/>
          <w:szCs w:val="17"/>
        </w:rPr>
        <w:t xml:space="preserve">ИТОГ ДЛЯ ЕВРОПЫ</w:t>
      </w:r>
    </w:p>
    <w:p>
      <w:pPr>
        <w:spacing w:after="120" w:line="300"/>
      </w:pPr>
      <w:r>
        <w:rPr>
          <w:b w:val="false"/>
          <w:bCs w:val="false"/>
          <w:i w:val="false"/>
          <w:iCs w:val="false"/>
        </w:rPr>
        <w:t xml:space="preserve">Кризис показал: при свободном движении капитала остаётся выбор только между плавающими курсами и единой валютой. ЕС выбрал единую валюту.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 w:val="false"/>
          <w:bCs w:val="false"/>
          <w:i w:val="false"/>
          <w:iCs w:val="false"/>
        </w:rPr>
        <w:t xml:space="preserve">1993–1998 — ERM с коридором ±15%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 w:val="false"/>
          <w:bCs w:val="false"/>
          <w:i w:val="false"/>
          <w:iCs w:val="false"/>
        </w:rPr>
        <w:t xml:space="preserve">1998 — создан Европейский центральный банк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 w:val="false"/>
          <w:bCs w:val="false"/>
          <w:i w:val="false"/>
          <w:iCs w:val="false"/>
        </w:rPr>
        <w:t xml:space="preserve">1999 — евро в 11 странах</w:t>
      </w:r>
    </w:p>
    <w:p>
      <w:pPr>
        <w:spacing w:after="80" w:before="160"/>
      </w:pPr>
      <w:r>
        <w:rPr>
          <w:b/>
          <w:bCs/>
          <w:color w:val="1B3F37"/>
          <w:spacing w:val="20"/>
          <w:sz w:val="17"/>
          <w:szCs w:val="17"/>
        </w:rPr>
        <w:t xml:space="preserve">УРОКИ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 w:val="false"/>
          <w:bCs w:val="false"/>
          <w:i w:val="false"/>
          <w:iCs w:val="false"/>
        </w:rPr>
        <w:t xml:space="preserve"/>
      </w:r>
      <w:r>
        <w:rPr>
          <w:b/>
          <w:bCs/>
          <w:i w:val="false"/>
          <w:iCs w:val="false"/>
        </w:rPr>
        <w:t xml:space="preserve">Трилемму не обойти.</w:t>
      </w:r>
      <w:r>
        <w:rPr>
          <w:b w:val="false"/>
          <w:bCs w:val="false"/>
          <w:i w:val="false"/>
          <w:iCs w:val="false"/>
        </w:rPr>
        <w:t xml:space="preserve"> Фиксированный курс, свободный капитал и разное положение экономик несовместимы.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 w:val="false"/>
          <w:bCs w:val="false"/>
          <w:i w:val="false"/>
          <w:iCs w:val="false"/>
        </w:rPr>
        <w:t xml:space="preserve"/>
      </w:r>
      <w:r>
        <w:rPr>
          <w:b/>
          <w:bCs/>
          <w:i w:val="false"/>
          <w:iCs w:val="false"/>
        </w:rPr>
        <w:t xml:space="preserve">Доверие не купить ставкой.</w:t>
      </w:r>
      <w:r>
        <w:rPr>
          <w:b w:val="false"/>
          <w:bCs w:val="false"/>
          <w:i w:val="false"/>
          <w:iCs w:val="false"/>
        </w:rPr>
        <w:t xml:space="preserve"> В рецессии угроза держать ставку 15% неубедительна: рынок знает, что правительство не выдержит.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 w:val="false"/>
          <w:bCs w:val="false"/>
          <w:i w:val="false"/>
          <w:iCs w:val="false"/>
        </w:rPr>
        <w:t xml:space="preserve"/>
      </w:r>
      <w:r>
        <w:rPr>
          <w:b/>
          <w:bCs/>
          <w:i w:val="false"/>
          <w:iCs w:val="false"/>
        </w:rPr>
        <w:t xml:space="preserve">Резервы конечны.</w:t>
      </w:r>
      <w:r>
        <w:rPr>
          <w:b w:val="false"/>
          <w:bCs w:val="false"/>
          <w:i w:val="false"/>
          <w:iCs w:val="false"/>
        </w:rPr>
        <w:t xml:space="preserve"> Рынок может мобилизовать больше средств, чем любой центральный банк.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 w:val="false"/>
          <w:bCs w:val="false"/>
          <w:i w:val="false"/>
          <w:iCs w:val="false"/>
        </w:rPr>
        <w:t xml:space="preserve"/>
      </w:r>
      <w:r>
        <w:rPr>
          <w:b/>
          <w:bCs/>
          <w:i w:val="false"/>
          <w:iCs w:val="false"/>
        </w:rPr>
        <w:t xml:space="preserve">Пересмотр нельзя откладывать.</w:t>
      </w:r>
      <w:r>
        <w:rPr>
          <w:b w:val="false"/>
          <w:bCs w:val="false"/>
          <w:i w:val="false"/>
          <w:iCs w:val="false"/>
        </w:rPr>
        <w:t xml:space="preserve"> Перекосы, копившиеся в 1987–1992 гг., разрядились разом.</w:t>
      </w:r>
    </w:p>
    <w:p>
      <w:pPr>
        <w:pBdr>
          <w:left w:val="single" w:color="9A7428" w:sz="12" w:space="12"/>
        </w:pBdr>
        <w:spacing w:after="200" w:before="80" w:line="320"/>
        <w:ind w:left="360"/>
      </w:pPr>
      <w:r>
        <w:rPr>
          <w:b w:val="false"/>
          <w:bCs w:val="false"/>
          <w:i/>
          <w:iCs/>
          <w:sz w:val="26"/>
          <w:szCs w:val="26"/>
        </w:rPr>
        <w:t xml:space="preserve">Кризис ЕВС вызвали не спекулянты, а противоречие между общей валютной привязкой и национальной экономической политикой. Спекулянты лишь первыми это заметили.</w:t>
      </w:r>
    </w:p>
    <w:p>
      <w:pPr>
        <w:keepNext/>
        <w:pBdr>
          <w:left w:val="single" w:color="1B3F37" w:sz="18" w:space="8"/>
        </w:pBdr>
        <w:shd w:fill="F3F1EC" w:color="auto" w:val="clear"/>
        <w:spacing w:after="60" w:before="200"/>
        <w:ind w:left="160" w:right="160"/>
      </w:pPr>
      <w:r>
        <w:rPr>
          <w:b/>
          <w:bCs/>
          <w:color w:val="1B3F37"/>
          <w:spacing w:val="20"/>
          <w:sz w:val="17"/>
          <w:szCs w:val="17"/>
        </w:rPr>
        <w:t xml:space="preserve">ЧТО ГОВОРИТЬ · ≈ 30 С</w:t>
      </w:r>
    </w:p>
    <w:p>
      <w:pPr>
        <w:pBdr>
          <w:left w:val="single" w:color="1B3F37" w:sz="18" w:space="8"/>
        </w:pBdr>
        <w:shd w:fill="F3F1EC" w:color="auto" w:val="clear"/>
        <w:spacing w:after="160" w:line="300"/>
        <w:ind w:left="160" w:right="160"/>
      </w:pPr>
      <w:r>
        <w:rPr>
          <w:b w:val="false"/>
          <w:bCs w:val="false"/>
          <w:i/>
          <w:iCs/>
        </w:rPr>
        <w:t xml:space="preserve">Главный итог для Европы: при свободном движении капитала остаётся выбор только между плавающими курсами и единой валютой. ЕС выбрал единую валюту — в 1998 году появился Европейский центральный банк, в 1999-м — евро. Единая валюта убрала саму возможность атаковать курсы внутри зоны. Наш вывод: кризис вызвали не спекулянты, а противоречие между общей валютной привязкой и национальной политикой. Спекулянты лишь первыми это заметили.</w:t>
      </w:r>
    </w:p>
    <w:p>
      <w:pPr>
        <w:pStyle w:val="Heading2"/>
        <w:keepNext/>
        <w:spacing w:after="60" w:before="360"/>
      </w:pPr>
      <w:r>
        <w:rPr>
          <w:color w:val="9A7428"/>
        </w:rPr>
        <w:t xml:space="preserve">Слайд 09. </w:t>
      </w:r>
      <w:r>
        <w:t xml:space="preserve">Список источников. Спасибо за внимание</w:t>
      </w:r>
    </w:p>
    <w:p>
      <w:pPr>
        <w:keepNext/>
        <w:pBdr>
          <w:bottom w:val="single" w:color="D5D9E0" w:sz="4" w:space="6"/>
        </w:pBdr>
        <w:spacing w:after="160"/>
      </w:pPr>
      <w:r>
        <w:rPr>
          <w:color w:val="6B7280"/>
          <w:sz w:val="19"/>
          <w:szCs w:val="19"/>
        </w:rPr>
        <w:t xml:space="preserve">Заключение · Докладчик: И. С. Татьянченко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b w:val="false"/>
          <w:bCs w:val="false"/>
          <w:i w:val="false"/>
          <w:iCs w:val="false"/>
        </w:rPr>
        <w:t xml:space="preserve">Эйхенгрин Б. Глобализация капитала: история международной денежной системы / пер. с англ. — М.: Дело, 2009.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b w:val="false"/>
          <w:bCs w:val="false"/>
          <w:i w:val="false"/>
          <w:iCs w:val="false"/>
        </w:rPr>
        <w:t xml:space="preserve">Eichengreen B., Wyplosz C. The Unstable EMS // Brookings Papers on Economic Activity. — 1993. — № 1. — P. 51–143.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b w:val="false"/>
          <w:bCs w:val="false"/>
          <w:i w:val="false"/>
          <w:iCs w:val="false"/>
        </w:rPr>
        <w:t xml:space="preserve">Buiter W., Corsetti G., Pesenti P. Financial Markets and European Monetary Cooperation: The Lessons of the 1992–93 Exchange Rate Mechanism Crisis. — Cambridge University Press, 1998.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b w:val="false"/>
          <w:bCs w:val="false"/>
          <w:i w:val="false"/>
          <w:iCs w:val="false"/>
        </w:rPr>
        <w:t xml:space="preserve">HM Treasury. Документы о выходе Великобритании из ERM, раскрытые в 2005 г.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b w:val="false"/>
          <w:bCs w:val="false"/>
          <w:i w:val="false"/>
          <w:iCs w:val="false"/>
        </w:rPr>
        <w:t xml:space="preserve">Bank of England. Quarterly Bulletin, 1992–1993.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b w:val="false"/>
          <w:bCs w:val="false"/>
          <w:i w:val="false"/>
          <w:iCs w:val="false"/>
        </w:rPr>
        <w:t xml:space="preserve">Deutsche Bundesbank. Annual Report 1992. — Frankfurt am Main, 1993.</w:t>
      </w:r>
    </w:p>
    <w:p>
      <w:pPr>
        <w:spacing w:after="80" w:before="300"/>
      </w:pPr>
      <w:r>
        <w:rPr>
          <w:b/>
          <w:bCs/>
          <w:color w:val="131A2A"/>
          <w:sz w:val="36"/>
          <w:szCs w:val="36"/>
        </w:rPr>
        <w:t xml:space="preserve">Спасибо за внимание</w:t>
      </w:r>
    </w:p>
    <w:p>
      <w:pPr>
        <w:spacing w:after="120" w:line="300"/>
      </w:pPr>
      <w:r>
        <w:rPr>
          <w:b w:val="false"/>
          <w:bCs w:val="false"/>
          <w:i w:val="false"/>
          <w:iCs w:val="false"/>
        </w:rPr>
        <w:t xml:space="preserve">Готовы ответить на вопросы.</w:t>
      </w:r>
    </w:p>
    <w:p>
      <w:pPr>
        <w:keepNext/>
        <w:pBdr>
          <w:left w:val="single" w:color="131A2A" w:sz="18" w:space="8"/>
        </w:pBdr>
        <w:shd w:fill="F3F1EC" w:color="auto" w:val="clear"/>
        <w:spacing w:after="60" w:before="200"/>
        <w:ind w:left="160" w:right="160"/>
      </w:pPr>
      <w:r>
        <w:rPr>
          <w:b/>
          <w:bCs/>
          <w:color w:val="131A2A"/>
          <w:spacing w:val="20"/>
          <w:sz w:val="17"/>
          <w:szCs w:val="17"/>
        </w:rPr>
        <w:t xml:space="preserve">ЧТО ГОВОРИТЬ · ≈ 10 С</w:t>
      </w:r>
    </w:p>
    <w:p>
      <w:pPr>
        <w:pBdr>
          <w:left w:val="single" w:color="131A2A" w:sz="18" w:space="8"/>
        </w:pBdr>
        <w:shd w:fill="F3F1EC" w:color="auto" w:val="clear"/>
        <w:spacing w:after="160" w:line="300"/>
        <w:ind w:left="160" w:right="160"/>
      </w:pPr>
      <w:r>
        <w:rPr>
          <w:b w:val="false"/>
          <w:bCs w:val="false"/>
          <w:i/>
          <w:iCs/>
        </w:rPr>
        <w:t xml:space="preserve">Источники приведены на слайде. Спасибо за внимание, готовы ответить на вопросы.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B7280"/>
        <w:sz w:val="17"/>
        <w:szCs w:val="17"/>
      </w:rPr>
      <w:t xml:space="preserve">Кризис ЕВС 1992–1993 · Группа 2 · стр. </w:t>
    </w:r>
    <w:r>
      <w:rPr>
        <w:color w:val="6B7280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–"/>
      <w:lvlJc w:val="left"/>
      <w:pPr>
        <w:ind w:left="36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00" w:hanging="4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60"/>
    </w:pPr>
    <w:rPr>
      <w:rFonts w:ascii="Calibri" w:cs="Calibri" w:eastAsia="Calibri" w:hAnsi="Calibri"/>
      <w:b/>
      <w:bCs/>
      <w:color w:val="131A2A"/>
      <w:sz w:val="44"/>
      <w:szCs w:val="44"/>
    </w:rPr>
  </w:style>
  <w:style w:type="paragraph" w:styleId="Heading1">
    <w:name w:val="Heading 1"/>
    <w:basedOn w:val="Normal"/>
    <w:next w:val="Normal"/>
    <w:qFormat/>
    <w:pPr>
      <w:spacing w:after="120" w:before="0"/>
      <w:outlineLvl w:val="0"/>
    </w:pPr>
    <w:rPr>
      <w:rFonts w:ascii="Calibri" w:cs="Calibri" w:eastAsia="Calibri" w:hAnsi="Calibri"/>
      <w:b/>
      <w:bCs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60" w:before="360"/>
      <w:outlineLvl w:val="1"/>
    </w:pPr>
    <w:rPr>
      <w:rFonts w:ascii="Calibri" w:cs="Calibri" w:eastAsia="Calibri" w:hAnsi="Calibri"/>
      <w:b/>
      <w:bCs/>
      <w:color w:val="1F2937"/>
      <w:sz w:val="27"/>
      <w:szCs w:val="27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Кризис Европейской валютной системы 1992–1993 гг. — текст презентации</dc:title>
  <dc:creator>Группа 2</dc:creator>
  <cp:lastModifiedBy>Un-named</cp:lastModifiedBy>
  <cp:revision>1</cp:revision>
  <dcterms:created xsi:type="dcterms:W3CDTF">2026-10-07T11:45:34.238Z</dcterms:created>
  <dcterms:modified xsi:type="dcterms:W3CDTF">2026-10-07T11:45:34.238Z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